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F8E2C">
      <w:pPr>
        <w:pStyle w:val="29"/>
        <w:jc w:val="center"/>
        <w:outlineLvl w:val="0"/>
        <w:rPr>
          <w:rFonts w:hint="eastAsia" w:ascii="Times New Roman" w:hAnsi="Times New Roman" w:eastAsia="黑体"/>
          <w:b/>
          <w:bCs/>
          <w:kern w:val="2"/>
          <w:sz w:val="30"/>
          <w:szCs w:val="30"/>
          <w:u w:val="none" w:color="auto"/>
          <w:lang w:eastAsia="zh-CN"/>
        </w:rPr>
      </w:pPr>
      <w:bookmarkStart w:id="0" w:name="_Toc32032"/>
      <w:bookmarkStart w:id="1" w:name="_Toc30948"/>
      <w:bookmarkStart w:id="2" w:name="_Toc10979"/>
      <w:r>
        <w:rPr>
          <w:rFonts w:hint="eastAsia" w:ascii="Times New Roman" w:hAnsi="Times New Roman" w:eastAsia="黑体"/>
          <w:b/>
          <w:bCs/>
          <w:kern w:val="2"/>
          <w:sz w:val="30"/>
          <w:szCs w:val="30"/>
          <w:u w:val="none" w:color="auto"/>
          <w:lang w:eastAsia="zh-CN"/>
        </w:rPr>
        <w:drawing>
          <wp:anchor distT="0" distB="0" distL="114300" distR="114300" simplePos="0" relativeHeight="251753472" behindDoc="0" locked="0" layoutInCell="1" allowOverlap="1">
            <wp:simplePos x="0" y="0"/>
            <wp:positionH relativeFrom="column">
              <wp:posOffset>-616585</wp:posOffset>
            </wp:positionH>
            <wp:positionV relativeFrom="paragraph">
              <wp:posOffset>-299720</wp:posOffset>
            </wp:positionV>
            <wp:extent cx="6711950" cy="9034145"/>
            <wp:effectExtent l="0" t="0" r="12700" b="14605"/>
            <wp:wrapNone/>
            <wp:docPr id="107" name="图片 107" descr="建设项目环境影响报告表(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建设项目环境影响报告表(1)_01"/>
                    <pic:cNvPicPr>
                      <a:picLocks noChangeAspect="1"/>
                    </pic:cNvPicPr>
                  </pic:nvPicPr>
                  <pic:blipFill>
                    <a:blip r:embed="rId20"/>
                    <a:srcRect r="-133" b="4777"/>
                    <a:stretch>
                      <a:fillRect/>
                    </a:stretch>
                  </pic:blipFill>
                  <pic:spPr>
                    <a:xfrm>
                      <a:off x="0" y="0"/>
                      <a:ext cx="6711950" cy="9034145"/>
                    </a:xfrm>
                    <a:prstGeom prst="rect">
                      <a:avLst/>
                    </a:prstGeom>
                  </pic:spPr>
                </pic:pic>
              </a:graphicData>
            </a:graphic>
          </wp:anchor>
        </w:drawing>
      </w:r>
    </w:p>
    <w:p w14:paraId="4BC9AE54">
      <w:pPr>
        <w:pStyle w:val="29"/>
        <w:jc w:val="center"/>
        <w:outlineLvl w:val="0"/>
        <w:rPr>
          <w:rFonts w:hint="eastAsia" w:ascii="Times New Roman" w:hAnsi="Times New Roman" w:eastAsia="黑体"/>
          <w:b/>
          <w:bCs/>
          <w:kern w:val="2"/>
          <w:sz w:val="30"/>
          <w:szCs w:val="30"/>
          <w:u w:val="none" w:color="auto"/>
          <w:lang w:eastAsia="zh-CN"/>
        </w:rPr>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0014FD8B">
      <w:pPr>
        <w:pStyle w:val="29"/>
        <w:jc w:val="center"/>
        <w:outlineLvl w:val="0"/>
        <w:rPr>
          <w:rFonts w:hint="eastAsia" w:ascii="Times New Roman" w:hAnsi="Times New Roman" w:eastAsia="黑体"/>
          <w:b/>
          <w:bCs/>
          <w:kern w:val="2"/>
          <w:sz w:val="30"/>
          <w:szCs w:val="30"/>
          <w:u w:val="none" w:color="auto"/>
          <w:lang w:eastAsia="zh-CN"/>
        </w:rPr>
        <w:sectPr>
          <w:footerReference r:id="rId5"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linePitch="312" w:charSpace="0"/>
        </w:sectPr>
      </w:pPr>
      <w:r>
        <w:drawing>
          <wp:anchor distT="0" distB="0" distL="114300" distR="114300" simplePos="0" relativeHeight="251863040" behindDoc="0" locked="0" layoutInCell="1" allowOverlap="1">
            <wp:simplePos x="0" y="0"/>
            <wp:positionH relativeFrom="column">
              <wp:posOffset>-494665</wp:posOffset>
            </wp:positionH>
            <wp:positionV relativeFrom="paragraph">
              <wp:posOffset>-69850</wp:posOffset>
            </wp:positionV>
            <wp:extent cx="6469380" cy="8726805"/>
            <wp:effectExtent l="0" t="0" r="7620" b="17145"/>
            <wp:wrapNone/>
            <wp:docPr id="23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1"/>
                    <pic:cNvPicPr>
                      <a:picLocks noChangeAspect="1"/>
                    </pic:cNvPicPr>
                  </pic:nvPicPr>
                  <pic:blipFill>
                    <a:blip r:embed="rId21"/>
                    <a:stretch>
                      <a:fillRect/>
                    </a:stretch>
                  </pic:blipFill>
                  <pic:spPr>
                    <a:xfrm>
                      <a:off x="0" y="0"/>
                      <a:ext cx="6469380" cy="8726805"/>
                    </a:xfrm>
                    <a:prstGeom prst="rect">
                      <a:avLst/>
                    </a:prstGeom>
                    <a:noFill/>
                    <a:ln>
                      <a:noFill/>
                    </a:ln>
                  </pic:spPr>
                </pic:pic>
              </a:graphicData>
            </a:graphic>
          </wp:anchor>
        </w:drawing>
      </w:r>
    </w:p>
    <w:p w14:paraId="3C78B6B6">
      <w:pPr>
        <w:pStyle w:val="29"/>
        <w:jc w:val="center"/>
        <w:outlineLvl w:val="0"/>
        <w:rPr>
          <w:rFonts w:hint="eastAsia" w:ascii="Times New Roman" w:hAnsi="Times New Roman" w:eastAsia="黑体"/>
          <w:b/>
          <w:bCs/>
          <w:kern w:val="2"/>
          <w:sz w:val="30"/>
          <w:szCs w:val="30"/>
          <w:u w:val="none" w:color="auto"/>
          <w:lang w:eastAsia="zh-CN"/>
        </w:rPr>
        <w:sectPr>
          <w:footerReference r:id="rId6"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linePitch="312" w:charSpace="0"/>
        </w:sectPr>
      </w:pPr>
      <w:r>
        <w:rPr>
          <w:rFonts w:hint="eastAsia" w:ascii="Times New Roman" w:hAnsi="Times New Roman" w:eastAsia="黑体"/>
          <w:b/>
          <w:bCs/>
          <w:kern w:val="2"/>
          <w:sz w:val="30"/>
          <w:szCs w:val="30"/>
          <w:u w:val="none" w:color="auto"/>
          <w:lang w:eastAsia="zh-CN"/>
        </w:rPr>
        <w:drawing>
          <wp:anchor distT="0" distB="0" distL="114300" distR="114300" simplePos="0" relativeHeight="251751424" behindDoc="0" locked="0" layoutInCell="1" allowOverlap="1">
            <wp:simplePos x="0" y="0"/>
            <wp:positionH relativeFrom="column">
              <wp:posOffset>-515620</wp:posOffset>
            </wp:positionH>
            <wp:positionV relativeFrom="paragraph">
              <wp:posOffset>-250190</wp:posOffset>
            </wp:positionV>
            <wp:extent cx="6186805" cy="8745220"/>
            <wp:effectExtent l="0" t="0" r="4445" b="17780"/>
            <wp:wrapNone/>
            <wp:docPr id="81" name="图片 81" descr="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1_02"/>
                    <pic:cNvPicPr>
                      <a:picLocks noChangeAspect="1"/>
                    </pic:cNvPicPr>
                  </pic:nvPicPr>
                  <pic:blipFill>
                    <a:blip r:embed="rId22"/>
                    <a:stretch>
                      <a:fillRect/>
                    </a:stretch>
                  </pic:blipFill>
                  <pic:spPr>
                    <a:xfrm>
                      <a:off x="0" y="0"/>
                      <a:ext cx="6186805" cy="8745220"/>
                    </a:xfrm>
                    <a:prstGeom prst="rect">
                      <a:avLst/>
                    </a:prstGeom>
                  </pic:spPr>
                </pic:pic>
              </a:graphicData>
            </a:graphic>
          </wp:anchor>
        </w:drawing>
      </w:r>
    </w:p>
    <w:p w14:paraId="43E6B044">
      <w:pPr>
        <w:pStyle w:val="29"/>
        <w:jc w:val="center"/>
        <w:outlineLvl w:val="0"/>
        <w:rPr>
          <w:rFonts w:hint="eastAsia" w:ascii="Times New Roman" w:hAnsi="Times New Roman" w:eastAsia="黑体"/>
          <w:b/>
          <w:bCs/>
          <w:kern w:val="2"/>
          <w:sz w:val="30"/>
          <w:szCs w:val="30"/>
          <w:u w:val="none" w:color="auto"/>
          <w:lang w:eastAsia="zh-CN"/>
        </w:rPr>
        <w:sectPr>
          <w:footerReference r:id="rId7"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linePitch="312" w:charSpace="0"/>
        </w:sectPr>
      </w:pPr>
      <w:r>
        <w:drawing>
          <wp:anchor distT="0" distB="0" distL="114300" distR="114300" simplePos="0" relativeHeight="251862016" behindDoc="0" locked="0" layoutInCell="1" allowOverlap="1">
            <wp:simplePos x="0" y="0"/>
            <wp:positionH relativeFrom="column">
              <wp:posOffset>-505460</wp:posOffset>
            </wp:positionH>
            <wp:positionV relativeFrom="paragraph">
              <wp:posOffset>-81915</wp:posOffset>
            </wp:positionV>
            <wp:extent cx="6464935" cy="8780145"/>
            <wp:effectExtent l="0" t="0" r="12065" b="1905"/>
            <wp:wrapNone/>
            <wp:docPr id="2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0"/>
                    <pic:cNvPicPr>
                      <a:picLocks noChangeAspect="1"/>
                    </pic:cNvPicPr>
                  </pic:nvPicPr>
                  <pic:blipFill>
                    <a:blip r:embed="rId23"/>
                    <a:stretch>
                      <a:fillRect/>
                    </a:stretch>
                  </pic:blipFill>
                  <pic:spPr>
                    <a:xfrm>
                      <a:off x="0" y="0"/>
                      <a:ext cx="6464935" cy="8780145"/>
                    </a:xfrm>
                    <a:prstGeom prst="rect">
                      <a:avLst/>
                    </a:prstGeom>
                    <a:noFill/>
                    <a:ln>
                      <a:noFill/>
                    </a:ln>
                  </pic:spPr>
                </pic:pic>
              </a:graphicData>
            </a:graphic>
          </wp:anchor>
        </w:drawing>
      </w:r>
    </w:p>
    <w:p w14:paraId="51094BE9">
      <w:pPr>
        <w:pStyle w:val="29"/>
        <w:jc w:val="center"/>
        <w:outlineLvl w:val="0"/>
        <w:rPr>
          <w:rFonts w:hint="eastAsia" w:ascii="Times New Roman" w:hAnsi="Times New Roman" w:eastAsia="黑体"/>
          <w:b/>
          <w:bCs/>
          <w:kern w:val="2"/>
          <w:sz w:val="30"/>
          <w:szCs w:val="30"/>
          <w:u w:val="none" w:color="auto"/>
          <w:lang w:eastAsia="zh-CN"/>
        </w:rPr>
        <w:sectPr>
          <w:footerReference r:id="rId8"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linePitch="312" w:charSpace="0"/>
        </w:sectPr>
      </w:pPr>
      <w:r>
        <w:drawing>
          <wp:anchor distT="0" distB="0" distL="114300" distR="114300" simplePos="0" relativeHeight="251860992" behindDoc="0" locked="0" layoutInCell="1" allowOverlap="1">
            <wp:simplePos x="0" y="0"/>
            <wp:positionH relativeFrom="column">
              <wp:posOffset>-484505</wp:posOffset>
            </wp:positionH>
            <wp:positionV relativeFrom="paragraph">
              <wp:posOffset>-186690</wp:posOffset>
            </wp:positionV>
            <wp:extent cx="6310630" cy="8642985"/>
            <wp:effectExtent l="0" t="0" r="13970" b="5715"/>
            <wp:wrapNone/>
            <wp:docPr id="2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9"/>
                    <pic:cNvPicPr>
                      <a:picLocks noChangeAspect="1"/>
                    </pic:cNvPicPr>
                  </pic:nvPicPr>
                  <pic:blipFill>
                    <a:blip r:embed="rId24"/>
                    <a:stretch>
                      <a:fillRect/>
                    </a:stretch>
                  </pic:blipFill>
                  <pic:spPr>
                    <a:xfrm>
                      <a:off x="0" y="0"/>
                      <a:ext cx="6310630" cy="8642985"/>
                    </a:xfrm>
                    <a:prstGeom prst="rect">
                      <a:avLst/>
                    </a:prstGeom>
                    <a:noFill/>
                    <a:ln>
                      <a:noFill/>
                    </a:ln>
                  </pic:spPr>
                </pic:pic>
              </a:graphicData>
            </a:graphic>
          </wp:anchor>
        </w:drawing>
      </w:r>
    </w:p>
    <w:p w14:paraId="5351224E">
      <w:pPr>
        <w:pStyle w:val="29"/>
        <w:jc w:val="center"/>
        <w:outlineLvl w:val="0"/>
        <w:rPr>
          <w:rFonts w:hint="eastAsia" w:ascii="Times New Roman" w:hAnsi="Times New Roman" w:eastAsia="黑体"/>
          <w:b/>
          <w:bCs/>
          <w:kern w:val="2"/>
          <w:sz w:val="30"/>
          <w:szCs w:val="30"/>
          <w:u w:val="none" w:color="auto"/>
          <w:lang w:eastAsia="zh-CN"/>
        </w:rPr>
        <w:sectPr>
          <w:footerReference r:id="rId9"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linePitch="312" w:charSpace="0"/>
        </w:sectPr>
      </w:pPr>
      <w:r>
        <w:rPr>
          <w:rFonts w:hint="eastAsia" w:ascii="Times New Roman" w:hAnsi="Times New Roman" w:eastAsia="黑体"/>
          <w:b/>
          <w:bCs/>
          <w:kern w:val="2"/>
          <w:sz w:val="30"/>
          <w:szCs w:val="30"/>
          <w:u w:val="none" w:color="auto"/>
          <w:lang w:eastAsia="zh-CN"/>
        </w:rPr>
        <w:drawing>
          <wp:anchor distT="0" distB="0" distL="114300" distR="114300" simplePos="0" relativeHeight="251752448" behindDoc="0" locked="0" layoutInCell="1" allowOverlap="1">
            <wp:simplePos x="0" y="0"/>
            <wp:positionH relativeFrom="column">
              <wp:posOffset>-343535</wp:posOffset>
            </wp:positionH>
            <wp:positionV relativeFrom="paragraph">
              <wp:posOffset>-171450</wp:posOffset>
            </wp:positionV>
            <wp:extent cx="6278880" cy="8881745"/>
            <wp:effectExtent l="0" t="0" r="7620" b="14605"/>
            <wp:wrapNone/>
            <wp:docPr id="92" name="图片 92" descr="提取自3、资质页-黑白单面打印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提取自3、资质页-黑白单面打印_03"/>
                    <pic:cNvPicPr>
                      <a:picLocks noChangeAspect="1"/>
                    </pic:cNvPicPr>
                  </pic:nvPicPr>
                  <pic:blipFill>
                    <a:blip r:embed="rId25"/>
                    <a:stretch>
                      <a:fillRect/>
                    </a:stretch>
                  </pic:blipFill>
                  <pic:spPr>
                    <a:xfrm>
                      <a:off x="0" y="0"/>
                      <a:ext cx="6278880" cy="8881745"/>
                    </a:xfrm>
                    <a:prstGeom prst="rect">
                      <a:avLst/>
                    </a:prstGeom>
                  </pic:spPr>
                </pic:pic>
              </a:graphicData>
            </a:graphic>
          </wp:anchor>
        </w:drawing>
      </w:r>
    </w:p>
    <w:p w14:paraId="1EBF0D0E">
      <w:pPr>
        <w:pStyle w:val="29"/>
        <w:jc w:val="center"/>
        <w:outlineLvl w:val="0"/>
        <w:rPr>
          <w:rFonts w:hint="eastAsia" w:ascii="Times New Roman" w:hAnsi="Times New Roman" w:eastAsia="黑体"/>
          <w:b/>
          <w:bCs/>
          <w:kern w:val="2"/>
          <w:sz w:val="30"/>
          <w:szCs w:val="30"/>
          <w:u w:val="none" w:color="auto"/>
          <w:lang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linePitch="312" w:charSpace="0"/>
        </w:sectPr>
      </w:pPr>
      <w:r>
        <w:drawing>
          <wp:anchor distT="0" distB="0" distL="114300" distR="114300" simplePos="0" relativeHeight="251859968" behindDoc="0" locked="0" layoutInCell="1" allowOverlap="1">
            <wp:simplePos x="0" y="0"/>
            <wp:positionH relativeFrom="column">
              <wp:posOffset>-461010</wp:posOffset>
            </wp:positionH>
            <wp:positionV relativeFrom="paragraph">
              <wp:posOffset>-62865</wp:posOffset>
            </wp:positionV>
            <wp:extent cx="6270625" cy="8236585"/>
            <wp:effectExtent l="0" t="0" r="15875" b="12065"/>
            <wp:wrapNone/>
            <wp:docPr id="22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8"/>
                    <pic:cNvPicPr>
                      <a:picLocks noChangeAspect="1"/>
                    </pic:cNvPicPr>
                  </pic:nvPicPr>
                  <pic:blipFill>
                    <a:blip r:embed="rId26"/>
                    <a:stretch>
                      <a:fillRect/>
                    </a:stretch>
                  </pic:blipFill>
                  <pic:spPr>
                    <a:xfrm>
                      <a:off x="0" y="0"/>
                      <a:ext cx="6270625" cy="8236585"/>
                    </a:xfrm>
                    <a:prstGeom prst="rect">
                      <a:avLst/>
                    </a:prstGeom>
                    <a:noFill/>
                    <a:ln>
                      <a:noFill/>
                    </a:ln>
                  </pic:spPr>
                </pic:pic>
              </a:graphicData>
            </a:graphic>
          </wp:anchor>
        </w:drawing>
      </w:r>
    </w:p>
    <w:p w14:paraId="64AC1546">
      <w:pPr>
        <w:pStyle w:val="29"/>
        <w:jc w:val="center"/>
        <w:outlineLvl w:val="0"/>
        <w:rPr>
          <w:rFonts w:ascii="Times New Roman" w:hAnsi="Times New Roman" w:eastAsia="黑体"/>
          <w:b/>
          <w:bCs/>
          <w:kern w:val="2"/>
          <w:sz w:val="30"/>
          <w:szCs w:val="30"/>
          <w:u w:val="none" w:color="auto"/>
        </w:rPr>
      </w:pPr>
      <w:r>
        <w:rPr>
          <w:rFonts w:ascii="Times New Roman" w:hAnsi="Times New Roman" w:eastAsia="黑体"/>
          <w:b/>
          <w:bCs/>
          <w:kern w:val="2"/>
          <w:sz w:val="30"/>
          <w:szCs w:val="30"/>
          <w:u w:val="none" w:color="auto"/>
        </w:rPr>
        <w:t>一、建设项目基本情况</w:t>
      </w:r>
      <w:bookmarkEnd w:id="0"/>
      <w:bookmarkEnd w:id="1"/>
      <w:bookmarkEnd w:id="2"/>
    </w:p>
    <w:tbl>
      <w:tblPr>
        <w:tblStyle w:val="32"/>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011"/>
        <w:gridCol w:w="3017"/>
        <w:gridCol w:w="2032"/>
        <w:gridCol w:w="2810"/>
      </w:tblGrid>
      <w:tr w14:paraId="64C5C6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011" w:type="dxa"/>
            <w:noWrap w:val="0"/>
            <w:tcMar>
              <w:top w:w="16" w:type="dxa"/>
              <w:left w:w="16" w:type="dxa"/>
              <w:right w:w="16" w:type="dxa"/>
            </w:tcMar>
            <w:vAlign w:val="center"/>
          </w:tcPr>
          <w:p w14:paraId="3E1468F7">
            <w:pPr>
              <w:adjustRightInd w:val="0"/>
              <w:snapToGrid w:val="0"/>
              <w:jc w:val="center"/>
              <w:rPr>
                <w:sz w:val="24"/>
                <w:u w:val="none" w:color="auto"/>
              </w:rPr>
            </w:pPr>
            <w:r>
              <w:rPr>
                <w:sz w:val="24"/>
                <w:u w:val="none" w:color="auto"/>
              </w:rPr>
              <w:t>建设项目名称</w:t>
            </w:r>
          </w:p>
        </w:tc>
        <w:tc>
          <w:tcPr>
            <w:tcW w:w="7859" w:type="dxa"/>
            <w:gridSpan w:val="3"/>
            <w:noWrap w:val="0"/>
            <w:vAlign w:val="center"/>
          </w:tcPr>
          <w:p w14:paraId="596741B8">
            <w:pPr>
              <w:jc w:val="center"/>
              <w:rPr>
                <w:rFonts w:hint="eastAsia" w:eastAsia="宋体"/>
                <w:sz w:val="24"/>
                <w:u w:val="none" w:color="auto"/>
                <w:lang w:eastAsia="zh-CN"/>
              </w:rPr>
            </w:pPr>
            <w:r>
              <w:rPr>
                <w:rFonts w:hint="eastAsia"/>
                <w:sz w:val="24"/>
                <w:u w:val="none" w:color="auto"/>
                <w:lang w:val="en-US" w:eastAsia="zh-CN"/>
              </w:rPr>
              <w:t>年</w:t>
            </w:r>
            <w:r>
              <w:rPr>
                <w:rFonts w:hint="eastAsia" w:eastAsia="宋体"/>
                <w:sz w:val="24"/>
                <w:u w:val="none" w:color="auto"/>
                <w:lang w:eastAsia="zh-CN"/>
              </w:rPr>
              <w:t>产6亿支锂离子电池技改项目</w:t>
            </w:r>
          </w:p>
        </w:tc>
      </w:tr>
      <w:tr w14:paraId="4C9A5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11" w:type="dxa"/>
            <w:noWrap w:val="0"/>
            <w:tcMar>
              <w:top w:w="16" w:type="dxa"/>
              <w:left w:w="16" w:type="dxa"/>
              <w:right w:w="16" w:type="dxa"/>
            </w:tcMar>
            <w:vAlign w:val="center"/>
          </w:tcPr>
          <w:p w14:paraId="71A9AA01">
            <w:pPr>
              <w:adjustRightInd w:val="0"/>
              <w:snapToGrid w:val="0"/>
              <w:jc w:val="center"/>
              <w:rPr>
                <w:color w:val="0000FF"/>
                <w:sz w:val="24"/>
                <w:u w:val="none" w:color="auto"/>
              </w:rPr>
            </w:pPr>
            <w:r>
              <w:rPr>
                <w:color w:val="000000" w:themeColor="text1"/>
                <w:sz w:val="24"/>
                <w:u w:val="none" w:color="auto"/>
                <w14:textFill>
                  <w14:solidFill>
                    <w14:schemeClr w14:val="tx1"/>
                  </w14:solidFill>
                </w14:textFill>
              </w:rPr>
              <w:t>项目代码</w:t>
            </w:r>
          </w:p>
        </w:tc>
        <w:tc>
          <w:tcPr>
            <w:tcW w:w="7859" w:type="dxa"/>
            <w:gridSpan w:val="3"/>
            <w:noWrap w:val="0"/>
            <w:vAlign w:val="center"/>
          </w:tcPr>
          <w:p w14:paraId="32C6B8F2">
            <w:pPr>
              <w:jc w:val="center"/>
              <w:rPr>
                <w:rFonts w:hint="eastAsia" w:eastAsia="宋体"/>
                <w:color w:val="0000FF"/>
                <w:sz w:val="24"/>
                <w:u w:val="none" w:color="auto"/>
                <w:lang w:eastAsia="zh-CN"/>
              </w:rPr>
            </w:pPr>
            <w:r>
              <w:rPr>
                <w:rFonts w:hint="eastAsia" w:eastAsia="宋体"/>
                <w:sz w:val="24"/>
                <w:u w:val="none" w:color="auto"/>
                <w:lang w:eastAsia="zh-CN"/>
              </w:rPr>
              <w:t>2604-410771-04-02-323019</w:t>
            </w:r>
          </w:p>
        </w:tc>
      </w:tr>
      <w:tr w14:paraId="638F10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11" w:type="dxa"/>
            <w:noWrap w:val="0"/>
            <w:tcMar>
              <w:top w:w="16" w:type="dxa"/>
              <w:left w:w="16" w:type="dxa"/>
              <w:right w:w="16" w:type="dxa"/>
            </w:tcMar>
            <w:vAlign w:val="center"/>
          </w:tcPr>
          <w:p w14:paraId="77DF8269">
            <w:pPr>
              <w:adjustRightInd w:val="0"/>
              <w:snapToGrid w:val="0"/>
              <w:jc w:val="center"/>
              <w:rPr>
                <w:rFonts w:hint="default" w:eastAsia="宋体"/>
                <w:sz w:val="24"/>
                <w:u w:val="none" w:color="auto"/>
                <w:lang w:val="en-US" w:eastAsia="zh-CN"/>
              </w:rPr>
            </w:pPr>
            <w:r>
              <w:rPr>
                <w:rFonts w:hint="eastAsia"/>
                <w:sz w:val="24"/>
                <w:u w:val="none" w:color="auto"/>
                <w:lang w:val="en-US" w:eastAsia="zh-CN"/>
              </w:rPr>
              <w:t>建设单位</w:t>
            </w:r>
          </w:p>
        </w:tc>
        <w:tc>
          <w:tcPr>
            <w:tcW w:w="7859" w:type="dxa"/>
            <w:gridSpan w:val="3"/>
            <w:noWrap w:val="0"/>
            <w:vAlign w:val="center"/>
          </w:tcPr>
          <w:p w14:paraId="5A5076F5">
            <w:pPr>
              <w:adjustRightInd w:val="0"/>
              <w:snapToGrid w:val="0"/>
              <w:jc w:val="center"/>
              <w:rPr>
                <w:rFonts w:hint="eastAsia"/>
                <w:sz w:val="24"/>
                <w:u w:val="none" w:color="auto"/>
                <w:lang w:eastAsia="zh-CN"/>
              </w:rPr>
            </w:pPr>
            <w:r>
              <w:rPr>
                <w:rFonts w:hint="eastAsia"/>
                <w:sz w:val="24"/>
                <w:u w:val="none" w:color="auto"/>
                <w:lang w:eastAsia="zh-CN"/>
              </w:rPr>
              <w:t>弘力新能源（新乡）有限公司</w:t>
            </w:r>
          </w:p>
        </w:tc>
      </w:tr>
      <w:tr w14:paraId="68C37B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11" w:type="dxa"/>
            <w:noWrap w:val="0"/>
            <w:tcMar>
              <w:top w:w="16" w:type="dxa"/>
              <w:left w:w="16" w:type="dxa"/>
              <w:right w:w="16" w:type="dxa"/>
            </w:tcMar>
            <w:vAlign w:val="center"/>
          </w:tcPr>
          <w:p w14:paraId="3FBE9EDB">
            <w:pPr>
              <w:adjustRightInd w:val="0"/>
              <w:snapToGrid w:val="0"/>
              <w:jc w:val="center"/>
              <w:rPr>
                <w:sz w:val="24"/>
                <w:u w:val="none" w:color="auto"/>
              </w:rPr>
            </w:pPr>
            <w:r>
              <w:rPr>
                <w:sz w:val="24"/>
                <w:u w:val="none" w:color="auto"/>
              </w:rPr>
              <w:t>建设单位联系人</w:t>
            </w:r>
          </w:p>
        </w:tc>
        <w:tc>
          <w:tcPr>
            <w:tcW w:w="3017" w:type="dxa"/>
            <w:noWrap w:val="0"/>
            <w:vAlign w:val="center"/>
          </w:tcPr>
          <w:p w14:paraId="570334CB">
            <w:pPr>
              <w:jc w:val="center"/>
              <w:rPr>
                <w:rFonts w:hint="default" w:ascii="宋体" w:hAnsi="宋体"/>
                <w:bCs/>
                <w:szCs w:val="21"/>
                <w:u w:val="none" w:color="auto"/>
                <w:lang w:val="en-US" w:eastAsia="zh-CN"/>
              </w:rPr>
            </w:pPr>
          </w:p>
        </w:tc>
        <w:tc>
          <w:tcPr>
            <w:tcW w:w="2032" w:type="dxa"/>
            <w:noWrap w:val="0"/>
            <w:vAlign w:val="center"/>
          </w:tcPr>
          <w:p w14:paraId="57995BD7">
            <w:pPr>
              <w:adjustRightInd w:val="0"/>
              <w:snapToGrid w:val="0"/>
              <w:jc w:val="center"/>
              <w:rPr>
                <w:sz w:val="24"/>
                <w:u w:val="none" w:color="auto"/>
              </w:rPr>
            </w:pPr>
            <w:r>
              <w:rPr>
                <w:sz w:val="24"/>
                <w:u w:val="none" w:color="auto"/>
              </w:rPr>
              <w:t>联系方式</w:t>
            </w:r>
          </w:p>
        </w:tc>
        <w:tc>
          <w:tcPr>
            <w:tcW w:w="2810" w:type="dxa"/>
            <w:noWrap w:val="0"/>
            <w:vAlign w:val="center"/>
          </w:tcPr>
          <w:p w14:paraId="417C789C">
            <w:pPr>
              <w:tabs>
                <w:tab w:val="center" w:pos="1457"/>
                <w:tab w:val="right" w:pos="2795"/>
              </w:tabs>
              <w:adjustRightInd w:val="0"/>
              <w:snapToGrid w:val="0"/>
              <w:jc w:val="left"/>
              <w:rPr>
                <w:rFonts w:hint="default" w:eastAsia="宋体"/>
                <w:sz w:val="24"/>
                <w:u w:val="none" w:color="auto"/>
                <w:lang w:val="en-US" w:eastAsia="zh-CN"/>
              </w:rPr>
            </w:pPr>
          </w:p>
        </w:tc>
      </w:tr>
      <w:tr w14:paraId="1CC001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11" w:type="dxa"/>
            <w:noWrap w:val="0"/>
            <w:tcMar>
              <w:top w:w="16" w:type="dxa"/>
              <w:left w:w="16" w:type="dxa"/>
              <w:right w:w="16" w:type="dxa"/>
            </w:tcMar>
            <w:vAlign w:val="center"/>
          </w:tcPr>
          <w:p w14:paraId="1CA0BCC1">
            <w:pPr>
              <w:adjustRightInd w:val="0"/>
              <w:snapToGrid w:val="0"/>
              <w:jc w:val="center"/>
              <w:rPr>
                <w:rFonts w:hint="default" w:eastAsia="宋体"/>
                <w:sz w:val="24"/>
                <w:u w:val="none" w:color="auto"/>
                <w:lang w:val="en-US" w:eastAsia="zh-CN"/>
              </w:rPr>
            </w:pPr>
            <w:r>
              <w:rPr>
                <w:rFonts w:hint="eastAsia"/>
                <w:sz w:val="24"/>
                <w:u w:val="none" w:color="auto"/>
                <w:lang w:val="en-US" w:eastAsia="zh-CN"/>
              </w:rPr>
              <w:t>建设单位法人</w:t>
            </w:r>
          </w:p>
        </w:tc>
        <w:tc>
          <w:tcPr>
            <w:tcW w:w="3017" w:type="dxa"/>
            <w:noWrap w:val="0"/>
            <w:vAlign w:val="center"/>
          </w:tcPr>
          <w:p w14:paraId="1E06C855">
            <w:pPr>
              <w:adjustRightInd w:val="0"/>
              <w:snapToGrid w:val="0"/>
              <w:jc w:val="center"/>
              <w:rPr>
                <w:rFonts w:hint="eastAsia" w:cs="Times New Roman"/>
                <w:bCs/>
                <w:color w:val="auto"/>
                <w:sz w:val="24"/>
                <w:highlight w:val="none"/>
                <w:u w:val="none" w:color="auto"/>
                <w:lang w:val="en-US" w:eastAsia="zh-CN"/>
              </w:rPr>
            </w:pPr>
          </w:p>
        </w:tc>
        <w:tc>
          <w:tcPr>
            <w:tcW w:w="2032" w:type="dxa"/>
            <w:noWrap w:val="0"/>
            <w:vAlign w:val="center"/>
          </w:tcPr>
          <w:p w14:paraId="60A060B9">
            <w:pPr>
              <w:adjustRightInd w:val="0"/>
              <w:snapToGrid w:val="0"/>
              <w:jc w:val="center"/>
              <w:rPr>
                <w:rFonts w:hint="eastAsia" w:cs="Times New Roman"/>
                <w:bCs/>
                <w:color w:val="auto"/>
                <w:sz w:val="24"/>
                <w:highlight w:val="none"/>
                <w:u w:val="none" w:color="auto"/>
                <w:lang w:val="en-US" w:eastAsia="zh-CN"/>
              </w:rPr>
            </w:pPr>
            <w:r>
              <w:rPr>
                <w:rFonts w:ascii="宋体" w:hAnsi="宋体"/>
                <w:color w:val="auto"/>
                <w:sz w:val="24"/>
                <w:highlight w:val="none"/>
                <w:u w:val="none" w:color="auto"/>
              </w:rPr>
              <w:t>统一</w:t>
            </w:r>
            <w:bookmarkStart w:id="58" w:name="_GoBack"/>
            <w:bookmarkEnd w:id="58"/>
            <w:r>
              <w:rPr>
                <w:rFonts w:ascii="宋体" w:hAnsi="宋体"/>
                <w:color w:val="auto"/>
                <w:sz w:val="24"/>
                <w:highlight w:val="none"/>
                <w:u w:val="none" w:color="auto"/>
              </w:rPr>
              <w:t>社会信用代码</w:t>
            </w:r>
          </w:p>
        </w:tc>
        <w:tc>
          <w:tcPr>
            <w:tcW w:w="2810" w:type="dxa"/>
            <w:noWrap w:val="0"/>
            <w:vAlign w:val="center"/>
          </w:tcPr>
          <w:p w14:paraId="55F1AE96">
            <w:pPr>
              <w:adjustRightInd w:val="0"/>
              <w:snapToGrid w:val="0"/>
              <w:jc w:val="center"/>
              <w:rPr>
                <w:rFonts w:hint="eastAsia" w:cs="Times New Roman"/>
                <w:bCs/>
                <w:color w:val="auto"/>
                <w:sz w:val="24"/>
                <w:highlight w:val="none"/>
                <w:u w:val="none" w:color="auto"/>
                <w:lang w:val="en-US" w:eastAsia="zh-CN"/>
              </w:rPr>
            </w:pPr>
          </w:p>
        </w:tc>
      </w:tr>
      <w:tr w14:paraId="7D8F47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2" w:hRule="atLeast"/>
          <w:jc w:val="center"/>
        </w:trPr>
        <w:tc>
          <w:tcPr>
            <w:tcW w:w="1011" w:type="dxa"/>
            <w:noWrap w:val="0"/>
            <w:tcMar>
              <w:top w:w="16" w:type="dxa"/>
              <w:left w:w="16" w:type="dxa"/>
              <w:right w:w="16" w:type="dxa"/>
            </w:tcMar>
            <w:vAlign w:val="center"/>
          </w:tcPr>
          <w:p w14:paraId="6BC57940">
            <w:pPr>
              <w:adjustRightInd w:val="0"/>
              <w:snapToGrid w:val="0"/>
              <w:jc w:val="center"/>
              <w:rPr>
                <w:sz w:val="24"/>
                <w:u w:val="none" w:color="auto"/>
              </w:rPr>
            </w:pPr>
            <w:r>
              <w:rPr>
                <w:sz w:val="24"/>
                <w:u w:val="none" w:color="auto"/>
              </w:rPr>
              <w:t>建设地点</w:t>
            </w:r>
          </w:p>
        </w:tc>
        <w:tc>
          <w:tcPr>
            <w:tcW w:w="7859" w:type="dxa"/>
            <w:gridSpan w:val="3"/>
            <w:noWrap w:val="0"/>
            <w:vAlign w:val="center"/>
          </w:tcPr>
          <w:p w14:paraId="16A86FF1">
            <w:pPr>
              <w:adjustRightInd w:val="0"/>
              <w:snapToGrid w:val="0"/>
              <w:jc w:val="center"/>
              <w:rPr>
                <w:rFonts w:hint="default" w:eastAsia="宋体"/>
                <w:sz w:val="24"/>
                <w:u w:val="none" w:color="auto"/>
                <w:lang w:val="en-US" w:eastAsia="zh-CN"/>
              </w:rPr>
            </w:pPr>
            <w:r>
              <w:rPr>
                <w:rFonts w:hint="eastAsia"/>
                <w:sz w:val="24"/>
                <w:u w:val="none" w:color="auto"/>
                <w:lang w:val="en-US" w:eastAsia="zh-CN"/>
              </w:rPr>
              <w:t>河南省</w:t>
            </w:r>
            <w:r>
              <w:rPr>
                <w:rFonts w:hint="default" w:eastAsia="宋体"/>
                <w:sz w:val="24"/>
                <w:u w:val="none" w:color="auto"/>
                <w:lang w:val="en-US" w:eastAsia="zh-CN"/>
              </w:rPr>
              <w:t>新乡市新乡高新技术产业开发区新中大道与德源路交叉口西南角</w:t>
            </w:r>
          </w:p>
        </w:tc>
      </w:tr>
      <w:tr w14:paraId="6FE7CE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11" w:type="dxa"/>
            <w:noWrap w:val="0"/>
            <w:tcMar>
              <w:top w:w="16" w:type="dxa"/>
              <w:left w:w="16" w:type="dxa"/>
              <w:right w:w="16" w:type="dxa"/>
            </w:tcMar>
            <w:vAlign w:val="center"/>
          </w:tcPr>
          <w:p w14:paraId="63983632">
            <w:pPr>
              <w:adjustRightInd w:val="0"/>
              <w:snapToGrid w:val="0"/>
              <w:jc w:val="center"/>
              <w:rPr>
                <w:color w:val="000000" w:themeColor="text1"/>
                <w:sz w:val="24"/>
                <w:u w:val="none" w:color="auto"/>
                <w14:textFill>
                  <w14:solidFill>
                    <w14:schemeClr w14:val="tx1"/>
                  </w14:solidFill>
                </w14:textFill>
              </w:rPr>
            </w:pPr>
            <w:r>
              <w:rPr>
                <w:color w:val="000000" w:themeColor="text1"/>
                <w:sz w:val="24"/>
                <w:u w:val="none" w:color="auto"/>
                <w14:textFill>
                  <w14:solidFill>
                    <w14:schemeClr w14:val="tx1"/>
                  </w14:solidFill>
                </w14:textFill>
              </w:rPr>
              <w:t>地理坐标</w:t>
            </w:r>
          </w:p>
        </w:tc>
        <w:tc>
          <w:tcPr>
            <w:tcW w:w="7859" w:type="dxa"/>
            <w:gridSpan w:val="3"/>
            <w:noWrap w:val="0"/>
            <w:vAlign w:val="center"/>
          </w:tcPr>
          <w:p w14:paraId="370483A1">
            <w:pPr>
              <w:jc w:val="center"/>
              <w:rPr>
                <w:color w:val="000000" w:themeColor="text1"/>
                <w:sz w:val="24"/>
                <w:u w:val="none" w:color="auto"/>
                <w14:textFill>
                  <w14:solidFill>
                    <w14:schemeClr w14:val="tx1"/>
                  </w14:solidFill>
                </w14:textFill>
              </w:rPr>
            </w:pPr>
            <w:r>
              <w:rPr>
                <w:color w:val="000000" w:themeColor="text1"/>
                <w:sz w:val="24"/>
                <w:u w:val="none" w:color="auto"/>
                <w14:textFill>
                  <w14:solidFill>
                    <w14:schemeClr w14:val="tx1"/>
                  </w14:solidFill>
                </w14:textFill>
              </w:rPr>
              <w:t>（</w:t>
            </w:r>
            <w:r>
              <w:rPr>
                <w:rFonts w:hint="eastAsia"/>
                <w:color w:val="000000" w:themeColor="text1"/>
                <w:sz w:val="24"/>
                <w:u w:val="none" w:color="auto"/>
                <w14:textFill>
                  <w14:solidFill>
                    <w14:schemeClr w14:val="tx1"/>
                  </w14:solidFill>
                </w14:textFill>
              </w:rPr>
              <w:t>东经：113度</w:t>
            </w:r>
            <w:r>
              <w:rPr>
                <w:rFonts w:hint="eastAsia"/>
                <w:color w:val="000000" w:themeColor="text1"/>
                <w:sz w:val="24"/>
                <w:u w:val="none" w:color="auto"/>
                <w:lang w:val="en-US" w:eastAsia="zh-CN"/>
                <w14:textFill>
                  <w14:solidFill>
                    <w14:schemeClr w14:val="tx1"/>
                  </w14:solidFill>
                </w14:textFill>
              </w:rPr>
              <w:t>55</w:t>
            </w:r>
            <w:r>
              <w:rPr>
                <w:rFonts w:hint="eastAsia"/>
                <w:color w:val="000000" w:themeColor="text1"/>
                <w:sz w:val="24"/>
                <w:u w:val="none" w:color="auto"/>
                <w14:textFill>
                  <w14:solidFill>
                    <w14:schemeClr w14:val="tx1"/>
                  </w14:solidFill>
                </w14:textFill>
              </w:rPr>
              <w:t>分</w:t>
            </w:r>
            <w:r>
              <w:rPr>
                <w:rFonts w:hint="eastAsia"/>
                <w:color w:val="000000" w:themeColor="text1"/>
                <w:sz w:val="24"/>
                <w:u w:val="none" w:color="auto"/>
                <w:lang w:val="en-US" w:eastAsia="zh-CN"/>
                <w14:textFill>
                  <w14:solidFill>
                    <w14:schemeClr w14:val="tx1"/>
                  </w14:solidFill>
                </w14:textFill>
              </w:rPr>
              <w:t>9.003</w:t>
            </w:r>
            <w:r>
              <w:rPr>
                <w:rFonts w:hint="eastAsia"/>
                <w:color w:val="000000" w:themeColor="text1"/>
                <w:sz w:val="24"/>
                <w:u w:val="none" w:color="auto"/>
                <w14:textFill>
                  <w14:solidFill>
                    <w14:schemeClr w14:val="tx1"/>
                  </w14:solidFill>
                </w14:textFill>
              </w:rPr>
              <w:t>秒；北纬：35度</w:t>
            </w:r>
            <w:r>
              <w:rPr>
                <w:rFonts w:hint="eastAsia"/>
                <w:color w:val="000000" w:themeColor="text1"/>
                <w:sz w:val="24"/>
                <w:u w:val="none" w:color="auto"/>
                <w:lang w:val="en-US" w:eastAsia="zh-CN"/>
                <w14:textFill>
                  <w14:solidFill>
                    <w14:schemeClr w14:val="tx1"/>
                  </w14:solidFill>
                </w14:textFill>
              </w:rPr>
              <w:t>14</w:t>
            </w:r>
            <w:r>
              <w:rPr>
                <w:rFonts w:hint="eastAsia"/>
                <w:color w:val="000000" w:themeColor="text1"/>
                <w:sz w:val="24"/>
                <w:u w:val="none" w:color="auto"/>
                <w14:textFill>
                  <w14:solidFill>
                    <w14:schemeClr w14:val="tx1"/>
                  </w14:solidFill>
                </w14:textFill>
              </w:rPr>
              <w:t>分</w:t>
            </w:r>
            <w:r>
              <w:rPr>
                <w:rFonts w:hint="eastAsia"/>
                <w:color w:val="000000" w:themeColor="text1"/>
                <w:sz w:val="24"/>
                <w:u w:val="none" w:color="auto"/>
                <w:lang w:val="en-US" w:eastAsia="zh-CN"/>
                <w14:textFill>
                  <w14:solidFill>
                    <w14:schemeClr w14:val="tx1"/>
                  </w14:solidFill>
                </w14:textFill>
              </w:rPr>
              <w:t>17.226</w:t>
            </w:r>
            <w:r>
              <w:rPr>
                <w:rFonts w:hint="eastAsia"/>
                <w:color w:val="000000" w:themeColor="text1"/>
                <w:sz w:val="24"/>
                <w:u w:val="none" w:color="auto"/>
                <w14:textFill>
                  <w14:solidFill>
                    <w14:schemeClr w14:val="tx1"/>
                  </w14:solidFill>
                </w14:textFill>
              </w:rPr>
              <w:t>秒</w:t>
            </w:r>
            <w:r>
              <w:rPr>
                <w:color w:val="000000" w:themeColor="text1"/>
                <w:sz w:val="24"/>
                <w:u w:val="none" w:color="auto"/>
                <w14:textFill>
                  <w14:solidFill>
                    <w14:schemeClr w14:val="tx1"/>
                  </w14:solidFill>
                </w14:textFill>
              </w:rPr>
              <w:t>）</w:t>
            </w:r>
          </w:p>
        </w:tc>
      </w:tr>
      <w:tr w14:paraId="3823C0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11" w:type="dxa"/>
            <w:noWrap w:val="0"/>
            <w:tcMar>
              <w:top w:w="16" w:type="dxa"/>
              <w:left w:w="16" w:type="dxa"/>
              <w:right w:w="16" w:type="dxa"/>
            </w:tcMar>
            <w:vAlign w:val="center"/>
          </w:tcPr>
          <w:p w14:paraId="50048816">
            <w:pPr>
              <w:adjustRightInd w:val="0"/>
              <w:snapToGrid w:val="0"/>
              <w:jc w:val="center"/>
              <w:rPr>
                <w:sz w:val="24"/>
                <w:u w:val="none" w:color="auto"/>
              </w:rPr>
            </w:pPr>
            <w:r>
              <w:rPr>
                <w:sz w:val="24"/>
                <w:u w:val="none" w:color="auto"/>
              </w:rPr>
              <w:t>国民经济</w:t>
            </w:r>
          </w:p>
          <w:p w14:paraId="57E95A38">
            <w:pPr>
              <w:adjustRightInd w:val="0"/>
              <w:snapToGrid w:val="0"/>
              <w:jc w:val="center"/>
              <w:rPr>
                <w:sz w:val="24"/>
                <w:u w:val="none" w:color="auto"/>
              </w:rPr>
            </w:pPr>
            <w:r>
              <w:rPr>
                <w:sz w:val="24"/>
                <w:u w:val="none" w:color="auto"/>
              </w:rPr>
              <w:t>行业类别</w:t>
            </w:r>
          </w:p>
        </w:tc>
        <w:tc>
          <w:tcPr>
            <w:tcW w:w="3017" w:type="dxa"/>
            <w:noWrap w:val="0"/>
            <w:vAlign w:val="center"/>
          </w:tcPr>
          <w:p w14:paraId="5E22D487">
            <w:pPr>
              <w:adjustRightInd w:val="0"/>
              <w:snapToGrid w:val="0"/>
              <w:jc w:val="center"/>
              <w:rPr>
                <w:rFonts w:hint="default" w:eastAsia="宋体"/>
                <w:sz w:val="24"/>
                <w:u w:val="none" w:color="auto"/>
                <w:lang w:val="en-US" w:eastAsia="zh-CN"/>
              </w:rPr>
            </w:pPr>
            <w:r>
              <w:rPr>
                <w:rFonts w:hint="default" w:eastAsia="宋体"/>
                <w:sz w:val="24"/>
                <w:u w:val="none" w:color="auto"/>
                <w:lang w:val="en-US" w:eastAsia="zh-CN"/>
              </w:rPr>
              <w:t>C3841锂离子电池制造</w:t>
            </w:r>
          </w:p>
        </w:tc>
        <w:tc>
          <w:tcPr>
            <w:tcW w:w="2032" w:type="dxa"/>
            <w:noWrap w:val="0"/>
            <w:vAlign w:val="center"/>
          </w:tcPr>
          <w:p w14:paraId="1E70041E">
            <w:pPr>
              <w:adjustRightInd w:val="0"/>
              <w:snapToGrid w:val="0"/>
              <w:jc w:val="center"/>
              <w:rPr>
                <w:sz w:val="24"/>
                <w:u w:val="none" w:color="auto"/>
              </w:rPr>
            </w:pPr>
            <w:bookmarkStart w:id="3" w:name="_Hlk49843745"/>
            <w:r>
              <w:rPr>
                <w:sz w:val="24"/>
                <w:u w:val="none" w:color="auto"/>
              </w:rPr>
              <w:t>建设项目</w:t>
            </w:r>
          </w:p>
          <w:p w14:paraId="7AE6B96D">
            <w:pPr>
              <w:adjustRightInd w:val="0"/>
              <w:snapToGrid w:val="0"/>
              <w:jc w:val="center"/>
              <w:rPr>
                <w:sz w:val="24"/>
                <w:u w:val="none" w:color="auto"/>
              </w:rPr>
            </w:pPr>
            <w:r>
              <w:rPr>
                <w:sz w:val="24"/>
                <w:u w:val="none" w:color="auto"/>
              </w:rPr>
              <w:t>行业类别</w:t>
            </w:r>
            <w:bookmarkEnd w:id="3"/>
          </w:p>
        </w:tc>
        <w:tc>
          <w:tcPr>
            <w:tcW w:w="2810" w:type="dxa"/>
            <w:noWrap w:val="0"/>
            <w:vAlign w:val="center"/>
          </w:tcPr>
          <w:p w14:paraId="06292BFE">
            <w:pPr>
              <w:widowControl/>
              <w:jc w:val="left"/>
              <w:rPr>
                <w:sz w:val="24"/>
                <w:u w:val="none" w:color="auto"/>
              </w:rPr>
            </w:pPr>
            <w:r>
              <w:rPr>
                <w:rFonts w:hint="eastAsia" w:ascii="Times New Roman" w:hAnsi="Times New Roman" w:eastAsia="宋体" w:cs="Times New Roman"/>
                <w:sz w:val="24"/>
                <w:szCs w:val="24"/>
                <w:u w:val="none" w:color="auto"/>
                <w:vertAlign w:val="baseline"/>
                <w:lang w:eastAsia="zh-CN"/>
              </w:rPr>
              <w:t>三十五</w:t>
            </w:r>
            <w:r>
              <w:rPr>
                <w:rFonts w:hint="default" w:ascii="Times New Roman" w:hAnsi="Times New Roman" w:eastAsia="宋体" w:cs="Times New Roman"/>
                <w:sz w:val="24"/>
                <w:szCs w:val="24"/>
                <w:u w:val="none" w:color="auto"/>
                <w:vertAlign w:val="baseline"/>
              </w:rPr>
              <w:t>、</w:t>
            </w:r>
            <w:r>
              <w:rPr>
                <w:rFonts w:hint="eastAsia" w:ascii="Times New Roman" w:hAnsi="Times New Roman" w:eastAsia="宋体" w:cs="Times New Roman"/>
                <w:sz w:val="24"/>
                <w:szCs w:val="24"/>
                <w:u w:val="none" w:color="auto"/>
                <w:vertAlign w:val="baseline"/>
                <w:lang w:eastAsia="zh-CN"/>
              </w:rPr>
              <w:t>电气机械和器材制造业，</w:t>
            </w:r>
            <w:r>
              <w:rPr>
                <w:rFonts w:hint="eastAsia" w:ascii="Times New Roman" w:hAnsi="Times New Roman" w:eastAsia="宋体" w:cs="Times New Roman"/>
                <w:sz w:val="24"/>
                <w:szCs w:val="24"/>
                <w:u w:val="none" w:color="auto"/>
                <w:vertAlign w:val="baseline"/>
                <w:lang w:val="en-US" w:eastAsia="zh-CN"/>
              </w:rPr>
              <w:t>77电池制造384</w:t>
            </w:r>
            <w:r>
              <w:rPr>
                <w:rFonts w:hint="default" w:ascii="Times New Roman" w:hAnsi="Times New Roman" w:eastAsia="宋体" w:cs="Times New Roman"/>
                <w:sz w:val="24"/>
                <w:szCs w:val="24"/>
                <w:u w:val="none" w:color="auto"/>
                <w:vertAlign w:val="baseline"/>
              </w:rPr>
              <w:t>—</w:t>
            </w:r>
            <w:r>
              <w:rPr>
                <w:rFonts w:hint="eastAsia" w:ascii="Times New Roman" w:hAnsi="Times New Roman" w:eastAsia="宋体" w:cs="Times New Roman"/>
                <w:sz w:val="24"/>
                <w:szCs w:val="24"/>
                <w:u w:val="none" w:color="auto"/>
                <w:vertAlign w:val="baseline"/>
                <w:lang w:val="en-US" w:eastAsia="zh-CN"/>
              </w:rPr>
              <w:t>其他</w:t>
            </w:r>
          </w:p>
        </w:tc>
      </w:tr>
      <w:tr w14:paraId="593FD7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011" w:type="dxa"/>
            <w:noWrap w:val="0"/>
            <w:tcMar>
              <w:top w:w="16" w:type="dxa"/>
              <w:left w:w="16" w:type="dxa"/>
              <w:right w:w="16" w:type="dxa"/>
            </w:tcMar>
            <w:vAlign w:val="center"/>
          </w:tcPr>
          <w:p w14:paraId="08C1567E">
            <w:pPr>
              <w:adjustRightInd w:val="0"/>
              <w:snapToGrid w:val="0"/>
              <w:jc w:val="center"/>
              <w:rPr>
                <w:sz w:val="24"/>
                <w:u w:val="none" w:color="auto"/>
              </w:rPr>
            </w:pPr>
            <w:r>
              <w:rPr>
                <w:sz w:val="24"/>
                <w:u w:val="none" w:color="auto"/>
              </w:rPr>
              <w:t>建设性质</w:t>
            </w:r>
          </w:p>
        </w:tc>
        <w:tc>
          <w:tcPr>
            <w:tcW w:w="3017" w:type="dxa"/>
            <w:noWrap w:val="0"/>
            <w:vAlign w:val="center"/>
          </w:tcPr>
          <w:p w14:paraId="4DC76BA9">
            <w:pPr>
              <w:jc w:val="left"/>
              <w:rPr>
                <w:sz w:val="24"/>
                <w:u w:val="none" w:color="auto"/>
              </w:rPr>
            </w:pPr>
            <w:r>
              <w:rPr>
                <w:sz w:val="24"/>
                <w:u w:val="none" w:color="auto"/>
              </w:rPr>
              <w:sym w:font="Wingdings 2" w:char="0052"/>
            </w:r>
            <w:r>
              <w:rPr>
                <w:sz w:val="24"/>
                <w:u w:val="none" w:color="auto"/>
              </w:rPr>
              <w:t>新建（迁建）</w:t>
            </w:r>
          </w:p>
          <w:p w14:paraId="778B7521">
            <w:pPr>
              <w:jc w:val="left"/>
              <w:rPr>
                <w:sz w:val="24"/>
                <w:u w:val="none" w:color="auto"/>
              </w:rPr>
            </w:pPr>
            <w:r>
              <w:rPr>
                <w:sz w:val="24"/>
                <w:u w:val="none" w:color="auto"/>
              </w:rPr>
              <w:sym w:font="Wingdings 2" w:char="00A3"/>
            </w:r>
            <w:r>
              <w:rPr>
                <w:sz w:val="24"/>
                <w:u w:val="none" w:color="auto"/>
              </w:rPr>
              <w:t>改建</w:t>
            </w:r>
          </w:p>
          <w:p w14:paraId="3213FC67">
            <w:pPr>
              <w:jc w:val="left"/>
              <w:rPr>
                <w:sz w:val="24"/>
                <w:u w:val="none" w:color="auto"/>
              </w:rPr>
            </w:pPr>
            <w:r>
              <w:rPr>
                <w:sz w:val="24"/>
                <w:u w:val="none" w:color="auto"/>
              </w:rPr>
              <w:sym w:font="Wingdings 2" w:char="00A3"/>
            </w:r>
            <w:r>
              <w:rPr>
                <w:sz w:val="24"/>
                <w:u w:val="none" w:color="auto"/>
              </w:rPr>
              <w:t>扩建</w:t>
            </w:r>
          </w:p>
          <w:p w14:paraId="12BAF3E1">
            <w:pPr>
              <w:jc w:val="left"/>
              <w:rPr>
                <w:sz w:val="24"/>
                <w:u w:val="none" w:color="auto"/>
              </w:rPr>
            </w:pPr>
            <w:r>
              <w:rPr>
                <w:sz w:val="24"/>
                <w:u w:val="none" w:color="auto"/>
              </w:rPr>
              <w:sym w:font="Wingdings 2" w:char="00A3"/>
            </w:r>
            <w:r>
              <w:rPr>
                <w:sz w:val="24"/>
                <w:u w:val="none" w:color="auto"/>
              </w:rPr>
              <w:t>技术改造</w:t>
            </w:r>
          </w:p>
        </w:tc>
        <w:tc>
          <w:tcPr>
            <w:tcW w:w="2032" w:type="dxa"/>
            <w:noWrap w:val="0"/>
            <w:vAlign w:val="center"/>
          </w:tcPr>
          <w:p w14:paraId="79976303">
            <w:pPr>
              <w:adjustRightInd w:val="0"/>
              <w:snapToGrid w:val="0"/>
              <w:jc w:val="center"/>
              <w:rPr>
                <w:sz w:val="24"/>
                <w:u w:val="none" w:color="auto"/>
              </w:rPr>
            </w:pPr>
            <w:r>
              <w:rPr>
                <w:sz w:val="24"/>
                <w:u w:val="none" w:color="auto"/>
              </w:rPr>
              <w:t>建设项目申报情形</w:t>
            </w:r>
          </w:p>
        </w:tc>
        <w:tc>
          <w:tcPr>
            <w:tcW w:w="2810" w:type="dxa"/>
            <w:noWrap w:val="0"/>
            <w:vAlign w:val="center"/>
          </w:tcPr>
          <w:p w14:paraId="6A6C40BF">
            <w:pPr>
              <w:jc w:val="left"/>
              <w:rPr>
                <w:sz w:val="24"/>
                <w:u w:val="none" w:color="auto"/>
              </w:rPr>
            </w:pPr>
            <w:r>
              <w:rPr>
                <w:sz w:val="24"/>
                <w:u w:val="none" w:color="auto"/>
              </w:rPr>
              <w:sym w:font="Wingdings 2" w:char="0052"/>
            </w:r>
            <w:r>
              <w:rPr>
                <w:sz w:val="24"/>
                <w:u w:val="none" w:color="auto"/>
              </w:rPr>
              <w:t xml:space="preserve">首次申报项目             </w:t>
            </w:r>
          </w:p>
          <w:p w14:paraId="5123A3B8">
            <w:pPr>
              <w:jc w:val="left"/>
              <w:rPr>
                <w:sz w:val="24"/>
                <w:u w:val="none" w:color="auto"/>
              </w:rPr>
            </w:pPr>
            <w:r>
              <w:rPr>
                <w:sz w:val="24"/>
                <w:u w:val="none" w:color="auto"/>
              </w:rPr>
              <w:sym w:font="Wingdings 2" w:char="00A3"/>
            </w:r>
            <w:r>
              <w:rPr>
                <w:sz w:val="24"/>
                <w:u w:val="none" w:color="auto"/>
              </w:rPr>
              <w:t>不予批准后再次申报项目</w:t>
            </w:r>
          </w:p>
          <w:p w14:paraId="597071B2">
            <w:pPr>
              <w:jc w:val="left"/>
              <w:rPr>
                <w:sz w:val="24"/>
                <w:u w:val="none" w:color="auto"/>
              </w:rPr>
            </w:pPr>
            <w:r>
              <w:rPr>
                <w:sz w:val="24"/>
                <w:u w:val="none" w:color="auto"/>
              </w:rPr>
              <w:sym w:font="Wingdings 2" w:char="00A3"/>
            </w:r>
            <w:r>
              <w:rPr>
                <w:sz w:val="24"/>
                <w:u w:val="none" w:color="auto"/>
              </w:rPr>
              <w:t xml:space="preserve">超五年重新审核项目     </w:t>
            </w:r>
          </w:p>
          <w:p w14:paraId="4880C622">
            <w:pPr>
              <w:jc w:val="left"/>
              <w:rPr>
                <w:sz w:val="24"/>
                <w:u w:val="none" w:color="auto"/>
              </w:rPr>
            </w:pPr>
            <w:r>
              <w:rPr>
                <w:sz w:val="24"/>
                <w:u w:val="none" w:color="auto"/>
              </w:rPr>
              <w:sym w:font="Wingdings 2" w:char="00A3"/>
            </w:r>
            <w:r>
              <w:rPr>
                <w:sz w:val="24"/>
                <w:u w:val="none" w:color="auto"/>
              </w:rPr>
              <w:t>重大变动重新报批项目</w:t>
            </w:r>
          </w:p>
        </w:tc>
      </w:tr>
      <w:tr w14:paraId="755CF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011" w:type="dxa"/>
            <w:noWrap w:val="0"/>
            <w:tcMar>
              <w:top w:w="16" w:type="dxa"/>
              <w:left w:w="16" w:type="dxa"/>
              <w:right w:w="16" w:type="dxa"/>
            </w:tcMar>
            <w:vAlign w:val="center"/>
          </w:tcPr>
          <w:p w14:paraId="58CBF216">
            <w:pPr>
              <w:adjustRightInd w:val="0"/>
              <w:snapToGrid w:val="0"/>
              <w:jc w:val="center"/>
              <w:rPr>
                <w:sz w:val="24"/>
                <w:u w:val="none" w:color="auto"/>
              </w:rPr>
            </w:pPr>
            <w:r>
              <w:rPr>
                <w:sz w:val="24"/>
                <w:u w:val="none" w:color="auto"/>
              </w:rPr>
              <w:t>项目审批（核准/备案）部门（选填）</w:t>
            </w:r>
          </w:p>
        </w:tc>
        <w:tc>
          <w:tcPr>
            <w:tcW w:w="3017" w:type="dxa"/>
            <w:noWrap w:val="0"/>
            <w:vAlign w:val="center"/>
          </w:tcPr>
          <w:p w14:paraId="4E7052C5">
            <w:pPr>
              <w:adjustRightInd w:val="0"/>
              <w:snapToGrid w:val="0"/>
              <w:jc w:val="center"/>
              <w:rPr>
                <w:rFonts w:hint="default" w:eastAsia="宋体"/>
                <w:sz w:val="24"/>
                <w:u w:val="none" w:color="auto"/>
                <w:lang w:val="en-US" w:eastAsia="zh-CN"/>
              </w:rPr>
            </w:pPr>
            <w:r>
              <w:rPr>
                <w:rFonts w:hint="eastAsia"/>
                <w:sz w:val="24"/>
                <w:u w:val="none" w:color="auto"/>
                <w:lang w:val="en-US" w:eastAsia="zh-CN"/>
              </w:rPr>
              <w:t>新乡高新技术产业开发区管理委员会经济发展局</w:t>
            </w:r>
          </w:p>
        </w:tc>
        <w:tc>
          <w:tcPr>
            <w:tcW w:w="2032" w:type="dxa"/>
            <w:noWrap w:val="0"/>
            <w:vAlign w:val="center"/>
          </w:tcPr>
          <w:p w14:paraId="20441C67">
            <w:pPr>
              <w:adjustRightInd w:val="0"/>
              <w:snapToGrid w:val="0"/>
              <w:jc w:val="center"/>
              <w:rPr>
                <w:sz w:val="24"/>
                <w:u w:val="none" w:color="auto"/>
              </w:rPr>
            </w:pPr>
            <w:r>
              <w:rPr>
                <w:sz w:val="24"/>
                <w:u w:val="none" w:color="auto"/>
              </w:rPr>
              <w:t>项目审批（核准/</w:t>
            </w:r>
          </w:p>
          <w:p w14:paraId="07BF4FB4">
            <w:pPr>
              <w:adjustRightInd w:val="0"/>
              <w:snapToGrid w:val="0"/>
              <w:jc w:val="center"/>
              <w:rPr>
                <w:sz w:val="24"/>
                <w:u w:val="none" w:color="auto"/>
              </w:rPr>
            </w:pPr>
            <w:r>
              <w:rPr>
                <w:sz w:val="24"/>
                <w:u w:val="none" w:color="auto"/>
              </w:rPr>
              <w:t>备案）文号（选填）</w:t>
            </w:r>
          </w:p>
        </w:tc>
        <w:tc>
          <w:tcPr>
            <w:tcW w:w="2810" w:type="dxa"/>
            <w:noWrap w:val="0"/>
            <w:vAlign w:val="center"/>
          </w:tcPr>
          <w:p w14:paraId="53CAA37E">
            <w:pPr>
              <w:adjustRightInd w:val="0"/>
              <w:snapToGrid w:val="0"/>
              <w:jc w:val="center"/>
              <w:rPr>
                <w:sz w:val="24"/>
                <w:u w:val="none" w:color="auto"/>
              </w:rPr>
            </w:pPr>
            <w:r>
              <w:rPr>
                <w:rFonts w:hint="eastAsia" w:eastAsia="宋体"/>
                <w:sz w:val="24"/>
                <w:u w:val="none" w:color="auto"/>
                <w:lang w:eastAsia="zh-CN"/>
              </w:rPr>
              <w:t>2604-410771-04-02-323019</w:t>
            </w:r>
          </w:p>
        </w:tc>
      </w:tr>
      <w:tr w14:paraId="6C3940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11" w:type="dxa"/>
            <w:noWrap w:val="0"/>
            <w:tcMar>
              <w:top w:w="16" w:type="dxa"/>
              <w:left w:w="16" w:type="dxa"/>
              <w:right w:w="16" w:type="dxa"/>
            </w:tcMar>
            <w:vAlign w:val="center"/>
          </w:tcPr>
          <w:p w14:paraId="512E6E03">
            <w:pPr>
              <w:adjustRightInd w:val="0"/>
              <w:snapToGrid w:val="0"/>
              <w:jc w:val="center"/>
              <w:rPr>
                <w:sz w:val="24"/>
                <w:u w:val="none" w:color="auto"/>
              </w:rPr>
            </w:pPr>
            <w:r>
              <w:rPr>
                <w:sz w:val="24"/>
                <w:u w:val="none" w:color="auto"/>
              </w:rPr>
              <w:t>总投资（万元）</w:t>
            </w:r>
          </w:p>
        </w:tc>
        <w:tc>
          <w:tcPr>
            <w:tcW w:w="3017" w:type="dxa"/>
            <w:noWrap w:val="0"/>
            <w:vAlign w:val="center"/>
          </w:tcPr>
          <w:p w14:paraId="1198F505">
            <w:pPr>
              <w:adjustRightInd w:val="0"/>
              <w:snapToGrid w:val="0"/>
              <w:jc w:val="center"/>
              <w:rPr>
                <w:rFonts w:hint="default" w:eastAsia="宋体"/>
                <w:sz w:val="24"/>
                <w:u w:val="none" w:color="auto"/>
                <w:lang w:val="en-US" w:eastAsia="zh-CN"/>
              </w:rPr>
            </w:pPr>
            <w:r>
              <w:rPr>
                <w:rFonts w:hint="eastAsia"/>
                <w:sz w:val="24"/>
                <w:u w:val="none" w:color="auto"/>
                <w:lang w:val="en-US" w:eastAsia="zh-CN"/>
              </w:rPr>
              <w:t>10000</w:t>
            </w:r>
          </w:p>
        </w:tc>
        <w:tc>
          <w:tcPr>
            <w:tcW w:w="2032" w:type="dxa"/>
            <w:noWrap w:val="0"/>
            <w:tcMar>
              <w:top w:w="16" w:type="dxa"/>
              <w:left w:w="16" w:type="dxa"/>
              <w:right w:w="16" w:type="dxa"/>
            </w:tcMar>
            <w:vAlign w:val="center"/>
          </w:tcPr>
          <w:p w14:paraId="685BD005">
            <w:pPr>
              <w:adjustRightInd w:val="0"/>
              <w:snapToGrid w:val="0"/>
              <w:jc w:val="center"/>
              <w:rPr>
                <w:sz w:val="24"/>
                <w:u w:val="none" w:color="auto"/>
              </w:rPr>
            </w:pPr>
            <w:r>
              <w:rPr>
                <w:sz w:val="24"/>
                <w:u w:val="none" w:color="auto"/>
              </w:rPr>
              <w:t>环保投资（万元）</w:t>
            </w:r>
          </w:p>
        </w:tc>
        <w:tc>
          <w:tcPr>
            <w:tcW w:w="2810" w:type="dxa"/>
            <w:noWrap w:val="0"/>
            <w:vAlign w:val="center"/>
          </w:tcPr>
          <w:p w14:paraId="127D695B">
            <w:pPr>
              <w:adjustRightInd w:val="0"/>
              <w:snapToGrid w:val="0"/>
              <w:jc w:val="center"/>
              <w:rPr>
                <w:rFonts w:hint="default" w:eastAsia="宋体"/>
                <w:sz w:val="24"/>
                <w:u w:val="none" w:color="auto"/>
                <w:lang w:val="en-US" w:eastAsia="zh-CN"/>
              </w:rPr>
            </w:pPr>
            <w:r>
              <w:rPr>
                <w:rFonts w:hint="eastAsia"/>
                <w:sz w:val="24"/>
                <w:u w:val="none" w:color="auto"/>
                <w:lang w:val="en-US" w:eastAsia="zh-CN"/>
              </w:rPr>
              <w:t>650</w:t>
            </w:r>
          </w:p>
        </w:tc>
      </w:tr>
      <w:tr w14:paraId="62AB4A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11" w:type="dxa"/>
            <w:noWrap w:val="0"/>
            <w:tcMar>
              <w:top w:w="16" w:type="dxa"/>
              <w:left w:w="16" w:type="dxa"/>
              <w:right w:w="16" w:type="dxa"/>
            </w:tcMar>
            <w:vAlign w:val="center"/>
          </w:tcPr>
          <w:p w14:paraId="05072C55">
            <w:pPr>
              <w:adjustRightInd w:val="0"/>
              <w:snapToGrid w:val="0"/>
              <w:jc w:val="center"/>
              <w:rPr>
                <w:sz w:val="24"/>
                <w:u w:val="none" w:color="auto"/>
              </w:rPr>
            </w:pPr>
            <w:r>
              <w:rPr>
                <w:sz w:val="24"/>
                <w:u w:val="none" w:color="auto"/>
              </w:rPr>
              <w:t>环保投资占比（%）</w:t>
            </w:r>
          </w:p>
        </w:tc>
        <w:tc>
          <w:tcPr>
            <w:tcW w:w="3017" w:type="dxa"/>
            <w:noWrap w:val="0"/>
            <w:vAlign w:val="center"/>
          </w:tcPr>
          <w:p w14:paraId="329A013C">
            <w:pPr>
              <w:adjustRightInd w:val="0"/>
              <w:snapToGrid w:val="0"/>
              <w:jc w:val="center"/>
              <w:rPr>
                <w:rFonts w:hint="default" w:eastAsia="宋体"/>
                <w:sz w:val="24"/>
                <w:u w:val="none" w:color="auto"/>
                <w:lang w:val="en-US" w:eastAsia="zh-CN"/>
              </w:rPr>
            </w:pPr>
            <w:r>
              <w:rPr>
                <w:rFonts w:hint="eastAsia"/>
                <w:sz w:val="24"/>
                <w:u w:val="none" w:color="auto"/>
                <w:lang w:val="en-US" w:eastAsia="zh-CN"/>
              </w:rPr>
              <w:t>6.5</w:t>
            </w:r>
          </w:p>
        </w:tc>
        <w:tc>
          <w:tcPr>
            <w:tcW w:w="2032" w:type="dxa"/>
            <w:noWrap w:val="0"/>
            <w:tcMar>
              <w:top w:w="16" w:type="dxa"/>
              <w:left w:w="16" w:type="dxa"/>
              <w:right w:w="16" w:type="dxa"/>
            </w:tcMar>
            <w:vAlign w:val="center"/>
          </w:tcPr>
          <w:p w14:paraId="50FC1801">
            <w:pPr>
              <w:adjustRightInd w:val="0"/>
              <w:snapToGrid w:val="0"/>
              <w:jc w:val="center"/>
              <w:rPr>
                <w:sz w:val="24"/>
                <w:u w:val="none" w:color="auto"/>
              </w:rPr>
            </w:pPr>
            <w:r>
              <w:rPr>
                <w:sz w:val="24"/>
                <w:u w:val="none" w:color="auto"/>
              </w:rPr>
              <w:t>施工工期</w:t>
            </w:r>
          </w:p>
        </w:tc>
        <w:tc>
          <w:tcPr>
            <w:tcW w:w="2810" w:type="dxa"/>
            <w:noWrap w:val="0"/>
            <w:vAlign w:val="center"/>
          </w:tcPr>
          <w:p w14:paraId="7D035B1B">
            <w:pPr>
              <w:adjustRightInd w:val="0"/>
              <w:snapToGrid w:val="0"/>
              <w:jc w:val="center"/>
              <w:rPr>
                <w:sz w:val="24"/>
                <w:u w:val="none" w:color="auto"/>
              </w:rPr>
            </w:pPr>
            <w:r>
              <w:rPr>
                <w:rFonts w:hint="eastAsia"/>
                <w:sz w:val="24"/>
                <w:u w:val="none" w:color="auto"/>
                <w:lang w:val="en-US" w:eastAsia="zh-CN"/>
              </w:rPr>
              <w:t>1</w:t>
            </w:r>
            <w:r>
              <w:rPr>
                <w:sz w:val="24"/>
                <w:u w:val="none" w:color="auto"/>
              </w:rPr>
              <w:t>个月</w:t>
            </w:r>
          </w:p>
        </w:tc>
      </w:tr>
      <w:tr w14:paraId="735BA8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4" w:hRule="atLeast"/>
          <w:jc w:val="center"/>
        </w:trPr>
        <w:tc>
          <w:tcPr>
            <w:tcW w:w="1011" w:type="dxa"/>
            <w:noWrap w:val="0"/>
            <w:tcMar>
              <w:top w:w="16" w:type="dxa"/>
              <w:left w:w="16" w:type="dxa"/>
              <w:right w:w="16" w:type="dxa"/>
            </w:tcMar>
            <w:vAlign w:val="center"/>
          </w:tcPr>
          <w:p w14:paraId="1073688E">
            <w:pPr>
              <w:adjustRightInd w:val="0"/>
              <w:snapToGrid w:val="0"/>
              <w:jc w:val="center"/>
              <w:rPr>
                <w:sz w:val="24"/>
                <w:u w:val="none" w:color="auto"/>
              </w:rPr>
            </w:pPr>
            <w:r>
              <w:rPr>
                <w:sz w:val="24"/>
                <w:u w:val="none" w:color="auto"/>
              </w:rPr>
              <w:t>是否开工建设</w:t>
            </w:r>
          </w:p>
        </w:tc>
        <w:tc>
          <w:tcPr>
            <w:tcW w:w="3017" w:type="dxa"/>
            <w:noWrap w:val="0"/>
            <w:vAlign w:val="center"/>
          </w:tcPr>
          <w:p w14:paraId="5B699FF2">
            <w:pPr>
              <w:adjustRightInd w:val="0"/>
              <w:snapToGrid w:val="0"/>
              <w:rPr>
                <w:sz w:val="24"/>
                <w:u w:val="none" w:color="auto"/>
              </w:rPr>
            </w:pPr>
            <w:r>
              <w:rPr>
                <w:sz w:val="24"/>
                <w:u w:val="none" w:color="auto"/>
              </w:rPr>
              <w:sym w:font="Wingdings 2" w:char="0052"/>
            </w:r>
            <w:r>
              <w:rPr>
                <w:sz w:val="24"/>
                <w:u w:val="none" w:color="auto"/>
              </w:rPr>
              <w:t>否</w:t>
            </w:r>
          </w:p>
          <w:p w14:paraId="3C749D9C">
            <w:pPr>
              <w:adjustRightInd w:val="0"/>
              <w:snapToGrid w:val="0"/>
              <w:rPr>
                <w:sz w:val="24"/>
                <w:u w:val="none" w:color="auto"/>
              </w:rPr>
            </w:pPr>
            <w:r>
              <w:rPr>
                <w:sz w:val="24"/>
                <w:u w:val="none" w:color="auto"/>
              </w:rPr>
              <w:sym w:font="Wingdings 2" w:char="00A3"/>
            </w:r>
            <w:r>
              <w:rPr>
                <w:sz w:val="24"/>
                <w:u w:val="none" w:color="auto"/>
              </w:rPr>
              <w:t xml:space="preserve">是：             </w:t>
            </w:r>
          </w:p>
        </w:tc>
        <w:tc>
          <w:tcPr>
            <w:tcW w:w="2032" w:type="dxa"/>
            <w:noWrap w:val="0"/>
            <w:tcMar>
              <w:top w:w="16" w:type="dxa"/>
              <w:left w:w="16" w:type="dxa"/>
              <w:right w:w="16" w:type="dxa"/>
            </w:tcMar>
            <w:vAlign w:val="center"/>
          </w:tcPr>
          <w:p w14:paraId="5546ED8A">
            <w:pPr>
              <w:adjustRightInd w:val="0"/>
              <w:snapToGrid w:val="0"/>
              <w:jc w:val="center"/>
              <w:rPr>
                <w:spacing w:val="-6"/>
                <w:sz w:val="24"/>
                <w:u w:val="none" w:color="auto"/>
              </w:rPr>
            </w:pPr>
            <w:r>
              <w:rPr>
                <w:spacing w:val="-6"/>
                <w:sz w:val="24"/>
                <w:u w:val="none" w:color="auto"/>
              </w:rPr>
              <w:t>用地</w:t>
            </w:r>
          </w:p>
          <w:p w14:paraId="1ECEFCB7">
            <w:pPr>
              <w:adjustRightInd w:val="0"/>
              <w:snapToGrid w:val="0"/>
              <w:jc w:val="center"/>
              <w:rPr>
                <w:sz w:val="24"/>
                <w:u w:val="none" w:color="auto"/>
              </w:rPr>
            </w:pPr>
            <w:r>
              <w:rPr>
                <w:spacing w:val="-6"/>
                <w:sz w:val="24"/>
                <w:u w:val="none" w:color="auto"/>
              </w:rPr>
              <w:t>面积（m</w:t>
            </w:r>
            <w:r>
              <w:rPr>
                <w:spacing w:val="-6"/>
                <w:sz w:val="24"/>
                <w:u w:val="none" w:color="auto"/>
                <w:vertAlign w:val="superscript"/>
              </w:rPr>
              <w:t>2</w:t>
            </w:r>
            <w:r>
              <w:rPr>
                <w:spacing w:val="-6"/>
                <w:sz w:val="24"/>
                <w:u w:val="none" w:color="auto"/>
              </w:rPr>
              <w:t>）</w:t>
            </w:r>
          </w:p>
        </w:tc>
        <w:tc>
          <w:tcPr>
            <w:tcW w:w="2810" w:type="dxa"/>
            <w:noWrap w:val="0"/>
            <w:vAlign w:val="center"/>
          </w:tcPr>
          <w:p w14:paraId="6032715A">
            <w:pPr>
              <w:adjustRightInd w:val="0"/>
              <w:snapToGrid w:val="0"/>
              <w:jc w:val="center"/>
              <w:rPr>
                <w:rFonts w:hint="default" w:eastAsia="宋体"/>
                <w:sz w:val="24"/>
                <w:u w:val="none" w:color="auto"/>
                <w:lang w:val="en-US" w:eastAsia="zh-CN"/>
              </w:rPr>
            </w:pPr>
            <w:r>
              <w:rPr>
                <w:rFonts w:hint="eastAsia"/>
                <w:sz w:val="24"/>
                <w:u w:val="none" w:color="auto"/>
                <w:lang w:val="en-US" w:eastAsia="zh-CN"/>
              </w:rPr>
              <w:t>51000</w:t>
            </w:r>
          </w:p>
        </w:tc>
      </w:tr>
      <w:tr w14:paraId="599BA4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1" w:type="dxa"/>
            <w:noWrap w:val="0"/>
            <w:vAlign w:val="center"/>
          </w:tcPr>
          <w:p w14:paraId="1660FBBC">
            <w:pPr>
              <w:autoSpaceDE w:val="0"/>
              <w:autoSpaceDN w:val="0"/>
              <w:adjustRightInd w:val="0"/>
              <w:snapToGrid w:val="0"/>
              <w:jc w:val="center"/>
              <w:rPr>
                <w:kern w:val="0"/>
                <w:sz w:val="24"/>
                <w:u w:val="none" w:color="auto"/>
              </w:rPr>
            </w:pPr>
            <w:r>
              <w:rPr>
                <w:kern w:val="0"/>
                <w:sz w:val="24"/>
                <w:u w:val="none" w:color="auto"/>
              </w:rPr>
              <w:t>专项评价设置情况</w:t>
            </w:r>
          </w:p>
        </w:tc>
        <w:tc>
          <w:tcPr>
            <w:tcW w:w="7859" w:type="dxa"/>
            <w:gridSpan w:val="3"/>
            <w:noWrap w:val="0"/>
            <w:vAlign w:val="center"/>
          </w:tcPr>
          <w:p w14:paraId="5C22931B">
            <w:pPr>
              <w:autoSpaceDE w:val="0"/>
              <w:autoSpaceDN w:val="0"/>
              <w:adjustRightInd w:val="0"/>
              <w:snapToGrid w:val="0"/>
              <w:jc w:val="center"/>
              <w:rPr>
                <w:rFonts w:hint="eastAsia"/>
                <w:b/>
                <w:bCs/>
                <w:kern w:val="0"/>
                <w:sz w:val="24"/>
                <w:u w:val="none" w:color="auto"/>
                <w:lang w:val="en-US" w:eastAsia="zh-CN"/>
              </w:rPr>
            </w:pPr>
            <w:r>
              <w:rPr>
                <w:rFonts w:hint="eastAsia"/>
                <w:b/>
                <w:bCs/>
                <w:kern w:val="0"/>
                <w:sz w:val="24"/>
                <w:u w:val="none" w:color="auto"/>
                <w:lang w:val="en-US" w:eastAsia="zh-CN"/>
              </w:rPr>
              <w:t>表1-1    与专项评价设置原则对比一览表</w:t>
            </w:r>
          </w:p>
          <w:tbl>
            <w:tblPr>
              <w:tblStyle w:val="32"/>
              <w:tblW w:w="4999"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026"/>
              <w:gridCol w:w="3463"/>
              <w:gridCol w:w="3151"/>
            </w:tblGrid>
            <w:tr w14:paraId="2C42E83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6" w:type="dxa"/>
                  <w:tcBorders>
                    <w:bottom w:val="single" w:color="000000" w:sz="8" w:space="0"/>
                    <w:tl2br w:val="nil"/>
                    <w:tr2bl w:val="nil"/>
                  </w:tcBorders>
                  <w:noWrap w:val="0"/>
                  <w:vAlign w:val="center"/>
                </w:tcPr>
                <w:p w14:paraId="32CACDE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val="0"/>
                      <w:bCs w:val="0"/>
                      <w:color w:val="auto"/>
                      <w:kern w:val="0"/>
                      <w:szCs w:val="21"/>
                      <w:highlight w:val="none"/>
                      <w:u w:val="none" w:color="auto"/>
                      <w:lang w:bidi="ar"/>
                    </w:rPr>
                  </w:pPr>
                  <w:r>
                    <w:rPr>
                      <w:b w:val="0"/>
                      <w:bCs w:val="0"/>
                      <w:color w:val="auto"/>
                      <w:kern w:val="0"/>
                      <w:szCs w:val="21"/>
                      <w:highlight w:val="none"/>
                      <w:u w:val="none" w:color="auto"/>
                      <w:lang w:bidi="ar"/>
                    </w:rPr>
                    <w:t>专项评价的类别</w:t>
                  </w:r>
                </w:p>
              </w:tc>
              <w:tc>
                <w:tcPr>
                  <w:tcW w:w="3225" w:type="dxa"/>
                  <w:tcBorders>
                    <w:bottom w:val="single" w:color="000000" w:sz="8" w:space="0"/>
                    <w:tl2br w:val="nil"/>
                    <w:tr2bl w:val="nil"/>
                  </w:tcBorders>
                  <w:noWrap w:val="0"/>
                  <w:vAlign w:val="center"/>
                </w:tcPr>
                <w:p w14:paraId="76D5F16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val="0"/>
                      <w:bCs w:val="0"/>
                      <w:color w:val="auto"/>
                      <w:kern w:val="0"/>
                      <w:szCs w:val="21"/>
                      <w:highlight w:val="none"/>
                      <w:u w:val="none" w:color="auto"/>
                      <w:lang w:bidi="ar"/>
                    </w:rPr>
                  </w:pPr>
                  <w:r>
                    <w:rPr>
                      <w:b w:val="0"/>
                      <w:bCs w:val="0"/>
                      <w:color w:val="auto"/>
                      <w:kern w:val="0"/>
                      <w:szCs w:val="21"/>
                      <w:highlight w:val="none"/>
                      <w:u w:val="none" w:color="auto"/>
                      <w:lang w:bidi="ar"/>
                    </w:rPr>
                    <w:t>设置原则</w:t>
                  </w:r>
                </w:p>
              </w:tc>
              <w:tc>
                <w:tcPr>
                  <w:tcW w:w="2935" w:type="dxa"/>
                  <w:tcBorders>
                    <w:bottom w:val="single" w:color="000000" w:sz="8" w:space="0"/>
                    <w:tl2br w:val="nil"/>
                    <w:tr2bl w:val="nil"/>
                  </w:tcBorders>
                  <w:noWrap w:val="0"/>
                  <w:vAlign w:val="center"/>
                </w:tcPr>
                <w:p w14:paraId="48952C6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val="0"/>
                      <w:bCs w:val="0"/>
                      <w:color w:val="auto"/>
                      <w:kern w:val="0"/>
                      <w:szCs w:val="21"/>
                      <w:highlight w:val="none"/>
                      <w:u w:val="none" w:color="auto"/>
                      <w:lang w:bidi="ar"/>
                    </w:rPr>
                  </w:pPr>
                  <w:r>
                    <w:rPr>
                      <w:b w:val="0"/>
                      <w:bCs w:val="0"/>
                      <w:color w:val="auto"/>
                      <w:kern w:val="0"/>
                      <w:szCs w:val="21"/>
                      <w:highlight w:val="none"/>
                      <w:u w:val="none" w:color="auto"/>
                      <w:lang w:bidi="ar"/>
                    </w:rPr>
                    <w:t>与本项目对比</w:t>
                  </w:r>
                </w:p>
              </w:tc>
            </w:tr>
            <w:tr w14:paraId="62D6D6B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6" w:type="dxa"/>
                  <w:tcBorders>
                    <w:top w:val="single" w:color="000000" w:sz="8" w:space="0"/>
                    <w:tl2br w:val="nil"/>
                    <w:tr2bl w:val="nil"/>
                  </w:tcBorders>
                  <w:noWrap w:val="0"/>
                  <w:vAlign w:val="center"/>
                </w:tcPr>
                <w:p w14:paraId="5C21DB0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kern w:val="0"/>
                      <w:szCs w:val="21"/>
                      <w:highlight w:val="none"/>
                      <w:u w:val="none" w:color="auto"/>
                      <w:lang w:bidi="ar"/>
                    </w:rPr>
                  </w:pPr>
                  <w:r>
                    <w:rPr>
                      <w:rFonts w:hint="default" w:ascii="Times New Roman" w:hAnsi="Times New Roman" w:cs="Times New Roman"/>
                      <w:color w:val="auto"/>
                      <w:kern w:val="0"/>
                      <w:szCs w:val="21"/>
                      <w:highlight w:val="none"/>
                      <w:u w:val="none" w:color="auto"/>
                      <w:lang w:bidi="ar"/>
                    </w:rPr>
                    <w:t>大气</w:t>
                  </w:r>
                </w:p>
              </w:tc>
              <w:tc>
                <w:tcPr>
                  <w:tcW w:w="3225" w:type="dxa"/>
                  <w:tcBorders>
                    <w:top w:val="single" w:color="000000" w:sz="8" w:space="0"/>
                    <w:tl2br w:val="nil"/>
                    <w:tr2bl w:val="nil"/>
                  </w:tcBorders>
                  <w:noWrap w:val="0"/>
                  <w:vAlign w:val="center"/>
                </w:tcPr>
                <w:p w14:paraId="2557FF3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kern w:val="0"/>
                      <w:szCs w:val="21"/>
                      <w:highlight w:val="none"/>
                      <w:u w:val="none" w:color="auto"/>
                      <w:lang w:bidi="ar"/>
                    </w:rPr>
                  </w:pPr>
                  <w:r>
                    <w:rPr>
                      <w:rFonts w:hint="default" w:ascii="Times New Roman" w:hAnsi="Times New Roman" w:eastAsia="宋体" w:cs="Times New Roman"/>
                      <w:color w:val="auto"/>
                      <w:kern w:val="0"/>
                      <w:szCs w:val="21"/>
                      <w:highlight w:val="none"/>
                      <w:u w:val="none" w:color="auto"/>
                      <w:lang w:bidi="ar"/>
                    </w:rPr>
                    <w:t>排放废气含有有毒有害污染物1、二噁英、苯并[a]芘、氰化物、氯气且厂界外500米范围内有环境空气保护目标2的建设项目。</w:t>
                  </w:r>
                </w:p>
              </w:tc>
              <w:tc>
                <w:tcPr>
                  <w:tcW w:w="2935" w:type="dxa"/>
                  <w:tcBorders>
                    <w:top w:val="single" w:color="000000" w:sz="8" w:space="0"/>
                    <w:tl2br w:val="nil"/>
                    <w:tr2bl w:val="nil"/>
                  </w:tcBorders>
                  <w:noWrap w:val="0"/>
                  <w:vAlign w:val="center"/>
                </w:tcPr>
                <w:p w14:paraId="0938F15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kern w:val="0"/>
                      <w:szCs w:val="21"/>
                      <w:highlight w:val="none"/>
                      <w:u w:val="none" w:color="auto"/>
                      <w:lang w:val="en-US" w:eastAsia="zh-CN" w:bidi="ar"/>
                    </w:rPr>
                  </w:pPr>
                  <w:r>
                    <w:rPr>
                      <w:rFonts w:hint="default" w:ascii="Times New Roman" w:hAnsi="Times New Roman" w:eastAsia="宋体" w:cs="Times New Roman"/>
                      <w:color w:val="auto"/>
                      <w:kern w:val="0"/>
                      <w:szCs w:val="21"/>
                      <w:highlight w:val="none"/>
                      <w:u w:val="none" w:color="auto"/>
                      <w:lang w:bidi="ar"/>
                    </w:rPr>
                    <w:t>本项目</w:t>
                  </w:r>
                  <w:r>
                    <w:rPr>
                      <w:rFonts w:hint="eastAsia" w:ascii="Times New Roman" w:hAnsi="Times New Roman" w:eastAsia="宋体" w:cs="Times New Roman"/>
                      <w:color w:val="auto"/>
                      <w:kern w:val="0"/>
                      <w:szCs w:val="21"/>
                      <w:highlight w:val="none"/>
                      <w:u w:val="none" w:color="auto"/>
                      <w:lang w:val="en-US" w:eastAsia="zh-CN" w:bidi="ar"/>
                    </w:rPr>
                    <w:t>排放废气主要污染物为颗粒物、非甲烷总烃，不含有毒有害污染物</w:t>
                  </w:r>
                  <w:r>
                    <w:rPr>
                      <w:rFonts w:hint="default" w:ascii="Times New Roman" w:hAnsi="Times New Roman" w:eastAsia="宋体" w:cs="Times New Roman"/>
                      <w:color w:val="auto"/>
                      <w:kern w:val="0"/>
                      <w:szCs w:val="21"/>
                      <w:highlight w:val="none"/>
                      <w:u w:val="none" w:color="auto"/>
                      <w:lang w:bidi="ar"/>
                    </w:rPr>
                    <w:t>、二噁英、苯并[a]芘、氰化物、氯气</w:t>
                  </w:r>
                  <w:r>
                    <w:rPr>
                      <w:rFonts w:hint="eastAsia" w:ascii="Times New Roman" w:hAnsi="Times New Roman" w:eastAsia="宋体" w:cs="Times New Roman"/>
                      <w:color w:val="auto"/>
                      <w:kern w:val="0"/>
                      <w:szCs w:val="21"/>
                      <w:highlight w:val="none"/>
                      <w:u w:val="none" w:color="auto"/>
                      <w:lang w:eastAsia="zh-CN" w:bidi="ar"/>
                    </w:rPr>
                    <w:t>，</w:t>
                  </w:r>
                  <w:r>
                    <w:rPr>
                      <w:rFonts w:hint="eastAsia" w:ascii="Times New Roman" w:hAnsi="Times New Roman" w:eastAsia="宋体" w:cs="Times New Roman"/>
                      <w:color w:val="auto"/>
                      <w:kern w:val="0"/>
                      <w:szCs w:val="21"/>
                      <w:highlight w:val="none"/>
                      <w:u w:val="none" w:color="auto"/>
                      <w:lang w:val="en-US" w:eastAsia="zh-CN" w:bidi="ar"/>
                    </w:rPr>
                    <w:t>无需设置大气环境影响专项评价。</w:t>
                  </w:r>
                </w:p>
              </w:tc>
            </w:tr>
            <w:tr w14:paraId="55185B9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6" w:type="dxa"/>
                  <w:tcBorders>
                    <w:tl2br w:val="nil"/>
                    <w:tr2bl w:val="nil"/>
                  </w:tcBorders>
                  <w:noWrap w:val="0"/>
                  <w:vAlign w:val="center"/>
                </w:tcPr>
                <w:p w14:paraId="345E18E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kern w:val="0"/>
                      <w:szCs w:val="21"/>
                      <w:highlight w:val="none"/>
                      <w:u w:val="none" w:color="auto"/>
                      <w:lang w:bidi="ar"/>
                    </w:rPr>
                  </w:pPr>
                  <w:r>
                    <w:rPr>
                      <w:rFonts w:hint="default" w:ascii="Times New Roman" w:hAnsi="Times New Roman" w:cs="Times New Roman"/>
                      <w:color w:val="auto"/>
                      <w:kern w:val="0"/>
                      <w:szCs w:val="21"/>
                      <w:highlight w:val="none"/>
                      <w:u w:val="none" w:color="auto"/>
                      <w:lang w:bidi="ar"/>
                    </w:rPr>
                    <w:t>地表水</w:t>
                  </w:r>
                </w:p>
              </w:tc>
              <w:tc>
                <w:tcPr>
                  <w:tcW w:w="3225" w:type="dxa"/>
                  <w:tcBorders>
                    <w:tl2br w:val="nil"/>
                    <w:tr2bl w:val="nil"/>
                  </w:tcBorders>
                  <w:noWrap w:val="0"/>
                  <w:vAlign w:val="center"/>
                </w:tcPr>
                <w:p w14:paraId="09C195E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kern w:val="0"/>
                      <w:szCs w:val="21"/>
                      <w:highlight w:val="none"/>
                      <w:u w:val="none" w:color="auto"/>
                      <w:lang w:bidi="ar"/>
                    </w:rPr>
                  </w:pPr>
                  <w:r>
                    <w:rPr>
                      <w:rFonts w:hint="default" w:ascii="Times New Roman" w:hAnsi="Times New Roman" w:eastAsia="宋体" w:cs="Times New Roman"/>
                      <w:color w:val="auto"/>
                      <w:kern w:val="0"/>
                      <w:szCs w:val="21"/>
                      <w:highlight w:val="none"/>
                      <w:u w:val="none" w:color="auto"/>
                      <w:lang w:bidi="ar"/>
                    </w:rPr>
                    <w:t>新增工业废水直排建设项目（槽罐车外送污水处理厂的除外）；新增废水直排的污水集中处理厂。</w:t>
                  </w:r>
                </w:p>
              </w:tc>
              <w:tc>
                <w:tcPr>
                  <w:tcW w:w="2935" w:type="dxa"/>
                  <w:tcBorders>
                    <w:tl2br w:val="nil"/>
                    <w:tr2bl w:val="nil"/>
                  </w:tcBorders>
                  <w:noWrap w:val="0"/>
                  <w:vAlign w:val="center"/>
                </w:tcPr>
                <w:p w14:paraId="5613F09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Times New Roman" w:hAnsi="Times New Roman" w:eastAsia="宋体" w:cs="Times New Roman"/>
                      <w:color w:val="auto"/>
                      <w:kern w:val="0"/>
                      <w:szCs w:val="21"/>
                      <w:highlight w:val="none"/>
                      <w:u w:val="none" w:color="auto"/>
                      <w:lang w:bidi="ar"/>
                    </w:rPr>
                  </w:pPr>
                  <w:r>
                    <w:rPr>
                      <w:rFonts w:hint="eastAsia" w:ascii="Times New Roman" w:hAnsi="Times New Roman" w:eastAsia="宋体" w:cs="Times New Roman"/>
                      <w:color w:val="auto"/>
                      <w:kern w:val="0"/>
                      <w:szCs w:val="21"/>
                      <w:highlight w:val="none"/>
                      <w:u w:val="none" w:color="auto"/>
                      <w:lang w:bidi="ar"/>
                    </w:rPr>
                    <w:t>项目废水排入新乡市贾屯污水处理厂，属于间接排放，不属于废水直接排放的项目</w:t>
                  </w:r>
                  <w:r>
                    <w:rPr>
                      <w:rFonts w:hint="eastAsia" w:ascii="Times New Roman" w:hAnsi="Times New Roman" w:eastAsia="宋体" w:cs="Times New Roman"/>
                      <w:color w:val="auto"/>
                      <w:kern w:val="0"/>
                      <w:szCs w:val="21"/>
                      <w:highlight w:val="none"/>
                      <w:u w:val="none" w:color="auto"/>
                      <w:lang w:val="en-US" w:eastAsia="zh-CN" w:bidi="ar"/>
                    </w:rPr>
                    <w:t>，无需设置地表水环境影响专项评价。</w:t>
                  </w:r>
                </w:p>
              </w:tc>
            </w:tr>
            <w:tr w14:paraId="178A2D1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6" w:type="dxa"/>
                  <w:tcBorders>
                    <w:tl2br w:val="nil"/>
                    <w:tr2bl w:val="nil"/>
                  </w:tcBorders>
                  <w:noWrap w:val="0"/>
                  <w:vAlign w:val="center"/>
                </w:tcPr>
                <w:p w14:paraId="18A8F30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kern w:val="0"/>
                      <w:szCs w:val="21"/>
                      <w:highlight w:val="none"/>
                      <w:u w:val="none" w:color="auto"/>
                      <w:lang w:bidi="ar"/>
                    </w:rPr>
                  </w:pPr>
                  <w:r>
                    <w:rPr>
                      <w:rFonts w:hint="default" w:ascii="Times New Roman" w:hAnsi="Times New Roman" w:cs="Times New Roman"/>
                      <w:color w:val="auto"/>
                      <w:kern w:val="0"/>
                      <w:szCs w:val="21"/>
                      <w:highlight w:val="none"/>
                      <w:u w:val="none" w:color="auto"/>
                      <w:lang w:bidi="ar"/>
                    </w:rPr>
                    <w:t>环境风险</w:t>
                  </w:r>
                </w:p>
              </w:tc>
              <w:tc>
                <w:tcPr>
                  <w:tcW w:w="3225" w:type="dxa"/>
                  <w:tcBorders>
                    <w:tl2br w:val="nil"/>
                    <w:tr2bl w:val="nil"/>
                  </w:tcBorders>
                  <w:noWrap w:val="0"/>
                  <w:vAlign w:val="center"/>
                </w:tcPr>
                <w:p w14:paraId="0DCBE8A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kern w:val="0"/>
                      <w:szCs w:val="21"/>
                      <w:highlight w:val="none"/>
                      <w:u w:val="none" w:color="auto"/>
                      <w:lang w:bidi="ar"/>
                    </w:rPr>
                  </w:pPr>
                  <w:r>
                    <w:rPr>
                      <w:rFonts w:hint="default" w:ascii="Times New Roman" w:hAnsi="Times New Roman" w:eastAsia="宋体" w:cs="Times New Roman"/>
                      <w:color w:val="auto"/>
                      <w:kern w:val="0"/>
                      <w:szCs w:val="21"/>
                      <w:highlight w:val="none"/>
                      <w:u w:val="none" w:color="auto"/>
                      <w:lang w:bidi="ar"/>
                    </w:rPr>
                    <w:t>有毒有害和易燃易爆危险物质储量超过临界量的建设项目。</w:t>
                  </w:r>
                </w:p>
              </w:tc>
              <w:tc>
                <w:tcPr>
                  <w:tcW w:w="2935" w:type="dxa"/>
                  <w:tcBorders>
                    <w:tl2br w:val="nil"/>
                    <w:tr2bl w:val="nil"/>
                  </w:tcBorders>
                  <w:noWrap w:val="0"/>
                  <w:vAlign w:val="center"/>
                </w:tcPr>
                <w:p w14:paraId="2E879D4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Times New Roman" w:hAnsi="Times New Roman" w:eastAsia="宋体" w:cs="Times New Roman"/>
                      <w:color w:val="auto"/>
                      <w:kern w:val="0"/>
                      <w:szCs w:val="21"/>
                      <w:highlight w:val="none"/>
                      <w:u w:val="none" w:color="auto"/>
                      <w:lang w:val="en-US" w:eastAsia="zh-CN" w:bidi="ar"/>
                    </w:rPr>
                  </w:pPr>
                  <w:r>
                    <w:rPr>
                      <w:rFonts w:hint="default" w:ascii="Times New Roman" w:hAnsi="Times New Roman" w:eastAsia="宋体" w:cs="Times New Roman"/>
                      <w:color w:val="auto"/>
                      <w:kern w:val="0"/>
                      <w:szCs w:val="21"/>
                      <w:highlight w:val="none"/>
                      <w:u w:val="none" w:color="auto"/>
                      <w:lang w:bidi="ar"/>
                    </w:rPr>
                    <w:t>本项目风险物质主要为</w:t>
                  </w:r>
                  <w:r>
                    <w:rPr>
                      <w:rFonts w:hint="eastAsia" w:cs="Times New Roman"/>
                      <w:color w:val="auto"/>
                      <w:kern w:val="0"/>
                      <w:szCs w:val="21"/>
                      <w:highlight w:val="none"/>
                      <w:u w:val="none" w:color="auto"/>
                      <w:lang w:val="en-US" w:eastAsia="zh-CN" w:bidi="ar"/>
                    </w:rPr>
                    <w:t>锰酸锂和镍钴锰酸锂，</w:t>
                  </w:r>
                  <w:r>
                    <w:rPr>
                      <w:rFonts w:hint="eastAsia" w:ascii="Times New Roman" w:hAnsi="Times New Roman" w:eastAsia="宋体" w:cs="Times New Roman"/>
                      <w:color w:val="auto"/>
                      <w:kern w:val="0"/>
                      <w:szCs w:val="21"/>
                      <w:highlight w:val="none"/>
                      <w:u w:val="none" w:color="auto"/>
                      <w:lang w:val="en-US" w:eastAsia="zh-CN" w:bidi="ar"/>
                    </w:rPr>
                    <w:t>锰属于有毒有害元素</w:t>
                  </w:r>
                  <w:r>
                    <w:rPr>
                      <w:rFonts w:hint="eastAsia" w:cs="Times New Roman"/>
                      <w:color w:val="auto"/>
                      <w:kern w:val="0"/>
                      <w:szCs w:val="21"/>
                      <w:highlight w:val="none"/>
                      <w:u w:val="none" w:color="auto"/>
                      <w:lang w:val="en-US" w:eastAsia="zh-CN" w:bidi="ar"/>
                    </w:rPr>
                    <w:t>，锰及其化合物（以锰计）在</w:t>
                  </w:r>
                  <w:r>
                    <w:rPr>
                      <w:rFonts w:hint="eastAsia" w:cs="Times New Roman"/>
                      <w:color w:val="000000" w:themeColor="text1"/>
                      <w:kern w:val="0"/>
                      <w:szCs w:val="21"/>
                      <w:highlight w:val="none"/>
                      <w:u w:val="none" w:color="auto"/>
                      <w:lang w:val="en-US" w:eastAsia="zh-CN" w:bidi="ar"/>
                      <w14:textFill>
                        <w14:solidFill>
                          <w14:schemeClr w14:val="tx1"/>
                        </w14:solidFill>
                      </w14:textFill>
                    </w:rPr>
                    <w:t>线</w:t>
                  </w:r>
                  <w:r>
                    <w:rPr>
                      <w:rFonts w:hint="eastAsia" w:ascii="Times New Roman" w:hAnsi="Times New Roman" w:eastAsia="宋体" w:cs="Times New Roman"/>
                      <w:color w:val="000000" w:themeColor="text1"/>
                      <w:kern w:val="0"/>
                      <w:szCs w:val="21"/>
                      <w:highlight w:val="none"/>
                      <w:u w:val="none" w:color="auto"/>
                      <w:lang w:val="en-US" w:eastAsia="zh-CN" w:bidi="ar"/>
                      <w14:textFill>
                        <w14:solidFill>
                          <w14:schemeClr w14:val="tx1"/>
                        </w14:solidFill>
                      </w14:textFill>
                    </w:rPr>
                    <w:t>量为</w:t>
                  </w:r>
                  <w:r>
                    <w:rPr>
                      <w:rFonts w:hint="eastAsia" w:cs="Times New Roman"/>
                      <w:color w:val="000000" w:themeColor="text1"/>
                      <w:kern w:val="0"/>
                      <w:szCs w:val="21"/>
                      <w:highlight w:val="none"/>
                      <w:u w:val="none" w:color="auto"/>
                      <w:lang w:val="en-US" w:eastAsia="zh-CN" w:bidi="ar"/>
                      <w14:textFill>
                        <w14:solidFill>
                          <w14:schemeClr w14:val="tx1"/>
                        </w14:solidFill>
                      </w14:textFill>
                    </w:rPr>
                    <w:t>36.484</w:t>
                  </w:r>
                  <w:r>
                    <w:rPr>
                      <w:rFonts w:hint="eastAsia" w:ascii="Times New Roman" w:hAnsi="Times New Roman" w:eastAsia="宋体" w:cs="Times New Roman"/>
                      <w:color w:val="000000" w:themeColor="text1"/>
                      <w:kern w:val="0"/>
                      <w:szCs w:val="21"/>
                      <w:highlight w:val="none"/>
                      <w:u w:val="none" w:color="auto"/>
                      <w:lang w:val="en-US" w:eastAsia="zh-CN" w:bidi="ar"/>
                      <w14:textFill>
                        <w14:solidFill>
                          <w14:schemeClr w14:val="tx1"/>
                        </w14:solidFill>
                      </w14:textFill>
                    </w:rPr>
                    <w:t>t，</w:t>
                  </w:r>
                  <w:r>
                    <w:rPr>
                      <w:rFonts w:hint="eastAsia" w:ascii="Times New Roman" w:hAnsi="Times New Roman" w:eastAsia="宋体" w:cs="Times New Roman"/>
                      <w:color w:val="auto"/>
                      <w:kern w:val="0"/>
                      <w:szCs w:val="21"/>
                      <w:highlight w:val="none"/>
                      <w:u w:val="none" w:color="auto"/>
                      <w:lang w:val="en-US" w:eastAsia="zh-CN" w:bidi="ar"/>
                    </w:rPr>
                    <w:t>超过《建设项目环境风险评价技术导则》（HJ169-2018）附录 B 中临界量 0.25t，因此需设置环境风险评价专项。</w:t>
                  </w:r>
                </w:p>
              </w:tc>
            </w:tr>
            <w:tr w14:paraId="73BE6CE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6" w:type="dxa"/>
                  <w:tcBorders>
                    <w:tl2br w:val="nil"/>
                    <w:tr2bl w:val="nil"/>
                  </w:tcBorders>
                  <w:noWrap w:val="0"/>
                  <w:vAlign w:val="center"/>
                </w:tcPr>
                <w:p w14:paraId="5853D61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kern w:val="0"/>
                      <w:szCs w:val="21"/>
                      <w:highlight w:val="none"/>
                      <w:u w:val="none" w:color="auto"/>
                      <w:lang w:bidi="ar"/>
                    </w:rPr>
                  </w:pPr>
                  <w:r>
                    <w:rPr>
                      <w:rFonts w:hint="default" w:ascii="Times New Roman" w:hAnsi="Times New Roman" w:cs="Times New Roman"/>
                      <w:color w:val="auto"/>
                      <w:kern w:val="0"/>
                      <w:szCs w:val="21"/>
                      <w:highlight w:val="none"/>
                      <w:u w:val="none" w:color="auto"/>
                      <w:lang w:bidi="ar"/>
                    </w:rPr>
                    <w:t>生态</w:t>
                  </w:r>
                </w:p>
              </w:tc>
              <w:tc>
                <w:tcPr>
                  <w:tcW w:w="3225" w:type="dxa"/>
                  <w:tcBorders>
                    <w:tl2br w:val="nil"/>
                    <w:tr2bl w:val="nil"/>
                  </w:tcBorders>
                  <w:noWrap w:val="0"/>
                  <w:vAlign w:val="center"/>
                </w:tcPr>
                <w:p w14:paraId="35BC596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kern w:val="0"/>
                      <w:szCs w:val="21"/>
                      <w:highlight w:val="none"/>
                      <w:u w:val="none" w:color="auto"/>
                      <w:lang w:bidi="ar"/>
                    </w:rPr>
                  </w:pPr>
                  <w:r>
                    <w:rPr>
                      <w:rFonts w:hint="default" w:ascii="Times New Roman" w:hAnsi="Times New Roman" w:eastAsia="宋体" w:cs="Times New Roman"/>
                      <w:color w:val="auto"/>
                      <w:kern w:val="0"/>
                      <w:szCs w:val="21"/>
                      <w:highlight w:val="none"/>
                      <w:u w:val="none" w:color="auto"/>
                      <w:lang w:bidi="ar"/>
                    </w:rPr>
                    <w:t>取水口下游500米范围内有重要水生生物的自然产卵场、索饵场、越冬场和洄游通道的新增河道取水的污染类建设项目。</w:t>
                  </w:r>
                </w:p>
              </w:tc>
              <w:tc>
                <w:tcPr>
                  <w:tcW w:w="2935" w:type="dxa"/>
                  <w:tcBorders>
                    <w:tl2br w:val="nil"/>
                    <w:tr2bl w:val="nil"/>
                  </w:tcBorders>
                  <w:noWrap w:val="0"/>
                  <w:vAlign w:val="center"/>
                </w:tcPr>
                <w:p w14:paraId="20EC178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Times New Roman" w:hAnsi="Times New Roman" w:eastAsia="宋体" w:cs="Times New Roman"/>
                      <w:color w:val="auto"/>
                      <w:kern w:val="0"/>
                      <w:szCs w:val="21"/>
                      <w:highlight w:val="none"/>
                      <w:u w:val="none" w:color="auto"/>
                      <w:lang w:bidi="ar"/>
                    </w:rPr>
                  </w:pPr>
                  <w:r>
                    <w:rPr>
                      <w:rFonts w:hint="default" w:ascii="Times New Roman" w:hAnsi="Times New Roman" w:eastAsia="宋体" w:cs="Times New Roman"/>
                      <w:color w:val="auto"/>
                      <w:kern w:val="0"/>
                      <w:szCs w:val="21"/>
                      <w:highlight w:val="none"/>
                      <w:u w:val="none" w:color="auto"/>
                      <w:lang w:bidi="ar"/>
                    </w:rPr>
                    <w:t>本项目</w:t>
                  </w:r>
                  <w:r>
                    <w:rPr>
                      <w:rFonts w:hint="eastAsia" w:ascii="Times New Roman" w:hAnsi="Times New Roman" w:eastAsia="宋体" w:cs="Times New Roman"/>
                      <w:color w:val="auto"/>
                      <w:kern w:val="0"/>
                      <w:szCs w:val="21"/>
                      <w:highlight w:val="none"/>
                      <w:u w:val="none" w:color="auto"/>
                      <w:lang w:val="en-US" w:eastAsia="zh-CN" w:bidi="ar"/>
                    </w:rPr>
                    <w:t>供水为市政供水，不涉及取水口，无需设置生态环境影响专项评价。</w:t>
                  </w:r>
                </w:p>
              </w:tc>
            </w:tr>
            <w:tr w14:paraId="1E16D28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6" w:type="dxa"/>
                  <w:tcBorders>
                    <w:tl2br w:val="nil"/>
                    <w:tr2bl w:val="nil"/>
                  </w:tcBorders>
                  <w:noWrap w:val="0"/>
                  <w:vAlign w:val="center"/>
                </w:tcPr>
                <w:p w14:paraId="6BD50B8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u w:val="none" w:color="auto"/>
                      <w:lang w:bidi="ar"/>
                    </w:rPr>
                  </w:pPr>
                  <w:r>
                    <w:rPr>
                      <w:rFonts w:hint="default" w:ascii="Times New Roman" w:hAnsi="Times New Roman" w:cs="Times New Roman"/>
                      <w:color w:val="auto"/>
                      <w:kern w:val="0"/>
                      <w:szCs w:val="21"/>
                      <w:highlight w:val="none"/>
                      <w:u w:val="none" w:color="auto"/>
                      <w:lang w:bidi="ar"/>
                    </w:rPr>
                    <w:t>海洋</w:t>
                  </w:r>
                </w:p>
              </w:tc>
              <w:tc>
                <w:tcPr>
                  <w:tcW w:w="3225" w:type="dxa"/>
                  <w:tcBorders>
                    <w:tl2br w:val="nil"/>
                    <w:tr2bl w:val="nil"/>
                  </w:tcBorders>
                  <w:noWrap w:val="0"/>
                  <w:vAlign w:val="center"/>
                </w:tcPr>
                <w:p w14:paraId="5815EE9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kern w:val="0"/>
                      <w:szCs w:val="21"/>
                      <w:highlight w:val="none"/>
                      <w:u w:val="none" w:color="auto"/>
                      <w:lang w:bidi="ar"/>
                    </w:rPr>
                  </w:pPr>
                  <w:r>
                    <w:rPr>
                      <w:rFonts w:hint="default" w:ascii="Times New Roman" w:hAnsi="Times New Roman" w:cs="Times New Roman"/>
                      <w:color w:val="auto"/>
                      <w:kern w:val="0"/>
                      <w:szCs w:val="21"/>
                      <w:highlight w:val="none"/>
                      <w:u w:val="none" w:color="auto"/>
                      <w:lang w:bidi="ar"/>
                    </w:rPr>
                    <w:t>直接向海排放污染物的海洋工程建设项目。</w:t>
                  </w:r>
                </w:p>
              </w:tc>
              <w:tc>
                <w:tcPr>
                  <w:tcW w:w="2935" w:type="dxa"/>
                  <w:tcBorders>
                    <w:tl2br w:val="nil"/>
                    <w:tr2bl w:val="nil"/>
                  </w:tcBorders>
                  <w:noWrap w:val="0"/>
                  <w:vAlign w:val="center"/>
                </w:tcPr>
                <w:p w14:paraId="00D2C5C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kern w:val="0"/>
                      <w:szCs w:val="21"/>
                      <w:highlight w:val="none"/>
                      <w:u w:val="none" w:color="auto"/>
                      <w:lang w:bidi="ar"/>
                    </w:rPr>
                  </w:pPr>
                  <w:r>
                    <w:rPr>
                      <w:rFonts w:hint="default" w:ascii="Times New Roman" w:hAnsi="Times New Roman" w:cs="Times New Roman"/>
                      <w:color w:val="auto"/>
                      <w:kern w:val="0"/>
                      <w:szCs w:val="21"/>
                      <w:highlight w:val="none"/>
                      <w:u w:val="none" w:color="auto"/>
                      <w:lang w:bidi="ar"/>
                    </w:rPr>
                    <w:t>本项目</w:t>
                  </w:r>
                  <w:r>
                    <w:rPr>
                      <w:rFonts w:hint="eastAsia" w:cs="Times New Roman"/>
                      <w:color w:val="auto"/>
                      <w:kern w:val="0"/>
                      <w:szCs w:val="21"/>
                      <w:highlight w:val="none"/>
                      <w:u w:val="none" w:color="auto"/>
                      <w:lang w:val="en-US" w:eastAsia="zh-CN" w:bidi="ar"/>
                    </w:rPr>
                    <w:t>不属于海洋工程建设项目，无需设置海洋环境影响专项评价。</w:t>
                  </w:r>
                </w:p>
              </w:tc>
            </w:tr>
            <w:tr w14:paraId="40B948B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116" w:type="dxa"/>
                  <w:gridSpan w:val="3"/>
                  <w:tcBorders>
                    <w:tl2br w:val="nil"/>
                    <w:tr2bl w:val="nil"/>
                  </w:tcBorders>
                  <w:noWrap w:val="0"/>
                  <w:vAlign w:val="center"/>
                </w:tcPr>
                <w:p w14:paraId="1922F78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eastAsia="黑体"/>
                      <w:color w:val="auto"/>
                      <w:kern w:val="0"/>
                      <w:szCs w:val="21"/>
                      <w:highlight w:val="none"/>
                      <w:u w:val="none" w:color="auto"/>
                      <w:lang w:bidi="ar"/>
                    </w:rPr>
                  </w:pPr>
                  <w:r>
                    <w:rPr>
                      <w:rFonts w:hint="eastAsia" w:ascii="宋体" w:hAnsi="宋体" w:eastAsia="宋体" w:cs="宋体"/>
                      <w:b w:val="0"/>
                      <w:bCs w:val="0"/>
                      <w:color w:val="000000"/>
                      <w:sz w:val="21"/>
                      <w:szCs w:val="21"/>
                      <w:u w:val="none" w:color="auto"/>
                    </w:rPr>
                    <w:t>注：</w:t>
                  </w:r>
                  <w:r>
                    <w:rPr>
                      <w:rFonts w:ascii="Times New Roman PS MT" w:hAnsi="Times New Roman PS MT" w:eastAsia="Times New Roman PS MT" w:cs="Times New Roman PS MT"/>
                      <w:b w:val="0"/>
                      <w:bCs w:val="0"/>
                      <w:color w:val="000000"/>
                      <w:sz w:val="21"/>
                      <w:szCs w:val="21"/>
                      <w:u w:val="none" w:color="auto"/>
                    </w:rPr>
                    <w:t>1.</w:t>
                  </w:r>
                  <w:r>
                    <w:rPr>
                      <w:rFonts w:hint="eastAsia" w:ascii="宋体" w:hAnsi="宋体" w:eastAsia="宋体" w:cs="宋体"/>
                      <w:b w:val="0"/>
                      <w:bCs w:val="0"/>
                      <w:color w:val="000000"/>
                      <w:sz w:val="21"/>
                      <w:szCs w:val="21"/>
                      <w:u w:val="none" w:color="auto"/>
                    </w:rPr>
                    <w:t>废气中有毒有害污染物指纳入《有毒有害大气污染物》的污染物（不包括无排放标准的污染物）；</w:t>
                  </w:r>
                  <w:r>
                    <w:rPr>
                      <w:rFonts w:hint="default" w:ascii="Times New Roman PS MT" w:hAnsi="Times New Roman PS MT" w:eastAsia="Times New Roman PS MT" w:cs="Times New Roman PS MT"/>
                      <w:b w:val="0"/>
                      <w:bCs w:val="0"/>
                      <w:color w:val="000000"/>
                      <w:sz w:val="21"/>
                      <w:szCs w:val="21"/>
                      <w:u w:val="none" w:color="auto"/>
                    </w:rPr>
                    <w:t>2.</w:t>
                  </w:r>
                  <w:r>
                    <w:rPr>
                      <w:rFonts w:hint="eastAsia" w:ascii="宋体" w:hAnsi="宋体" w:eastAsia="宋体" w:cs="宋体"/>
                      <w:b w:val="0"/>
                      <w:bCs w:val="0"/>
                      <w:color w:val="000000"/>
                      <w:sz w:val="21"/>
                      <w:szCs w:val="21"/>
                      <w:u w:val="none" w:color="auto"/>
                    </w:rPr>
                    <w:t>环境空气保护目标指自然保护区、风景名胜区、居住区、文化区和农村地区中人群较集中的区域；</w:t>
                  </w:r>
                  <w:r>
                    <w:rPr>
                      <w:rFonts w:hint="default" w:ascii="Times New Roman PS MT" w:hAnsi="Times New Roman PS MT" w:eastAsia="Times New Roman PS MT" w:cs="Times New Roman PS MT"/>
                      <w:b w:val="0"/>
                      <w:bCs w:val="0"/>
                      <w:color w:val="000000"/>
                      <w:sz w:val="21"/>
                      <w:szCs w:val="21"/>
                      <w:u w:val="none" w:color="auto"/>
                    </w:rPr>
                    <w:t>3.</w:t>
                  </w:r>
                  <w:r>
                    <w:rPr>
                      <w:rFonts w:hint="eastAsia" w:ascii="宋体" w:hAnsi="宋体" w:eastAsia="宋体" w:cs="宋体"/>
                      <w:b w:val="0"/>
                      <w:bCs w:val="0"/>
                      <w:color w:val="000000"/>
                      <w:sz w:val="21"/>
                      <w:szCs w:val="21"/>
                      <w:u w:val="none" w:color="auto"/>
                    </w:rPr>
                    <w:t>临界量及其计算方法可参考《建设项目环境风险评价技术导则》（</w:t>
                  </w:r>
                  <w:r>
                    <w:rPr>
                      <w:rFonts w:hint="default" w:ascii="Times New Roman PS MT" w:hAnsi="Times New Roman PS MT" w:eastAsia="Times New Roman PS MT" w:cs="Times New Roman PS MT"/>
                      <w:b w:val="0"/>
                      <w:bCs w:val="0"/>
                      <w:color w:val="000000"/>
                      <w:sz w:val="21"/>
                      <w:szCs w:val="21"/>
                      <w:u w:val="none" w:color="auto"/>
                    </w:rPr>
                    <w:t>HJ169</w:t>
                  </w:r>
                  <w:r>
                    <w:rPr>
                      <w:rFonts w:hint="eastAsia" w:ascii="宋体" w:hAnsi="宋体" w:eastAsia="宋体" w:cs="宋体"/>
                      <w:b w:val="0"/>
                      <w:bCs w:val="0"/>
                      <w:color w:val="000000"/>
                      <w:sz w:val="21"/>
                      <w:szCs w:val="21"/>
                      <w:u w:val="none" w:color="auto"/>
                    </w:rPr>
                    <w:t>）附录</w:t>
                  </w:r>
                  <w:r>
                    <w:rPr>
                      <w:rFonts w:hint="default" w:ascii="Times New Roman PS MT" w:hAnsi="Times New Roman PS MT" w:eastAsia="Times New Roman PS MT" w:cs="Times New Roman PS MT"/>
                      <w:b w:val="0"/>
                      <w:bCs w:val="0"/>
                      <w:color w:val="000000"/>
                      <w:sz w:val="21"/>
                      <w:szCs w:val="21"/>
                      <w:u w:val="none" w:color="auto"/>
                    </w:rPr>
                    <w:t>B</w:t>
                  </w:r>
                  <w:r>
                    <w:rPr>
                      <w:rFonts w:hint="eastAsia" w:ascii="宋体" w:hAnsi="宋体" w:eastAsia="宋体" w:cs="宋体"/>
                      <w:b w:val="0"/>
                      <w:bCs w:val="0"/>
                      <w:color w:val="000000"/>
                      <w:sz w:val="21"/>
                      <w:szCs w:val="21"/>
                      <w:u w:val="none" w:color="auto"/>
                    </w:rPr>
                    <w:t>、附录</w:t>
                  </w:r>
                  <w:r>
                    <w:rPr>
                      <w:rFonts w:hint="default" w:ascii="Times New Roman PS MT" w:hAnsi="Times New Roman PS MT" w:eastAsia="Times New Roman PS MT" w:cs="Times New Roman PS MT"/>
                      <w:b w:val="0"/>
                      <w:bCs w:val="0"/>
                      <w:color w:val="000000"/>
                      <w:sz w:val="21"/>
                      <w:szCs w:val="21"/>
                      <w:u w:val="none" w:color="auto"/>
                    </w:rPr>
                    <w:t>C</w:t>
                  </w:r>
                  <w:r>
                    <w:rPr>
                      <w:rFonts w:hint="eastAsia" w:ascii="宋体" w:hAnsi="宋体" w:eastAsia="宋体" w:cs="宋体"/>
                      <w:b w:val="0"/>
                      <w:bCs w:val="0"/>
                      <w:color w:val="000000"/>
                      <w:sz w:val="21"/>
                      <w:szCs w:val="21"/>
                      <w:u w:val="none" w:color="auto"/>
                    </w:rPr>
                    <w:t>。</w:t>
                  </w:r>
                </w:p>
              </w:tc>
            </w:tr>
          </w:tbl>
          <w:p w14:paraId="4A4094D2">
            <w:pPr>
              <w:autoSpaceDE w:val="0"/>
              <w:autoSpaceDN w:val="0"/>
              <w:adjustRightInd w:val="0"/>
              <w:snapToGrid w:val="0"/>
              <w:jc w:val="center"/>
              <w:rPr>
                <w:rFonts w:hint="default"/>
                <w:kern w:val="0"/>
                <w:sz w:val="24"/>
                <w:u w:val="none" w:color="auto"/>
                <w:lang w:val="en-US" w:eastAsia="zh-CN"/>
              </w:rPr>
            </w:pPr>
          </w:p>
        </w:tc>
      </w:tr>
      <w:tr w14:paraId="710C18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011" w:type="dxa"/>
            <w:noWrap w:val="0"/>
            <w:vAlign w:val="center"/>
          </w:tcPr>
          <w:p w14:paraId="24D1A478">
            <w:pPr>
              <w:autoSpaceDE w:val="0"/>
              <w:autoSpaceDN w:val="0"/>
              <w:adjustRightInd w:val="0"/>
              <w:snapToGrid w:val="0"/>
              <w:jc w:val="center"/>
              <w:rPr>
                <w:kern w:val="0"/>
                <w:sz w:val="24"/>
                <w:u w:val="none" w:color="auto"/>
              </w:rPr>
            </w:pPr>
            <w:r>
              <w:rPr>
                <w:sz w:val="24"/>
                <w:u w:val="none" w:color="auto"/>
              </w:rPr>
              <w:t>规划情况</w:t>
            </w:r>
          </w:p>
        </w:tc>
        <w:tc>
          <w:tcPr>
            <w:tcW w:w="7859" w:type="dxa"/>
            <w:gridSpan w:val="3"/>
            <w:noWrap w:val="0"/>
            <w:vAlign w:val="center"/>
          </w:tcPr>
          <w:p w14:paraId="3918B7DD">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baseline"/>
              <w:rPr>
                <w:rFonts w:hint="default" w:eastAsia="宋体"/>
                <w:color w:val="000000"/>
                <w:sz w:val="24"/>
                <w:u w:val="none" w:color="auto"/>
                <w:lang w:eastAsia="zh-CN"/>
              </w:rPr>
            </w:pPr>
            <w:r>
              <w:rPr>
                <w:rFonts w:hint="default" w:ascii="Times New Roman" w:hAnsi="Times New Roman" w:eastAsia="宋体" w:cs="Times New Roman"/>
                <w:sz w:val="24"/>
                <w:szCs w:val="24"/>
                <w:u w:val="none" w:color="auto"/>
                <w:lang w:eastAsia="zh-CN"/>
              </w:rPr>
              <w:t>（</w:t>
            </w:r>
            <w:r>
              <w:rPr>
                <w:rFonts w:hint="default" w:eastAsia="宋体"/>
                <w:color w:val="000000"/>
                <w:sz w:val="24"/>
                <w:u w:val="none" w:color="auto"/>
                <w:lang w:val="en-US" w:eastAsia="zh-CN"/>
              </w:rPr>
              <w:t>1</w:t>
            </w:r>
            <w:r>
              <w:rPr>
                <w:rFonts w:hint="default" w:eastAsia="宋体"/>
                <w:color w:val="000000"/>
                <w:sz w:val="24"/>
                <w:u w:val="none" w:color="auto"/>
                <w:lang w:eastAsia="zh-CN"/>
              </w:rPr>
              <w:t>）</w:t>
            </w:r>
            <w:r>
              <w:rPr>
                <w:rFonts w:hint="default" w:eastAsia="宋体"/>
                <w:color w:val="000000"/>
                <w:sz w:val="24"/>
                <w:u w:val="none" w:color="auto"/>
              </w:rPr>
              <w:t>规划名称：</w:t>
            </w:r>
            <w:r>
              <w:rPr>
                <w:rFonts w:hint="eastAsia" w:ascii="宋体" w:hAnsi="宋体" w:eastAsia="宋体" w:cs="宋体"/>
                <w:b w:val="0"/>
                <w:bCs w:val="0"/>
                <w:color w:val="000000"/>
                <w:sz w:val="24"/>
                <w:szCs w:val="24"/>
                <w:u w:val="none" w:color="auto"/>
              </w:rPr>
              <w:t>《新乡高新技术产业集聚区发展规划（</w:t>
            </w:r>
            <w:r>
              <w:rPr>
                <w:rFonts w:ascii="Times New Roman PS MT" w:hAnsi="Times New Roman PS MT" w:eastAsia="Times New Roman PS MT" w:cs="Times New Roman PS MT"/>
                <w:b w:val="0"/>
                <w:bCs w:val="0"/>
                <w:color w:val="000000"/>
                <w:sz w:val="24"/>
                <w:szCs w:val="24"/>
                <w:u w:val="none" w:color="auto"/>
              </w:rPr>
              <w:t>2009-2020</w:t>
            </w:r>
            <w:r>
              <w:rPr>
                <w:rFonts w:hint="eastAsia" w:ascii="宋体" w:hAnsi="宋体" w:eastAsia="宋体" w:cs="宋体"/>
                <w:b w:val="0"/>
                <w:bCs w:val="0"/>
                <w:color w:val="000000"/>
                <w:sz w:val="24"/>
                <w:szCs w:val="24"/>
                <w:u w:val="none" w:color="auto"/>
              </w:rPr>
              <w:t>）》</w:t>
            </w:r>
          </w:p>
          <w:p w14:paraId="6A730BE2">
            <w:pPr>
              <w:keepNext w:val="0"/>
              <w:keepLines w:val="0"/>
              <w:pageBreakBefore w:val="0"/>
              <w:widowControl w:val="0"/>
              <w:kinsoku/>
              <w:wordWrap/>
              <w:overflowPunct/>
              <w:topLinePunct w:val="0"/>
              <w:autoSpaceDE w:val="0"/>
              <w:autoSpaceDN w:val="0"/>
              <w:bidi w:val="0"/>
              <w:adjustRightInd w:val="0"/>
              <w:snapToGrid w:val="0"/>
              <w:spacing w:line="520" w:lineRule="exact"/>
              <w:jc w:val="both"/>
              <w:textAlignment w:val="auto"/>
              <w:rPr>
                <w:kern w:val="0"/>
                <w:sz w:val="24"/>
                <w:u w:val="none" w:color="auto"/>
              </w:rPr>
            </w:pPr>
            <w:r>
              <w:rPr>
                <w:rFonts w:hint="default" w:eastAsia="宋体"/>
                <w:color w:val="000000"/>
                <w:sz w:val="24"/>
                <w:u w:val="none" w:color="auto"/>
                <w:lang w:val="en-US" w:eastAsia="zh-CN"/>
              </w:rPr>
              <w:t>（2）审批机关：</w:t>
            </w:r>
            <w:r>
              <w:rPr>
                <w:rFonts w:hint="eastAsia"/>
                <w:kern w:val="0"/>
                <w:sz w:val="24"/>
                <w:u w:val="none" w:color="auto"/>
              </w:rPr>
              <w:t>河南省发展和改革委员会</w:t>
            </w:r>
          </w:p>
          <w:p w14:paraId="7B60F96E">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baseline"/>
              <w:rPr>
                <w:rFonts w:hint="default"/>
                <w:color w:val="000000"/>
                <w:sz w:val="24"/>
                <w:szCs w:val="20"/>
                <w:u w:val="none" w:color="auto"/>
                <w:lang w:val="en-US"/>
              </w:rPr>
            </w:pPr>
            <w:r>
              <w:rPr>
                <w:rFonts w:hint="default" w:eastAsia="宋体"/>
                <w:color w:val="000000"/>
                <w:sz w:val="24"/>
                <w:u w:val="none" w:color="auto"/>
                <w:lang w:val="en-US" w:eastAsia="zh-CN"/>
              </w:rPr>
              <w:t>（3）审批文件名称及文号：</w:t>
            </w:r>
            <w:r>
              <w:rPr>
                <w:rFonts w:hint="eastAsia"/>
                <w:kern w:val="0"/>
                <w:sz w:val="24"/>
                <w:u w:val="none" w:color="auto"/>
              </w:rPr>
              <w:t>《河南省发展和改革委员会关于新乡高新技术产业集聚区发展规划（2009-2020年）的批复》（豫发改工业[2010]2089号）</w:t>
            </w:r>
          </w:p>
        </w:tc>
      </w:tr>
      <w:tr w14:paraId="74B960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011" w:type="dxa"/>
            <w:noWrap w:val="0"/>
            <w:vAlign w:val="center"/>
          </w:tcPr>
          <w:p w14:paraId="0CD5EAC7">
            <w:pPr>
              <w:autoSpaceDE w:val="0"/>
              <w:autoSpaceDN w:val="0"/>
              <w:adjustRightInd w:val="0"/>
              <w:snapToGrid w:val="0"/>
              <w:jc w:val="center"/>
              <w:rPr>
                <w:sz w:val="24"/>
                <w:u w:val="none" w:color="auto"/>
              </w:rPr>
            </w:pPr>
            <w:r>
              <w:rPr>
                <w:sz w:val="24"/>
                <w:u w:val="none" w:color="auto"/>
              </w:rPr>
              <w:t>规划环境影响评价情况</w:t>
            </w:r>
          </w:p>
        </w:tc>
        <w:tc>
          <w:tcPr>
            <w:tcW w:w="7859" w:type="dxa"/>
            <w:gridSpan w:val="3"/>
            <w:noWrap w:val="0"/>
            <w:vAlign w:val="center"/>
          </w:tcPr>
          <w:p w14:paraId="388E605C">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baseline"/>
              <w:rPr>
                <w:rFonts w:hint="default" w:ascii="Times New Roman" w:hAnsi="Times New Roman" w:eastAsia="宋体" w:cs="Times New Roman"/>
                <w:color w:val="000000"/>
                <w:sz w:val="24"/>
                <w:u w:val="none" w:color="auto"/>
                <w:lang w:val="en-US" w:eastAsia="zh-CN"/>
              </w:rPr>
            </w:pPr>
            <w:r>
              <w:rPr>
                <w:rFonts w:hint="default" w:ascii="Times New Roman" w:hAnsi="Times New Roman" w:eastAsia="宋体" w:cs="Times New Roman"/>
                <w:color w:val="000000"/>
                <w:sz w:val="24"/>
                <w:u w:val="none" w:color="auto"/>
                <w:lang w:val="en-US" w:eastAsia="zh-CN"/>
              </w:rPr>
              <w:t>（1）规划环境影响评价文件：《新乡高新技术产业集聚区发展规划（2009-2020年）环境影响报告书》</w:t>
            </w:r>
          </w:p>
          <w:p w14:paraId="49CB4302">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baseline"/>
              <w:rPr>
                <w:rFonts w:hint="eastAsia" w:ascii="Times New Roman" w:hAnsi="Times New Roman" w:eastAsia="宋体" w:cs="Times New Roman"/>
                <w:color w:val="000000"/>
                <w:sz w:val="24"/>
                <w:u w:val="none" w:color="auto"/>
                <w:lang w:val="en-US" w:eastAsia="zh-CN"/>
              </w:rPr>
            </w:pPr>
            <w:r>
              <w:rPr>
                <w:rFonts w:hint="default" w:ascii="Times New Roman" w:hAnsi="Times New Roman" w:eastAsia="宋体" w:cs="Times New Roman"/>
                <w:color w:val="000000"/>
                <w:sz w:val="24"/>
                <w:u w:val="none" w:color="auto"/>
                <w:lang w:val="en-US" w:eastAsia="zh-CN"/>
              </w:rPr>
              <w:t>召集审查机关：河南省环境保护厅</w:t>
            </w:r>
          </w:p>
          <w:p w14:paraId="55A2F707">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baseline"/>
              <w:rPr>
                <w:rFonts w:hint="eastAsia" w:ascii="Times New Roman" w:hAnsi="Times New Roman" w:eastAsia="宋体" w:cs="Times New Roman"/>
                <w:color w:val="000000"/>
                <w:sz w:val="24"/>
                <w:u w:val="none" w:color="auto"/>
                <w:lang w:val="en-US" w:eastAsia="zh-CN"/>
              </w:rPr>
            </w:pPr>
            <w:r>
              <w:rPr>
                <w:rFonts w:hint="default" w:ascii="Times New Roman" w:hAnsi="Times New Roman" w:eastAsia="宋体" w:cs="Times New Roman"/>
                <w:color w:val="000000"/>
                <w:sz w:val="24"/>
                <w:u w:val="none" w:color="auto"/>
                <w:lang w:val="en-US" w:eastAsia="zh-CN"/>
              </w:rPr>
              <w:t>审查文件名称及文号：</w:t>
            </w:r>
            <w:r>
              <w:rPr>
                <w:rFonts w:hint="eastAsia" w:ascii="Times New Roman" w:hAnsi="Times New Roman" w:eastAsia="宋体" w:cs="Times New Roman"/>
                <w:color w:val="000000"/>
                <w:sz w:val="24"/>
                <w:u w:val="none" w:color="auto"/>
                <w:lang w:val="en-US" w:eastAsia="zh-CN"/>
              </w:rPr>
              <w:t>《河南省环境保护厅关于新乡高新技术产业集聚区发展规划（2009-2020年）环境影响报告书的审查意见》（豫环审[2010]335号文）</w:t>
            </w:r>
          </w:p>
          <w:p w14:paraId="6493D3F2">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baseline"/>
              <w:rPr>
                <w:rFonts w:hint="eastAsia" w:ascii="Times New Roman" w:hAnsi="Times New Roman" w:eastAsia="宋体" w:cs="Times New Roman"/>
                <w:color w:val="000000"/>
                <w:sz w:val="24"/>
                <w:u w:val="none" w:color="auto"/>
                <w:lang w:val="en-US" w:eastAsia="zh-CN"/>
              </w:rPr>
            </w:pPr>
            <w:r>
              <w:rPr>
                <w:rFonts w:hint="eastAsia" w:ascii="Times New Roman" w:hAnsi="Times New Roman" w:eastAsia="宋体" w:cs="Times New Roman"/>
                <w:color w:val="000000"/>
                <w:sz w:val="24"/>
                <w:u w:val="none" w:color="auto"/>
                <w:lang w:val="en-US" w:eastAsia="zh-CN"/>
              </w:rPr>
              <w:t>（2）规划环境影响评价文件名称：《新乡高新技术产业集聚区发展规划（2009-2020年）环境影响跟踪评价报告书》</w:t>
            </w:r>
          </w:p>
          <w:p w14:paraId="51C846A0">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baseline"/>
              <w:rPr>
                <w:rFonts w:hint="default" w:ascii="Times New Roman" w:hAnsi="Times New Roman" w:eastAsia="宋体" w:cs="Times New Roman"/>
                <w:color w:val="000000"/>
                <w:sz w:val="24"/>
                <w:u w:val="none" w:color="auto"/>
                <w:lang w:val="en-US" w:eastAsia="zh-CN"/>
              </w:rPr>
            </w:pPr>
            <w:r>
              <w:rPr>
                <w:rFonts w:hint="default" w:ascii="Times New Roman" w:hAnsi="Times New Roman" w:eastAsia="宋体" w:cs="Times New Roman"/>
                <w:color w:val="000000"/>
                <w:sz w:val="24"/>
                <w:u w:val="none" w:color="auto"/>
                <w:lang w:val="en-US" w:eastAsia="zh-CN"/>
              </w:rPr>
              <w:t>召集审查机关：河南省生态环境厅</w:t>
            </w:r>
          </w:p>
          <w:p w14:paraId="39F99542">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baseline"/>
              <w:rPr>
                <w:rFonts w:hint="eastAsia" w:ascii="Times New Roman" w:hAnsi="Times New Roman" w:eastAsia="宋体" w:cs="Times New Roman"/>
                <w:color w:val="000000"/>
                <w:sz w:val="24"/>
                <w:u w:val="none" w:color="auto"/>
                <w:lang w:val="en-US" w:eastAsia="zh-CN"/>
              </w:rPr>
            </w:pPr>
            <w:r>
              <w:rPr>
                <w:rFonts w:hint="default" w:ascii="Times New Roman" w:hAnsi="Times New Roman" w:eastAsia="宋体" w:cs="Times New Roman"/>
                <w:color w:val="000000"/>
                <w:sz w:val="24"/>
                <w:u w:val="none" w:color="auto"/>
                <w:lang w:val="en-US" w:eastAsia="zh-CN"/>
              </w:rPr>
              <w:t>审查文件名称及文号：</w:t>
            </w:r>
            <w:r>
              <w:rPr>
                <w:rFonts w:hint="eastAsia" w:ascii="Times New Roman" w:hAnsi="Times New Roman" w:eastAsia="宋体" w:cs="Times New Roman"/>
                <w:color w:val="000000"/>
                <w:sz w:val="24"/>
                <w:u w:val="none" w:color="auto"/>
                <w:lang w:val="en-US" w:eastAsia="zh-CN"/>
              </w:rPr>
              <w:t>《河南省生态环境厅关于新乡高新技术产业集聚区发展规划环境影响跟踪评价报告书的审核意见》（豫环函（2019）248号）</w:t>
            </w:r>
          </w:p>
          <w:p w14:paraId="780D064A">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baseline"/>
              <w:rPr>
                <w:rFonts w:hint="eastAsia" w:ascii="Times New Roman" w:hAnsi="Times New Roman" w:eastAsia="宋体" w:cs="Times New Roman"/>
                <w:color w:val="000000"/>
                <w:sz w:val="24"/>
                <w:u w:val="none" w:color="auto"/>
                <w:lang w:val="en-US" w:eastAsia="zh-CN"/>
              </w:rPr>
            </w:pPr>
          </w:p>
          <w:p w14:paraId="35FBECA4">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baseline"/>
              <w:rPr>
                <w:rFonts w:hint="eastAsia" w:ascii="Times New Roman" w:hAnsi="Times New Roman" w:eastAsia="宋体" w:cs="Times New Roman"/>
                <w:color w:val="000000"/>
                <w:sz w:val="24"/>
                <w:u w:val="none" w:color="auto"/>
                <w:lang w:val="en-US" w:eastAsia="zh-CN"/>
              </w:rPr>
            </w:pPr>
          </w:p>
          <w:p w14:paraId="104F7142">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baseline"/>
              <w:rPr>
                <w:rFonts w:hint="eastAsia" w:ascii="Times New Roman" w:hAnsi="Times New Roman" w:eastAsia="宋体" w:cs="Times New Roman"/>
                <w:color w:val="000000"/>
                <w:sz w:val="24"/>
                <w:u w:val="none" w:color="auto"/>
                <w:lang w:val="en-US" w:eastAsia="zh-CN"/>
              </w:rPr>
            </w:pPr>
          </w:p>
          <w:p w14:paraId="2058EFB0">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baseline"/>
              <w:rPr>
                <w:rFonts w:hint="eastAsia" w:ascii="Times New Roman" w:hAnsi="Times New Roman" w:eastAsia="宋体" w:cs="Times New Roman"/>
                <w:color w:val="000000"/>
                <w:sz w:val="24"/>
                <w:u w:val="none" w:color="auto"/>
                <w:lang w:val="en-US" w:eastAsia="zh-CN"/>
              </w:rPr>
            </w:pPr>
          </w:p>
        </w:tc>
      </w:tr>
      <w:tr w14:paraId="264873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011" w:type="dxa"/>
            <w:noWrap w:val="0"/>
            <w:vAlign w:val="center"/>
          </w:tcPr>
          <w:p w14:paraId="1CFAA8E2">
            <w:pPr>
              <w:autoSpaceDE w:val="0"/>
              <w:autoSpaceDN w:val="0"/>
              <w:adjustRightInd w:val="0"/>
              <w:snapToGrid w:val="0"/>
              <w:jc w:val="center"/>
              <w:rPr>
                <w:kern w:val="0"/>
                <w:sz w:val="24"/>
                <w:highlight w:val="yellow"/>
                <w:u w:val="none" w:color="auto"/>
              </w:rPr>
            </w:pPr>
            <w:r>
              <w:rPr>
                <w:kern w:val="0"/>
                <w:sz w:val="24"/>
                <w:u w:val="none" w:color="auto"/>
              </w:rPr>
              <w:t>规划及规划环境影响评价符合性分析</w:t>
            </w:r>
          </w:p>
        </w:tc>
        <w:tc>
          <w:tcPr>
            <w:tcW w:w="7859" w:type="dxa"/>
            <w:gridSpan w:val="3"/>
            <w:noWrap w:val="0"/>
            <w:vAlign w:val="center"/>
          </w:tcPr>
          <w:p w14:paraId="63D7DAC8">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both"/>
              <w:textAlignment w:val="baseline"/>
              <w:rPr>
                <w:rFonts w:hint="eastAsia" w:ascii="Times New Roman" w:hAnsi="Times New Roman" w:eastAsia="宋体" w:cs="Times New Roman"/>
                <w:b/>
                <w:bCs/>
                <w:color w:val="000000"/>
                <w:sz w:val="24"/>
                <w:u w:val="none" w:color="auto"/>
                <w:lang w:val="en-US" w:eastAsia="zh-CN"/>
              </w:rPr>
            </w:pPr>
            <w:r>
              <w:rPr>
                <w:rFonts w:hint="eastAsia" w:ascii="Times New Roman" w:hAnsi="Times New Roman" w:eastAsia="宋体" w:cs="Times New Roman"/>
                <w:b/>
                <w:bCs/>
                <w:color w:val="000000"/>
                <w:sz w:val="24"/>
                <w:u w:val="none" w:color="auto"/>
                <w:lang w:val="en-US" w:eastAsia="zh-CN"/>
              </w:rPr>
              <w:t>1、项目与《</w:t>
            </w:r>
            <w:r>
              <w:rPr>
                <w:rFonts w:hint="default" w:ascii="Times New Roman" w:hAnsi="Times New Roman" w:eastAsia="宋体" w:cs="Times New Roman"/>
                <w:b/>
                <w:bCs/>
                <w:color w:val="000000"/>
                <w:sz w:val="24"/>
                <w:u w:val="none" w:color="auto"/>
                <w:lang w:val="en-US" w:eastAsia="zh-CN"/>
              </w:rPr>
              <w:t>新乡高新技术产业集聚区发展规划（2009-2020年）环境影响报告书》</w:t>
            </w:r>
            <w:r>
              <w:rPr>
                <w:rFonts w:hint="eastAsia" w:ascii="Times New Roman" w:hAnsi="Times New Roman" w:eastAsia="宋体" w:cs="Times New Roman"/>
                <w:b/>
                <w:bCs/>
                <w:color w:val="000000"/>
                <w:sz w:val="24"/>
                <w:u w:val="none" w:color="auto"/>
                <w:lang w:val="en-US" w:eastAsia="zh-CN"/>
              </w:rPr>
              <w:t>准入条件对照分析</w:t>
            </w:r>
          </w:p>
          <w:p w14:paraId="3299F74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both"/>
              <w:textAlignment w:val="baseline"/>
              <w:rPr>
                <w:rFonts w:hint="default" w:ascii="Times New Roman" w:hAnsi="Times New Roman" w:eastAsia="宋体" w:cs="Times New Roman"/>
                <w:color w:val="000000"/>
                <w:sz w:val="24"/>
                <w:u w:val="none" w:color="auto"/>
                <w:lang w:val="en-US" w:eastAsia="zh-CN"/>
              </w:rPr>
            </w:pPr>
            <w:r>
              <w:rPr>
                <w:rFonts w:hint="eastAsia" w:ascii="Times New Roman" w:hAnsi="Times New Roman" w:eastAsia="宋体" w:cs="Times New Roman"/>
                <w:color w:val="000000"/>
                <w:sz w:val="24"/>
                <w:u w:val="none" w:color="auto"/>
                <w:lang w:val="en-US" w:eastAsia="zh-CN"/>
              </w:rPr>
              <w:t>根据《</w:t>
            </w:r>
            <w:r>
              <w:rPr>
                <w:rFonts w:hint="default" w:ascii="Times New Roman" w:hAnsi="Times New Roman" w:eastAsia="宋体" w:cs="Times New Roman"/>
                <w:color w:val="000000"/>
                <w:sz w:val="24"/>
                <w:u w:val="none" w:color="auto"/>
                <w:lang w:val="en-US" w:eastAsia="zh-CN"/>
              </w:rPr>
              <w:t>新乡高新技术产业集聚区发展规划（2009-2020年）环境影响报告书》</w:t>
            </w:r>
            <w:r>
              <w:rPr>
                <w:rFonts w:hint="eastAsia" w:ascii="Times New Roman" w:hAnsi="Times New Roman" w:eastAsia="宋体" w:cs="Times New Roman"/>
                <w:color w:val="000000"/>
                <w:sz w:val="24"/>
                <w:u w:val="none" w:color="auto"/>
                <w:lang w:val="en-US" w:eastAsia="zh-CN"/>
              </w:rPr>
              <w:t>内容，项目与准入条件相符性分析见下表。</w:t>
            </w:r>
          </w:p>
          <w:p w14:paraId="5F36626B">
            <w:pPr>
              <w:keepNext w:val="0"/>
              <w:keepLines w:val="0"/>
              <w:pageBreakBefore w:val="0"/>
              <w:widowControl w:val="0"/>
              <w:kinsoku/>
              <w:wordWrap/>
              <w:overflowPunct/>
              <w:topLinePunct w:val="0"/>
              <w:autoSpaceDE w:val="0"/>
              <w:autoSpaceDN w:val="0"/>
              <w:bidi w:val="0"/>
              <w:adjustRightInd w:val="0"/>
              <w:snapToGrid w:val="0"/>
              <w:spacing w:line="440" w:lineRule="exact"/>
              <w:jc w:val="center"/>
              <w:rPr>
                <w:rFonts w:hint="eastAsia"/>
                <w:b/>
                <w:bCs/>
                <w:kern w:val="0"/>
                <w:sz w:val="24"/>
                <w:u w:val="none" w:color="auto"/>
                <w:lang w:val="en-US" w:eastAsia="zh-CN"/>
              </w:rPr>
            </w:pPr>
            <w:r>
              <w:rPr>
                <w:rFonts w:hint="eastAsia"/>
                <w:b/>
                <w:bCs/>
                <w:kern w:val="0"/>
                <w:sz w:val="24"/>
                <w:u w:val="none" w:color="auto"/>
                <w:lang w:val="en-US" w:eastAsia="zh-CN"/>
              </w:rPr>
              <w:t>表1-2    本项目与准入条件对照表</w:t>
            </w:r>
          </w:p>
          <w:tbl>
            <w:tblPr>
              <w:tblStyle w:val="32"/>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1"/>
              <w:gridCol w:w="3664"/>
              <w:gridCol w:w="2502"/>
              <w:gridCol w:w="756"/>
            </w:tblGrid>
            <w:tr w14:paraId="5DFBA04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tcBorders>
                    <w:bottom w:val="single" w:color="000000" w:sz="8" w:space="0"/>
                    <w:tl2br w:val="nil"/>
                    <w:tr2bl w:val="nil"/>
                  </w:tcBorders>
                  <w:noWrap w:val="0"/>
                  <w:vAlign w:val="center"/>
                </w:tcPr>
                <w:p w14:paraId="446D31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类别</w:t>
                  </w:r>
                </w:p>
              </w:tc>
              <w:tc>
                <w:tcPr>
                  <w:tcW w:w="2397" w:type="pct"/>
                  <w:tcBorders>
                    <w:bottom w:val="single" w:color="000000" w:sz="8" w:space="0"/>
                    <w:tl2br w:val="nil"/>
                    <w:tr2bl w:val="nil"/>
                  </w:tcBorders>
                  <w:noWrap w:val="0"/>
                  <w:vAlign w:val="center"/>
                </w:tcPr>
                <w:p w14:paraId="7E3D4E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准入条件</w:t>
                  </w:r>
                  <w:r>
                    <w:rPr>
                      <w:rFonts w:hint="eastAsia"/>
                      <w:b w:val="0"/>
                      <w:bCs w:val="0"/>
                      <w:color w:val="000000"/>
                      <w:sz w:val="21"/>
                      <w:szCs w:val="21"/>
                      <w:u w:val="none" w:color="auto"/>
                    </w:rPr>
                    <w:t>内容</w:t>
                  </w:r>
                </w:p>
              </w:tc>
              <w:tc>
                <w:tcPr>
                  <w:tcW w:w="1637" w:type="pct"/>
                  <w:tcBorders>
                    <w:bottom w:val="single" w:color="000000" w:sz="8" w:space="0"/>
                    <w:tl2br w:val="nil"/>
                    <w:tr2bl w:val="nil"/>
                  </w:tcBorders>
                  <w:noWrap w:val="0"/>
                  <w:vAlign w:val="center"/>
                </w:tcPr>
                <w:p w14:paraId="42BA0E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本项目情况</w:t>
                  </w:r>
                </w:p>
              </w:tc>
              <w:tc>
                <w:tcPr>
                  <w:tcW w:w="494" w:type="pct"/>
                  <w:tcBorders>
                    <w:bottom w:val="single" w:color="000000" w:sz="8" w:space="0"/>
                    <w:tl2br w:val="nil"/>
                    <w:tr2bl w:val="nil"/>
                  </w:tcBorders>
                  <w:noWrap w:val="0"/>
                  <w:vAlign w:val="center"/>
                </w:tcPr>
                <w:p w14:paraId="0E5F83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rFonts w:hint="eastAsia"/>
                      <w:b w:val="0"/>
                      <w:bCs w:val="0"/>
                      <w:color w:val="000000"/>
                      <w:sz w:val="21"/>
                      <w:szCs w:val="21"/>
                      <w:u w:val="none" w:color="auto"/>
                    </w:rPr>
                    <w:t>相符性</w:t>
                  </w:r>
                </w:p>
              </w:tc>
            </w:tr>
            <w:tr w14:paraId="0B1662A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restart"/>
                  <w:tcBorders>
                    <w:top w:val="single" w:color="000000" w:sz="8" w:space="0"/>
                    <w:tl2br w:val="nil"/>
                    <w:tr2bl w:val="nil"/>
                  </w:tcBorders>
                  <w:noWrap w:val="0"/>
                  <w:vAlign w:val="center"/>
                </w:tcPr>
                <w:p w14:paraId="07F3BC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r>
                    <w:rPr>
                      <w:rFonts w:hint="eastAsia"/>
                      <w:b w:val="0"/>
                      <w:bCs w:val="0"/>
                      <w:sz w:val="21"/>
                      <w:szCs w:val="21"/>
                      <w:u w:val="none" w:color="auto"/>
                    </w:rPr>
                    <w:t>产业政策</w:t>
                  </w:r>
                </w:p>
              </w:tc>
              <w:tc>
                <w:tcPr>
                  <w:tcW w:w="2397" w:type="pct"/>
                  <w:tcBorders>
                    <w:top w:val="single" w:color="000000" w:sz="8" w:space="0"/>
                    <w:tl2br w:val="nil"/>
                    <w:tr2bl w:val="nil"/>
                  </w:tcBorders>
                  <w:noWrap w:val="0"/>
                  <w:vAlign w:val="center"/>
                </w:tcPr>
                <w:p w14:paraId="0017C3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1.集聚区规划主导产业为电子电器产业、生物技术产业与印刷包装产业，辅助发展相关产业食品加工、机械制造工业，与集聚区产业链相关的轻污染项目优先入园。</w:t>
                  </w:r>
                </w:p>
              </w:tc>
              <w:tc>
                <w:tcPr>
                  <w:tcW w:w="1637" w:type="pct"/>
                  <w:tcBorders>
                    <w:top w:val="single" w:color="000000" w:sz="8" w:space="0"/>
                    <w:tl2br w:val="nil"/>
                    <w:tr2bl w:val="nil"/>
                  </w:tcBorders>
                  <w:noWrap w:val="0"/>
                  <w:vAlign w:val="center"/>
                </w:tcPr>
                <w:p w14:paraId="3A776B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b w:val="0"/>
                      <w:bCs w:val="0"/>
                      <w:color w:val="000000"/>
                      <w:sz w:val="21"/>
                      <w:szCs w:val="21"/>
                      <w:u w:val="none" w:color="auto"/>
                      <w:lang w:val="en-US"/>
                    </w:rPr>
                  </w:pPr>
                  <w:r>
                    <w:rPr>
                      <w:rFonts w:hint="eastAsia"/>
                      <w:b w:val="0"/>
                      <w:bCs w:val="0"/>
                      <w:color w:val="000000"/>
                      <w:sz w:val="21"/>
                      <w:szCs w:val="21"/>
                      <w:u w:val="none" w:color="auto"/>
                    </w:rPr>
                    <w:t>本项目</w:t>
                  </w:r>
                  <w:r>
                    <w:rPr>
                      <w:rFonts w:hint="eastAsia"/>
                      <w:b w:val="0"/>
                      <w:bCs w:val="0"/>
                      <w:color w:val="000000"/>
                      <w:sz w:val="21"/>
                      <w:szCs w:val="21"/>
                      <w:u w:val="none" w:color="auto"/>
                      <w:lang w:eastAsia="zh-CN"/>
                    </w:rPr>
                    <w:t>属于</w:t>
                  </w:r>
                  <w:r>
                    <w:rPr>
                      <w:rFonts w:hint="eastAsia"/>
                      <w:b w:val="0"/>
                      <w:bCs w:val="0"/>
                      <w:color w:val="000000"/>
                      <w:sz w:val="21"/>
                      <w:szCs w:val="21"/>
                      <w:u w:val="none" w:color="auto"/>
                      <w:lang w:val="en-US" w:eastAsia="zh-CN"/>
                    </w:rPr>
                    <w:t>锂离子电池制造，属于电子电器相关产业，属于园区主导产业。</w:t>
                  </w:r>
                </w:p>
              </w:tc>
              <w:tc>
                <w:tcPr>
                  <w:tcW w:w="494" w:type="pct"/>
                  <w:tcBorders>
                    <w:top w:val="single" w:color="000000" w:sz="8" w:space="0"/>
                    <w:tl2br w:val="nil"/>
                    <w:tr2bl w:val="nil"/>
                  </w:tcBorders>
                  <w:noWrap w:val="0"/>
                  <w:vAlign w:val="center"/>
                </w:tcPr>
                <w:p w14:paraId="0F3E9D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181AD02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continue"/>
                  <w:tcBorders>
                    <w:tl2br w:val="nil"/>
                    <w:tr2bl w:val="nil"/>
                  </w:tcBorders>
                  <w:noWrap w:val="0"/>
                  <w:vAlign w:val="center"/>
                </w:tcPr>
                <w:p w14:paraId="4A9131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p>
              </w:tc>
              <w:tc>
                <w:tcPr>
                  <w:tcW w:w="2397" w:type="pct"/>
                  <w:tcBorders>
                    <w:tl2br w:val="nil"/>
                    <w:tr2bl w:val="nil"/>
                  </w:tcBorders>
                  <w:noWrap w:val="0"/>
                  <w:vAlign w:val="center"/>
                </w:tcPr>
                <w:p w14:paraId="280762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2.鼓励符合集聚区规划产业定位项目入区。</w:t>
                  </w:r>
                </w:p>
              </w:tc>
              <w:tc>
                <w:tcPr>
                  <w:tcW w:w="1637" w:type="pct"/>
                  <w:tcBorders>
                    <w:tl2br w:val="nil"/>
                    <w:tr2bl w:val="nil"/>
                  </w:tcBorders>
                  <w:noWrap w:val="0"/>
                  <w:vAlign w:val="center"/>
                </w:tcPr>
                <w:p w14:paraId="5A57B9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color w:val="000000"/>
                      <w:sz w:val="21"/>
                      <w:szCs w:val="21"/>
                      <w:u w:val="none" w:color="auto"/>
                    </w:rPr>
                  </w:pPr>
                  <w:r>
                    <w:rPr>
                      <w:rFonts w:hint="eastAsia"/>
                      <w:b w:val="0"/>
                      <w:bCs w:val="0"/>
                      <w:color w:val="000000"/>
                      <w:sz w:val="21"/>
                      <w:szCs w:val="21"/>
                      <w:u w:val="none" w:color="auto"/>
                    </w:rPr>
                    <w:t>本项目</w:t>
                  </w:r>
                  <w:r>
                    <w:rPr>
                      <w:rFonts w:hint="eastAsia"/>
                      <w:b w:val="0"/>
                      <w:bCs w:val="0"/>
                      <w:color w:val="000000"/>
                      <w:sz w:val="21"/>
                      <w:szCs w:val="21"/>
                      <w:u w:val="none" w:color="auto"/>
                      <w:lang w:eastAsia="zh-CN"/>
                    </w:rPr>
                    <w:t>符合集聚区规划产业定位</w:t>
                  </w:r>
                  <w:r>
                    <w:rPr>
                      <w:rFonts w:hint="eastAsia"/>
                      <w:b w:val="0"/>
                      <w:bCs w:val="0"/>
                      <w:sz w:val="21"/>
                      <w:szCs w:val="21"/>
                      <w:u w:val="none" w:color="auto"/>
                    </w:rPr>
                    <w:t>。</w:t>
                  </w:r>
                </w:p>
              </w:tc>
              <w:tc>
                <w:tcPr>
                  <w:tcW w:w="494" w:type="pct"/>
                  <w:tcBorders>
                    <w:tl2br w:val="nil"/>
                    <w:tr2bl w:val="nil"/>
                  </w:tcBorders>
                  <w:noWrap w:val="0"/>
                  <w:vAlign w:val="center"/>
                </w:tcPr>
                <w:p w14:paraId="3E57F3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4ECFFE7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continue"/>
                  <w:tcBorders>
                    <w:tl2br w:val="nil"/>
                    <w:tr2bl w:val="nil"/>
                  </w:tcBorders>
                  <w:noWrap w:val="0"/>
                  <w:vAlign w:val="center"/>
                </w:tcPr>
                <w:p w14:paraId="721BCF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p>
              </w:tc>
              <w:tc>
                <w:tcPr>
                  <w:tcW w:w="2397" w:type="pct"/>
                  <w:tcBorders>
                    <w:tl2br w:val="nil"/>
                    <w:tr2bl w:val="nil"/>
                  </w:tcBorders>
                  <w:noWrap w:val="0"/>
                  <w:vAlign w:val="center"/>
                </w:tcPr>
                <w:p w14:paraId="4D33BA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3.鼓励建设省级以上（含省级）认定的高新技术类项目。</w:t>
                  </w:r>
                </w:p>
              </w:tc>
              <w:tc>
                <w:tcPr>
                  <w:tcW w:w="1637" w:type="pct"/>
                  <w:tcBorders>
                    <w:tl2br w:val="nil"/>
                    <w:tr2bl w:val="nil"/>
                  </w:tcBorders>
                  <w:noWrap w:val="0"/>
                  <w:vAlign w:val="center"/>
                </w:tcPr>
                <w:p w14:paraId="614AC2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b w:val="0"/>
                      <w:bCs w:val="0"/>
                      <w:color w:val="000000"/>
                      <w:sz w:val="21"/>
                      <w:szCs w:val="21"/>
                      <w:u w:val="none" w:color="auto"/>
                    </w:rPr>
                  </w:pPr>
                  <w:r>
                    <w:rPr>
                      <w:rFonts w:hint="eastAsia"/>
                      <w:b w:val="0"/>
                      <w:bCs w:val="0"/>
                      <w:color w:val="000000"/>
                      <w:sz w:val="21"/>
                      <w:szCs w:val="21"/>
                      <w:u w:val="none" w:color="auto"/>
                    </w:rPr>
                    <w:t>本项目不属于。</w:t>
                  </w:r>
                </w:p>
              </w:tc>
              <w:tc>
                <w:tcPr>
                  <w:tcW w:w="494" w:type="pct"/>
                  <w:tcBorders>
                    <w:tl2br w:val="nil"/>
                    <w:tr2bl w:val="nil"/>
                  </w:tcBorders>
                  <w:noWrap w:val="0"/>
                  <w:vAlign w:val="center"/>
                </w:tcPr>
                <w:p w14:paraId="1CC7AE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rFonts w:hint="eastAsia"/>
                      <w:b w:val="0"/>
                      <w:bCs w:val="0"/>
                      <w:color w:val="000000"/>
                      <w:sz w:val="21"/>
                      <w:szCs w:val="21"/>
                      <w:u w:val="none" w:color="auto"/>
                    </w:rPr>
                    <w:t>/</w:t>
                  </w:r>
                </w:p>
              </w:tc>
            </w:tr>
            <w:tr w14:paraId="5025863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continue"/>
                  <w:tcBorders>
                    <w:tl2br w:val="nil"/>
                    <w:tr2bl w:val="nil"/>
                  </w:tcBorders>
                  <w:noWrap w:val="0"/>
                  <w:vAlign w:val="center"/>
                </w:tcPr>
                <w:p w14:paraId="37893F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p>
              </w:tc>
              <w:tc>
                <w:tcPr>
                  <w:tcW w:w="2397" w:type="pct"/>
                  <w:tcBorders>
                    <w:tl2br w:val="nil"/>
                    <w:tr2bl w:val="nil"/>
                  </w:tcBorders>
                  <w:noWrap w:val="0"/>
                  <w:vAlign w:val="center"/>
                </w:tcPr>
                <w:p w14:paraId="6600EE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4.按照国家相关产业政策，严禁高毒、高污染的淘汰和限制类工业企业入区，生物医药产业限制发酵类项目和三类化工项目入区。</w:t>
                  </w:r>
                </w:p>
              </w:tc>
              <w:tc>
                <w:tcPr>
                  <w:tcW w:w="1637" w:type="pct"/>
                  <w:tcBorders>
                    <w:tl2br w:val="nil"/>
                    <w:tr2bl w:val="nil"/>
                  </w:tcBorders>
                  <w:noWrap w:val="0"/>
                  <w:vAlign w:val="center"/>
                </w:tcPr>
                <w:p w14:paraId="076B0B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color w:val="000000"/>
                      <w:sz w:val="21"/>
                      <w:szCs w:val="21"/>
                      <w:u w:val="none" w:color="auto"/>
                    </w:rPr>
                  </w:pPr>
                  <w:r>
                    <w:rPr>
                      <w:rFonts w:hint="eastAsia"/>
                      <w:b w:val="0"/>
                      <w:bCs w:val="0"/>
                      <w:color w:val="000000"/>
                      <w:sz w:val="21"/>
                      <w:szCs w:val="21"/>
                      <w:u w:val="none" w:color="auto"/>
                    </w:rPr>
                    <w:t>本项目</w:t>
                  </w:r>
                  <w:r>
                    <w:rPr>
                      <w:rFonts w:hint="eastAsia"/>
                      <w:b w:val="0"/>
                      <w:bCs w:val="0"/>
                      <w:color w:val="000000"/>
                      <w:sz w:val="21"/>
                      <w:szCs w:val="21"/>
                      <w:u w:val="none" w:color="auto"/>
                      <w:lang w:eastAsia="zh-CN"/>
                    </w:rPr>
                    <w:t>属于</w:t>
                  </w:r>
                  <w:r>
                    <w:rPr>
                      <w:rFonts w:hint="eastAsia"/>
                      <w:b w:val="0"/>
                      <w:bCs w:val="0"/>
                      <w:color w:val="000000"/>
                      <w:sz w:val="21"/>
                      <w:szCs w:val="21"/>
                      <w:u w:val="none" w:color="auto"/>
                      <w:lang w:val="en-US" w:eastAsia="zh-CN"/>
                    </w:rPr>
                    <w:t>锂离子电池制造</w:t>
                  </w:r>
                  <w:r>
                    <w:rPr>
                      <w:rFonts w:hint="eastAsia"/>
                      <w:b w:val="0"/>
                      <w:bCs w:val="0"/>
                      <w:color w:val="000000"/>
                      <w:sz w:val="21"/>
                      <w:szCs w:val="21"/>
                      <w:u w:val="none" w:color="auto"/>
                    </w:rPr>
                    <w:t>，不属于</w:t>
                  </w:r>
                  <w:r>
                    <w:rPr>
                      <w:rFonts w:hint="eastAsia"/>
                      <w:b w:val="0"/>
                      <w:bCs w:val="0"/>
                      <w:sz w:val="21"/>
                      <w:szCs w:val="21"/>
                      <w:u w:val="none" w:color="auto"/>
                    </w:rPr>
                    <w:t>高毒、高污染的淘汰和限制类工业项目和生物医药产业限制发酵类项目和三类化工项目。</w:t>
                  </w:r>
                </w:p>
              </w:tc>
              <w:tc>
                <w:tcPr>
                  <w:tcW w:w="494" w:type="pct"/>
                  <w:tcBorders>
                    <w:tl2br w:val="nil"/>
                    <w:tr2bl w:val="nil"/>
                  </w:tcBorders>
                  <w:noWrap w:val="0"/>
                  <w:vAlign w:val="center"/>
                </w:tcPr>
                <w:p w14:paraId="1CE4B9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3869EBF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continue"/>
                  <w:tcBorders>
                    <w:tl2br w:val="nil"/>
                    <w:tr2bl w:val="nil"/>
                  </w:tcBorders>
                  <w:noWrap w:val="0"/>
                  <w:vAlign w:val="center"/>
                </w:tcPr>
                <w:p w14:paraId="143169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p>
              </w:tc>
              <w:tc>
                <w:tcPr>
                  <w:tcW w:w="2397" w:type="pct"/>
                  <w:tcBorders>
                    <w:tl2br w:val="nil"/>
                    <w:tr2bl w:val="nil"/>
                  </w:tcBorders>
                  <w:noWrap w:val="0"/>
                  <w:vAlign w:val="center"/>
                </w:tcPr>
                <w:p w14:paraId="2EF02B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5.限制高能耗、高耗水、污染重等工业企业入区。</w:t>
                  </w:r>
                </w:p>
              </w:tc>
              <w:tc>
                <w:tcPr>
                  <w:tcW w:w="1637" w:type="pct"/>
                  <w:tcBorders>
                    <w:tl2br w:val="nil"/>
                    <w:tr2bl w:val="nil"/>
                  </w:tcBorders>
                  <w:noWrap w:val="0"/>
                  <w:vAlign w:val="center"/>
                </w:tcPr>
                <w:p w14:paraId="720E60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color w:val="000000"/>
                      <w:sz w:val="21"/>
                      <w:szCs w:val="21"/>
                      <w:u w:val="none" w:color="auto"/>
                    </w:rPr>
                  </w:pPr>
                  <w:r>
                    <w:rPr>
                      <w:rFonts w:hint="eastAsia"/>
                      <w:b w:val="0"/>
                      <w:bCs w:val="0"/>
                      <w:color w:val="000000"/>
                      <w:sz w:val="21"/>
                      <w:szCs w:val="21"/>
                      <w:u w:val="none" w:color="auto"/>
                    </w:rPr>
                    <w:t>本项目不属于</w:t>
                  </w:r>
                  <w:r>
                    <w:rPr>
                      <w:rFonts w:hint="eastAsia"/>
                      <w:b w:val="0"/>
                      <w:bCs w:val="0"/>
                      <w:sz w:val="21"/>
                      <w:szCs w:val="21"/>
                      <w:u w:val="none" w:color="auto"/>
                    </w:rPr>
                    <w:t>高能耗、高耗水、污染重等工业项目。</w:t>
                  </w:r>
                </w:p>
              </w:tc>
              <w:tc>
                <w:tcPr>
                  <w:tcW w:w="494" w:type="pct"/>
                  <w:tcBorders>
                    <w:tl2br w:val="nil"/>
                    <w:tr2bl w:val="nil"/>
                  </w:tcBorders>
                  <w:noWrap w:val="0"/>
                  <w:vAlign w:val="center"/>
                </w:tcPr>
                <w:p w14:paraId="54C811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18AE389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continue"/>
                  <w:tcBorders>
                    <w:tl2br w:val="nil"/>
                    <w:tr2bl w:val="nil"/>
                  </w:tcBorders>
                  <w:noWrap w:val="0"/>
                  <w:vAlign w:val="center"/>
                </w:tcPr>
                <w:p w14:paraId="7059F8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p>
              </w:tc>
              <w:tc>
                <w:tcPr>
                  <w:tcW w:w="2397" w:type="pct"/>
                  <w:tcBorders>
                    <w:tl2br w:val="nil"/>
                    <w:tr2bl w:val="nil"/>
                  </w:tcBorders>
                  <w:noWrap w:val="0"/>
                  <w:vAlign w:val="center"/>
                </w:tcPr>
                <w:p w14:paraId="7F957B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6.严禁国家明令禁止或淘汰工艺和设备企业入区。</w:t>
                  </w:r>
                </w:p>
              </w:tc>
              <w:tc>
                <w:tcPr>
                  <w:tcW w:w="1637" w:type="pct"/>
                  <w:tcBorders>
                    <w:tl2br w:val="nil"/>
                    <w:tr2bl w:val="nil"/>
                  </w:tcBorders>
                  <w:noWrap w:val="0"/>
                  <w:vAlign w:val="center"/>
                </w:tcPr>
                <w:p w14:paraId="158F0E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color w:val="000000"/>
                      <w:sz w:val="21"/>
                      <w:szCs w:val="21"/>
                      <w:u w:val="none" w:color="auto"/>
                    </w:rPr>
                  </w:pPr>
                  <w:r>
                    <w:rPr>
                      <w:rFonts w:hint="eastAsia"/>
                      <w:b w:val="0"/>
                      <w:bCs w:val="0"/>
                      <w:color w:val="000000"/>
                      <w:sz w:val="21"/>
                      <w:szCs w:val="21"/>
                      <w:u w:val="none" w:color="auto"/>
                    </w:rPr>
                    <w:t>本项目不涉及国家明令禁止或淘汰工艺和设备。</w:t>
                  </w:r>
                </w:p>
              </w:tc>
              <w:tc>
                <w:tcPr>
                  <w:tcW w:w="494" w:type="pct"/>
                  <w:tcBorders>
                    <w:tl2br w:val="nil"/>
                    <w:tr2bl w:val="nil"/>
                  </w:tcBorders>
                  <w:noWrap w:val="0"/>
                  <w:vAlign w:val="center"/>
                </w:tcPr>
                <w:p w14:paraId="733ADA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1D0E9A0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continue"/>
                  <w:tcBorders>
                    <w:tl2br w:val="nil"/>
                    <w:tr2bl w:val="nil"/>
                  </w:tcBorders>
                  <w:noWrap w:val="0"/>
                  <w:vAlign w:val="center"/>
                </w:tcPr>
                <w:p w14:paraId="41F958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p>
              </w:tc>
              <w:tc>
                <w:tcPr>
                  <w:tcW w:w="2397" w:type="pct"/>
                  <w:tcBorders>
                    <w:tl2br w:val="nil"/>
                    <w:tr2bl w:val="nil"/>
                  </w:tcBorders>
                  <w:noWrap w:val="0"/>
                  <w:vAlign w:val="center"/>
                </w:tcPr>
                <w:p w14:paraId="55AD1A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7.限制汽车涂装工艺生产项目入区。</w:t>
                  </w:r>
                </w:p>
              </w:tc>
              <w:tc>
                <w:tcPr>
                  <w:tcW w:w="1637" w:type="pct"/>
                  <w:tcBorders>
                    <w:tl2br w:val="nil"/>
                    <w:tr2bl w:val="nil"/>
                  </w:tcBorders>
                  <w:noWrap w:val="0"/>
                  <w:vAlign w:val="center"/>
                </w:tcPr>
                <w:p w14:paraId="264B9F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color w:val="000000"/>
                      <w:sz w:val="21"/>
                      <w:szCs w:val="21"/>
                      <w:u w:val="none" w:color="auto"/>
                    </w:rPr>
                  </w:pPr>
                  <w:r>
                    <w:rPr>
                      <w:rFonts w:hint="eastAsia"/>
                      <w:b w:val="0"/>
                      <w:bCs w:val="0"/>
                      <w:color w:val="000000"/>
                      <w:sz w:val="21"/>
                      <w:szCs w:val="21"/>
                      <w:u w:val="none" w:color="auto"/>
                    </w:rPr>
                    <w:t>本项目不属于</w:t>
                  </w:r>
                  <w:r>
                    <w:rPr>
                      <w:rFonts w:hint="eastAsia"/>
                      <w:b w:val="0"/>
                      <w:bCs w:val="0"/>
                      <w:sz w:val="21"/>
                      <w:szCs w:val="21"/>
                      <w:u w:val="none" w:color="auto"/>
                    </w:rPr>
                    <w:t>汽车涂装工艺生产项目。</w:t>
                  </w:r>
                </w:p>
              </w:tc>
              <w:tc>
                <w:tcPr>
                  <w:tcW w:w="494" w:type="pct"/>
                  <w:tcBorders>
                    <w:tl2br w:val="nil"/>
                    <w:tr2bl w:val="nil"/>
                  </w:tcBorders>
                  <w:noWrap w:val="0"/>
                  <w:vAlign w:val="center"/>
                </w:tcPr>
                <w:p w14:paraId="2FB5D7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2EB42BD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continue"/>
                  <w:tcBorders>
                    <w:tl2br w:val="nil"/>
                    <w:tr2bl w:val="nil"/>
                  </w:tcBorders>
                  <w:noWrap w:val="0"/>
                  <w:vAlign w:val="center"/>
                </w:tcPr>
                <w:p w14:paraId="379D93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p>
              </w:tc>
              <w:tc>
                <w:tcPr>
                  <w:tcW w:w="2397" w:type="pct"/>
                  <w:tcBorders>
                    <w:tl2br w:val="nil"/>
                    <w:tr2bl w:val="nil"/>
                  </w:tcBorders>
                  <w:noWrap w:val="0"/>
                  <w:vAlign w:val="center"/>
                </w:tcPr>
                <w:p w14:paraId="6A1221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8.禁止机械制造中金属表面处理行业中的电镀项目；限制机械制造行业中存在气型污染的铸造。</w:t>
                  </w:r>
                </w:p>
              </w:tc>
              <w:tc>
                <w:tcPr>
                  <w:tcW w:w="1637" w:type="pct"/>
                  <w:tcBorders>
                    <w:tl2br w:val="nil"/>
                    <w:tr2bl w:val="nil"/>
                  </w:tcBorders>
                  <w:noWrap w:val="0"/>
                  <w:vAlign w:val="center"/>
                </w:tcPr>
                <w:p w14:paraId="79907E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color w:val="000000"/>
                      <w:sz w:val="21"/>
                      <w:szCs w:val="21"/>
                      <w:u w:val="none" w:color="auto"/>
                    </w:rPr>
                  </w:pPr>
                  <w:r>
                    <w:rPr>
                      <w:rFonts w:hint="eastAsia"/>
                      <w:b w:val="0"/>
                      <w:bCs w:val="0"/>
                      <w:color w:val="000000"/>
                      <w:sz w:val="21"/>
                      <w:szCs w:val="21"/>
                      <w:u w:val="none" w:color="auto"/>
                    </w:rPr>
                    <w:t>本项目不属于</w:t>
                  </w:r>
                  <w:r>
                    <w:rPr>
                      <w:rFonts w:hint="eastAsia"/>
                      <w:b w:val="0"/>
                      <w:bCs w:val="0"/>
                      <w:sz w:val="21"/>
                      <w:szCs w:val="21"/>
                      <w:u w:val="none" w:color="auto"/>
                    </w:rPr>
                    <w:t>机械制造</w:t>
                  </w:r>
                  <w:r>
                    <w:rPr>
                      <w:rFonts w:hint="eastAsia" w:eastAsia="宋体"/>
                      <w:b w:val="0"/>
                      <w:bCs w:val="0"/>
                      <w:color w:val="000000"/>
                      <w:sz w:val="21"/>
                      <w:szCs w:val="21"/>
                      <w:u w:val="none" w:color="auto"/>
                    </w:rPr>
                    <w:t>中金属表面处理行业中的电镀项目和机械制造行业中存在气型污染的铸造项目。</w:t>
                  </w:r>
                </w:p>
              </w:tc>
              <w:tc>
                <w:tcPr>
                  <w:tcW w:w="494" w:type="pct"/>
                  <w:tcBorders>
                    <w:tl2br w:val="nil"/>
                    <w:tr2bl w:val="nil"/>
                  </w:tcBorders>
                  <w:noWrap w:val="0"/>
                  <w:vAlign w:val="center"/>
                </w:tcPr>
                <w:p w14:paraId="6A67D8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2F04A8A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restart"/>
                  <w:tcBorders>
                    <w:tl2br w:val="nil"/>
                    <w:tr2bl w:val="nil"/>
                  </w:tcBorders>
                  <w:noWrap w:val="0"/>
                  <w:vAlign w:val="center"/>
                </w:tcPr>
                <w:p w14:paraId="274F83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r>
                    <w:rPr>
                      <w:rFonts w:hint="eastAsia"/>
                      <w:b w:val="0"/>
                      <w:bCs w:val="0"/>
                      <w:sz w:val="21"/>
                      <w:szCs w:val="21"/>
                      <w:u w:val="none" w:color="auto"/>
                    </w:rPr>
                    <w:t>生产规模和工艺装备水平</w:t>
                  </w:r>
                </w:p>
              </w:tc>
              <w:tc>
                <w:tcPr>
                  <w:tcW w:w="2397" w:type="pct"/>
                  <w:tcBorders>
                    <w:tl2br w:val="nil"/>
                    <w:tr2bl w:val="nil"/>
                  </w:tcBorders>
                  <w:noWrap w:val="0"/>
                  <w:vAlign w:val="center"/>
                </w:tcPr>
                <w:p w14:paraId="6C7D36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1.入区企业建设规模应符合</w:t>
                  </w:r>
                  <w:bookmarkStart w:id="4" w:name="OLE_LINK5"/>
                  <w:r>
                    <w:rPr>
                      <w:rFonts w:hint="eastAsia"/>
                      <w:b w:val="0"/>
                      <w:bCs w:val="0"/>
                      <w:sz w:val="21"/>
                      <w:szCs w:val="21"/>
                      <w:u w:val="none" w:color="auto"/>
                    </w:rPr>
                    <w:t>国家产业政策的最小经济规模要求</w:t>
                  </w:r>
                  <w:bookmarkEnd w:id="4"/>
                  <w:r>
                    <w:rPr>
                      <w:rFonts w:hint="eastAsia"/>
                      <w:b w:val="0"/>
                      <w:bCs w:val="0"/>
                      <w:sz w:val="21"/>
                      <w:szCs w:val="21"/>
                      <w:u w:val="none" w:color="auto"/>
                    </w:rPr>
                    <w:t>。</w:t>
                  </w:r>
                </w:p>
              </w:tc>
              <w:tc>
                <w:tcPr>
                  <w:tcW w:w="1637" w:type="pct"/>
                  <w:tcBorders>
                    <w:tl2br w:val="nil"/>
                    <w:tr2bl w:val="nil"/>
                  </w:tcBorders>
                  <w:noWrap w:val="0"/>
                  <w:vAlign w:val="center"/>
                </w:tcPr>
                <w:p w14:paraId="443D1A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eastAsia="宋体"/>
                      <w:b w:val="0"/>
                      <w:bCs w:val="0"/>
                      <w:color w:val="000000"/>
                      <w:sz w:val="21"/>
                      <w:szCs w:val="21"/>
                      <w:u w:val="none" w:color="auto"/>
                      <w:lang w:val="en-US" w:eastAsia="zh-CN"/>
                    </w:rPr>
                  </w:pPr>
                  <w:r>
                    <w:rPr>
                      <w:rFonts w:hint="eastAsia"/>
                      <w:b w:val="0"/>
                      <w:bCs w:val="0"/>
                      <w:color w:val="000000"/>
                      <w:sz w:val="21"/>
                      <w:szCs w:val="21"/>
                      <w:u w:val="none" w:color="auto"/>
                    </w:rPr>
                    <w:t>本项目</w:t>
                  </w:r>
                  <w:r>
                    <w:rPr>
                      <w:rFonts w:hint="eastAsia"/>
                      <w:b w:val="0"/>
                      <w:bCs w:val="0"/>
                      <w:color w:val="000000"/>
                      <w:sz w:val="21"/>
                      <w:szCs w:val="21"/>
                      <w:u w:val="none" w:color="auto"/>
                      <w:lang w:val="en-US" w:eastAsia="zh-CN"/>
                    </w:rPr>
                    <w:t>为锂离子电池制造，无最小经济规模要求。</w:t>
                  </w:r>
                </w:p>
              </w:tc>
              <w:tc>
                <w:tcPr>
                  <w:tcW w:w="494" w:type="pct"/>
                  <w:tcBorders>
                    <w:tl2br w:val="nil"/>
                    <w:tr2bl w:val="nil"/>
                  </w:tcBorders>
                  <w:noWrap w:val="0"/>
                  <w:vAlign w:val="center"/>
                </w:tcPr>
                <w:p w14:paraId="111F69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40D6210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continue"/>
                  <w:tcBorders>
                    <w:tl2br w:val="nil"/>
                    <w:tr2bl w:val="nil"/>
                  </w:tcBorders>
                  <w:noWrap w:val="0"/>
                  <w:vAlign w:val="center"/>
                </w:tcPr>
                <w:p w14:paraId="28F48F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p>
              </w:tc>
              <w:tc>
                <w:tcPr>
                  <w:tcW w:w="2397" w:type="pct"/>
                  <w:tcBorders>
                    <w:tl2br w:val="nil"/>
                    <w:tr2bl w:val="nil"/>
                  </w:tcBorders>
                  <w:noWrap w:val="0"/>
                  <w:vAlign w:val="center"/>
                </w:tcPr>
                <w:p w14:paraId="6BDB91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2.在生产工艺技术水平上，要求入区项目达到国内行业清洁生产定量评价基准值。</w:t>
                  </w:r>
                </w:p>
              </w:tc>
              <w:tc>
                <w:tcPr>
                  <w:tcW w:w="1637" w:type="pct"/>
                  <w:tcBorders>
                    <w:tl2br w:val="nil"/>
                    <w:tr2bl w:val="nil"/>
                  </w:tcBorders>
                  <w:noWrap w:val="0"/>
                  <w:vAlign w:val="center"/>
                </w:tcPr>
                <w:p w14:paraId="79A3C0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sz w:val="21"/>
                      <w:szCs w:val="21"/>
                      <w:u w:val="none" w:color="auto"/>
                    </w:rPr>
                  </w:pPr>
                  <w:r>
                    <w:rPr>
                      <w:rFonts w:hint="eastAsia"/>
                      <w:b w:val="0"/>
                      <w:bCs w:val="0"/>
                      <w:color w:val="000000"/>
                      <w:sz w:val="21"/>
                      <w:szCs w:val="21"/>
                      <w:u w:val="none" w:color="auto"/>
                    </w:rPr>
                    <w:t>本项目</w:t>
                  </w:r>
                  <w:r>
                    <w:rPr>
                      <w:rFonts w:hint="eastAsia"/>
                      <w:b w:val="0"/>
                      <w:bCs w:val="0"/>
                      <w:color w:val="000000"/>
                      <w:sz w:val="21"/>
                      <w:szCs w:val="21"/>
                      <w:u w:val="none" w:color="auto"/>
                      <w:lang w:eastAsia="zh-CN"/>
                    </w:rPr>
                    <w:t>属于</w:t>
                  </w:r>
                  <w:r>
                    <w:rPr>
                      <w:rFonts w:hint="eastAsia"/>
                      <w:b w:val="0"/>
                      <w:bCs w:val="0"/>
                      <w:color w:val="000000"/>
                      <w:sz w:val="21"/>
                      <w:szCs w:val="21"/>
                      <w:u w:val="none" w:color="auto"/>
                      <w:lang w:val="en-US" w:eastAsia="zh-CN"/>
                    </w:rPr>
                    <w:t>锂离子电池制造</w:t>
                  </w:r>
                  <w:r>
                    <w:rPr>
                      <w:rFonts w:hint="eastAsia"/>
                      <w:b w:val="0"/>
                      <w:bCs w:val="0"/>
                      <w:color w:val="000000"/>
                      <w:sz w:val="21"/>
                      <w:szCs w:val="21"/>
                      <w:u w:val="none" w:color="auto"/>
                    </w:rPr>
                    <w:t>，</w:t>
                  </w:r>
                  <w:r>
                    <w:rPr>
                      <w:rFonts w:hint="eastAsia"/>
                      <w:b w:val="0"/>
                      <w:bCs w:val="0"/>
                      <w:sz w:val="21"/>
                      <w:szCs w:val="21"/>
                      <w:u w:val="none" w:color="auto"/>
                    </w:rPr>
                    <w:t>生产工艺技术水平较高，能够达到国内行业清洁生产定量评价基准值。</w:t>
                  </w:r>
                </w:p>
              </w:tc>
              <w:tc>
                <w:tcPr>
                  <w:tcW w:w="494" w:type="pct"/>
                  <w:tcBorders>
                    <w:tl2br w:val="nil"/>
                    <w:tr2bl w:val="nil"/>
                  </w:tcBorders>
                  <w:noWrap w:val="0"/>
                  <w:vAlign w:val="center"/>
                </w:tcPr>
                <w:p w14:paraId="19DE54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620E03D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restart"/>
                  <w:tcBorders>
                    <w:tl2br w:val="nil"/>
                    <w:tr2bl w:val="nil"/>
                  </w:tcBorders>
                  <w:noWrap w:val="0"/>
                  <w:vAlign w:val="center"/>
                </w:tcPr>
                <w:p w14:paraId="0DD5EB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r>
                    <w:rPr>
                      <w:rFonts w:hint="eastAsia"/>
                      <w:b w:val="0"/>
                      <w:bCs w:val="0"/>
                      <w:sz w:val="21"/>
                      <w:szCs w:val="21"/>
                      <w:u w:val="none" w:color="auto"/>
                    </w:rPr>
                    <w:t>清洁生产水平</w:t>
                  </w:r>
                </w:p>
              </w:tc>
              <w:tc>
                <w:tcPr>
                  <w:tcW w:w="2397" w:type="pct"/>
                  <w:tcBorders>
                    <w:tl2br w:val="nil"/>
                    <w:tr2bl w:val="nil"/>
                  </w:tcBorders>
                  <w:noWrap w:val="0"/>
                  <w:vAlign w:val="center"/>
                </w:tcPr>
                <w:p w14:paraId="57B532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1.应选择使用原料和产品为环境友好型的项目，避免集聚区大规模建设造成的不良辐射效应。</w:t>
                  </w:r>
                </w:p>
              </w:tc>
              <w:tc>
                <w:tcPr>
                  <w:tcW w:w="1637" w:type="pct"/>
                  <w:tcBorders>
                    <w:tl2br w:val="nil"/>
                    <w:tr2bl w:val="nil"/>
                  </w:tcBorders>
                  <w:noWrap w:val="0"/>
                  <w:vAlign w:val="center"/>
                </w:tcPr>
                <w:p w14:paraId="3B8C6F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color w:val="000000"/>
                      <w:sz w:val="21"/>
                      <w:szCs w:val="21"/>
                      <w:u w:val="none" w:color="auto"/>
                    </w:rPr>
                  </w:pPr>
                  <w:r>
                    <w:rPr>
                      <w:rFonts w:hint="eastAsia"/>
                      <w:b w:val="0"/>
                      <w:bCs w:val="0"/>
                      <w:color w:val="000000"/>
                      <w:sz w:val="21"/>
                      <w:szCs w:val="21"/>
                      <w:u w:val="none" w:color="auto"/>
                    </w:rPr>
                    <w:t>本项目</w:t>
                  </w:r>
                  <w:r>
                    <w:rPr>
                      <w:rFonts w:hint="eastAsia"/>
                      <w:b w:val="0"/>
                      <w:bCs w:val="0"/>
                      <w:sz w:val="21"/>
                      <w:szCs w:val="21"/>
                      <w:u w:val="none" w:color="auto"/>
                    </w:rPr>
                    <w:t>原料和产品均为环境友好型，不会造成不良辐射效应。</w:t>
                  </w:r>
                </w:p>
              </w:tc>
              <w:tc>
                <w:tcPr>
                  <w:tcW w:w="494" w:type="pct"/>
                  <w:tcBorders>
                    <w:tl2br w:val="nil"/>
                    <w:tr2bl w:val="nil"/>
                  </w:tcBorders>
                  <w:noWrap w:val="0"/>
                  <w:vAlign w:val="center"/>
                </w:tcPr>
                <w:p w14:paraId="44C4D7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2C59E83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continue"/>
                  <w:tcBorders>
                    <w:tl2br w:val="nil"/>
                    <w:tr2bl w:val="nil"/>
                  </w:tcBorders>
                  <w:noWrap w:val="0"/>
                  <w:vAlign w:val="center"/>
                </w:tcPr>
                <w:p w14:paraId="7474FB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p>
              </w:tc>
              <w:tc>
                <w:tcPr>
                  <w:tcW w:w="2397" w:type="pct"/>
                  <w:tcBorders>
                    <w:tl2br w:val="nil"/>
                    <w:tr2bl w:val="nil"/>
                  </w:tcBorders>
                  <w:noWrap w:val="0"/>
                  <w:vAlign w:val="center"/>
                </w:tcPr>
                <w:p w14:paraId="661A26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2.入区项目在单位产品水耗、能耗、污染物排放量等清洁生产指标应达到国内同类行业的先进水平。</w:t>
                  </w:r>
                </w:p>
              </w:tc>
              <w:tc>
                <w:tcPr>
                  <w:tcW w:w="1637" w:type="pct"/>
                  <w:tcBorders>
                    <w:tl2br w:val="nil"/>
                    <w:tr2bl w:val="nil"/>
                  </w:tcBorders>
                  <w:noWrap w:val="0"/>
                  <w:vAlign w:val="center"/>
                </w:tcPr>
                <w:p w14:paraId="253438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color w:val="000000"/>
                      <w:sz w:val="21"/>
                      <w:szCs w:val="21"/>
                      <w:u w:val="none" w:color="auto"/>
                    </w:rPr>
                  </w:pPr>
                  <w:r>
                    <w:rPr>
                      <w:rFonts w:hint="eastAsia"/>
                      <w:b w:val="0"/>
                      <w:bCs w:val="0"/>
                      <w:color w:val="000000"/>
                      <w:sz w:val="21"/>
                      <w:szCs w:val="21"/>
                      <w:u w:val="none" w:color="auto"/>
                    </w:rPr>
                    <w:t>本项目</w:t>
                  </w:r>
                  <w:r>
                    <w:rPr>
                      <w:rFonts w:hint="eastAsia"/>
                      <w:b w:val="0"/>
                      <w:bCs w:val="0"/>
                      <w:sz w:val="21"/>
                      <w:szCs w:val="21"/>
                      <w:u w:val="none" w:color="auto"/>
                    </w:rPr>
                    <w:t>单位产品水耗、能耗、污染物排放量等清洁生产指标能够达到国内同类行业的先进水平。</w:t>
                  </w:r>
                </w:p>
              </w:tc>
              <w:tc>
                <w:tcPr>
                  <w:tcW w:w="494" w:type="pct"/>
                  <w:tcBorders>
                    <w:tl2br w:val="nil"/>
                    <w:tr2bl w:val="nil"/>
                  </w:tcBorders>
                  <w:noWrap w:val="0"/>
                  <w:vAlign w:val="center"/>
                </w:tcPr>
                <w:p w14:paraId="26C692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57D749F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continue"/>
                  <w:tcBorders>
                    <w:tl2br w:val="nil"/>
                    <w:tr2bl w:val="nil"/>
                  </w:tcBorders>
                  <w:noWrap w:val="0"/>
                  <w:vAlign w:val="center"/>
                </w:tcPr>
                <w:p w14:paraId="4500D0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p>
              </w:tc>
              <w:tc>
                <w:tcPr>
                  <w:tcW w:w="2397" w:type="pct"/>
                  <w:tcBorders>
                    <w:tl2br w:val="nil"/>
                    <w:tr2bl w:val="nil"/>
                  </w:tcBorders>
                  <w:noWrap w:val="0"/>
                  <w:vAlign w:val="center"/>
                </w:tcPr>
                <w:p w14:paraId="27426C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3.应限值高耗水、高耗能的工业企业</w:t>
                  </w:r>
                  <w:r>
                    <w:rPr>
                      <w:rFonts w:hint="eastAsia"/>
                      <w:b w:val="0"/>
                      <w:bCs w:val="0"/>
                      <w:sz w:val="21"/>
                      <w:szCs w:val="21"/>
                      <w:u w:val="none" w:color="auto"/>
                      <w:lang w:eastAsia="zh-CN"/>
                    </w:rPr>
                    <w:t>入驻</w:t>
                  </w:r>
                  <w:r>
                    <w:rPr>
                      <w:rFonts w:hint="eastAsia"/>
                      <w:b w:val="0"/>
                      <w:bCs w:val="0"/>
                      <w:sz w:val="21"/>
                      <w:szCs w:val="21"/>
                      <w:u w:val="none" w:color="auto"/>
                    </w:rPr>
                    <w:t>集聚区。</w:t>
                  </w:r>
                </w:p>
              </w:tc>
              <w:tc>
                <w:tcPr>
                  <w:tcW w:w="1637" w:type="pct"/>
                  <w:tcBorders>
                    <w:tl2br w:val="nil"/>
                    <w:tr2bl w:val="nil"/>
                  </w:tcBorders>
                  <w:noWrap w:val="0"/>
                  <w:vAlign w:val="center"/>
                </w:tcPr>
                <w:p w14:paraId="6421EC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color w:val="000000"/>
                      <w:sz w:val="21"/>
                      <w:szCs w:val="21"/>
                      <w:u w:val="none" w:color="auto"/>
                    </w:rPr>
                  </w:pPr>
                  <w:r>
                    <w:rPr>
                      <w:rFonts w:hint="eastAsia"/>
                      <w:b w:val="0"/>
                      <w:bCs w:val="0"/>
                      <w:color w:val="000000"/>
                      <w:sz w:val="21"/>
                      <w:szCs w:val="21"/>
                      <w:u w:val="none" w:color="auto"/>
                    </w:rPr>
                    <w:t>本项目不属于</w:t>
                  </w:r>
                  <w:r>
                    <w:rPr>
                      <w:rFonts w:hint="eastAsia"/>
                      <w:b w:val="0"/>
                      <w:bCs w:val="0"/>
                      <w:sz w:val="21"/>
                      <w:szCs w:val="21"/>
                      <w:u w:val="none" w:color="auto"/>
                    </w:rPr>
                    <w:t>高耗水、高耗能的工业项目。</w:t>
                  </w:r>
                </w:p>
              </w:tc>
              <w:tc>
                <w:tcPr>
                  <w:tcW w:w="494" w:type="pct"/>
                  <w:tcBorders>
                    <w:tl2br w:val="nil"/>
                    <w:tr2bl w:val="nil"/>
                  </w:tcBorders>
                  <w:noWrap w:val="0"/>
                  <w:vAlign w:val="center"/>
                </w:tcPr>
                <w:p w14:paraId="511F70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088AD18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restart"/>
                  <w:tcBorders>
                    <w:tl2br w:val="nil"/>
                    <w:tr2bl w:val="nil"/>
                  </w:tcBorders>
                  <w:noWrap w:val="0"/>
                  <w:vAlign w:val="center"/>
                </w:tcPr>
                <w:p w14:paraId="62F72C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r>
                    <w:rPr>
                      <w:rFonts w:hint="eastAsia"/>
                      <w:b w:val="0"/>
                      <w:bCs w:val="0"/>
                      <w:sz w:val="21"/>
                      <w:szCs w:val="21"/>
                      <w:u w:val="none" w:color="auto"/>
                    </w:rPr>
                    <w:t>污染物排放总量控制</w:t>
                  </w:r>
                </w:p>
              </w:tc>
              <w:tc>
                <w:tcPr>
                  <w:tcW w:w="2397" w:type="pct"/>
                  <w:tcBorders>
                    <w:tl2br w:val="nil"/>
                    <w:tr2bl w:val="nil"/>
                  </w:tcBorders>
                  <w:noWrap w:val="0"/>
                  <w:vAlign w:val="center"/>
                </w:tcPr>
                <w:p w14:paraId="69F9D5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1.新建项目的污染物排放指标必须在区域内现有工业污染负荷削减量中调剂。</w:t>
                  </w:r>
                </w:p>
              </w:tc>
              <w:tc>
                <w:tcPr>
                  <w:tcW w:w="1637" w:type="pct"/>
                  <w:tcBorders>
                    <w:tl2br w:val="nil"/>
                    <w:tr2bl w:val="nil"/>
                  </w:tcBorders>
                  <w:noWrap w:val="0"/>
                  <w:vAlign w:val="center"/>
                </w:tcPr>
                <w:p w14:paraId="709D5E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color w:val="000000"/>
                      <w:sz w:val="21"/>
                      <w:szCs w:val="21"/>
                      <w:u w:val="none" w:color="auto"/>
                    </w:rPr>
                  </w:pPr>
                  <w:r>
                    <w:rPr>
                      <w:rFonts w:hint="eastAsia"/>
                      <w:b w:val="0"/>
                      <w:bCs w:val="0"/>
                      <w:color w:val="000000"/>
                      <w:sz w:val="21"/>
                      <w:szCs w:val="21"/>
                      <w:u w:val="none" w:color="auto"/>
                    </w:rPr>
                    <w:t>本项目</w:t>
                  </w:r>
                  <w:r>
                    <w:rPr>
                      <w:rFonts w:hint="eastAsia"/>
                      <w:b w:val="0"/>
                      <w:bCs w:val="0"/>
                      <w:sz w:val="21"/>
                      <w:szCs w:val="21"/>
                      <w:u w:val="none" w:color="auto"/>
                    </w:rPr>
                    <w:t>污染物排放指标在区域内现有工业污染负荷削减量中进行调剂。</w:t>
                  </w:r>
                </w:p>
              </w:tc>
              <w:tc>
                <w:tcPr>
                  <w:tcW w:w="494" w:type="pct"/>
                  <w:tcBorders>
                    <w:tl2br w:val="nil"/>
                    <w:tr2bl w:val="nil"/>
                  </w:tcBorders>
                  <w:noWrap w:val="0"/>
                  <w:vAlign w:val="center"/>
                </w:tcPr>
                <w:p w14:paraId="29BB13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14AC746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continue"/>
                  <w:tcBorders>
                    <w:tl2br w:val="nil"/>
                    <w:tr2bl w:val="nil"/>
                  </w:tcBorders>
                  <w:noWrap w:val="0"/>
                  <w:vAlign w:val="center"/>
                </w:tcPr>
                <w:p w14:paraId="5B345B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p>
              </w:tc>
              <w:tc>
                <w:tcPr>
                  <w:tcW w:w="2397" w:type="pct"/>
                  <w:tcBorders>
                    <w:tl2br w:val="nil"/>
                    <w:tr2bl w:val="nil"/>
                  </w:tcBorders>
                  <w:noWrap w:val="0"/>
                  <w:vAlign w:val="center"/>
                </w:tcPr>
                <w:p w14:paraId="681FB3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2.禁止发展环境污染严重、无污染治理技术或治理技术在技术经济上根本不可行的项目。</w:t>
                  </w:r>
                </w:p>
              </w:tc>
              <w:tc>
                <w:tcPr>
                  <w:tcW w:w="1637" w:type="pct"/>
                  <w:tcBorders>
                    <w:tl2br w:val="nil"/>
                    <w:tr2bl w:val="nil"/>
                  </w:tcBorders>
                  <w:noWrap w:val="0"/>
                  <w:vAlign w:val="center"/>
                </w:tcPr>
                <w:p w14:paraId="4B7985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color w:val="000000"/>
                      <w:sz w:val="21"/>
                      <w:szCs w:val="21"/>
                      <w:u w:val="none" w:color="auto"/>
                    </w:rPr>
                  </w:pPr>
                  <w:r>
                    <w:rPr>
                      <w:rFonts w:hint="eastAsia"/>
                      <w:b w:val="0"/>
                      <w:bCs w:val="0"/>
                      <w:color w:val="000000"/>
                      <w:sz w:val="21"/>
                      <w:szCs w:val="21"/>
                      <w:u w:val="none" w:color="auto"/>
                    </w:rPr>
                    <w:t>本项目不属于</w:t>
                  </w:r>
                  <w:r>
                    <w:rPr>
                      <w:rFonts w:hint="eastAsia"/>
                      <w:b w:val="0"/>
                      <w:bCs w:val="0"/>
                      <w:sz w:val="21"/>
                      <w:szCs w:val="21"/>
                      <w:u w:val="none" w:color="auto"/>
                    </w:rPr>
                    <w:t>环境污染严重、无污染治理技术或治理技术在技术经济上根本不可行的项目。</w:t>
                  </w:r>
                </w:p>
              </w:tc>
              <w:tc>
                <w:tcPr>
                  <w:tcW w:w="494" w:type="pct"/>
                  <w:tcBorders>
                    <w:tl2br w:val="nil"/>
                    <w:tr2bl w:val="nil"/>
                  </w:tcBorders>
                  <w:noWrap w:val="0"/>
                  <w:vAlign w:val="center"/>
                </w:tcPr>
                <w:p w14:paraId="3A0789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7F7C7D5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tcBorders>
                    <w:tl2br w:val="nil"/>
                    <w:tr2bl w:val="nil"/>
                  </w:tcBorders>
                  <w:noWrap w:val="0"/>
                  <w:vAlign w:val="center"/>
                </w:tcPr>
                <w:p w14:paraId="1B119D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r>
                    <w:rPr>
                      <w:rFonts w:hint="eastAsia"/>
                      <w:b w:val="0"/>
                      <w:bCs w:val="0"/>
                      <w:sz w:val="21"/>
                      <w:szCs w:val="21"/>
                      <w:u w:val="none" w:color="auto"/>
                    </w:rPr>
                    <w:t>土地利用</w:t>
                  </w:r>
                </w:p>
              </w:tc>
              <w:tc>
                <w:tcPr>
                  <w:tcW w:w="2397" w:type="pct"/>
                  <w:tcBorders>
                    <w:tl2br w:val="nil"/>
                    <w:tr2bl w:val="nil"/>
                  </w:tcBorders>
                  <w:noWrap w:val="0"/>
                  <w:vAlign w:val="center"/>
                </w:tcPr>
                <w:p w14:paraId="445A57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入区项目必须达到《</w:t>
                  </w:r>
                  <w:bookmarkStart w:id="5" w:name="OLE_LINK6"/>
                  <w:r>
                    <w:rPr>
                      <w:rFonts w:hint="eastAsia"/>
                      <w:b w:val="0"/>
                      <w:bCs w:val="0"/>
                      <w:sz w:val="21"/>
                      <w:szCs w:val="21"/>
                      <w:u w:val="none" w:color="auto"/>
                    </w:rPr>
                    <w:t>河南省工业项目建设用地控制指标</w:t>
                  </w:r>
                  <w:bookmarkEnd w:id="5"/>
                  <w:r>
                    <w:rPr>
                      <w:rFonts w:hint="eastAsia"/>
                      <w:b w:val="0"/>
                      <w:bCs w:val="0"/>
                      <w:sz w:val="21"/>
                      <w:szCs w:val="21"/>
                      <w:u w:val="none" w:color="auto"/>
                    </w:rPr>
                    <w:t>》要求。</w:t>
                  </w:r>
                </w:p>
              </w:tc>
              <w:tc>
                <w:tcPr>
                  <w:tcW w:w="1637" w:type="pct"/>
                  <w:tcBorders>
                    <w:tl2br w:val="nil"/>
                    <w:tr2bl w:val="nil"/>
                  </w:tcBorders>
                  <w:noWrap w:val="0"/>
                  <w:vAlign w:val="center"/>
                </w:tcPr>
                <w:p w14:paraId="5E763C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b w:val="0"/>
                      <w:bCs w:val="0"/>
                      <w:color w:val="000000"/>
                      <w:sz w:val="21"/>
                      <w:szCs w:val="21"/>
                      <w:u w:val="none" w:color="auto"/>
                    </w:rPr>
                  </w:pPr>
                  <w:r>
                    <w:rPr>
                      <w:rFonts w:hint="eastAsia"/>
                      <w:b w:val="0"/>
                      <w:bCs w:val="0"/>
                      <w:color w:val="000000" w:themeColor="text1"/>
                      <w:sz w:val="21"/>
                      <w:szCs w:val="21"/>
                      <w:u w:val="none" w:color="auto"/>
                      <w14:textFill>
                        <w14:solidFill>
                          <w14:schemeClr w14:val="tx1"/>
                        </w14:solidFill>
                      </w14:textFill>
                    </w:rPr>
                    <w:t>本项目投资强度为</w:t>
                  </w:r>
                  <w:r>
                    <w:rPr>
                      <w:rFonts w:hint="eastAsia"/>
                      <w:b w:val="0"/>
                      <w:bCs w:val="0"/>
                      <w:color w:val="000000" w:themeColor="text1"/>
                      <w:sz w:val="21"/>
                      <w:szCs w:val="21"/>
                      <w:u w:val="none" w:color="auto"/>
                      <w:lang w:val="en-US" w:eastAsia="zh-CN"/>
                      <w14:textFill>
                        <w14:solidFill>
                          <w14:schemeClr w14:val="tx1"/>
                        </w14:solidFill>
                      </w14:textFill>
                    </w:rPr>
                    <w:t>1960</w:t>
                  </w:r>
                  <w:r>
                    <w:rPr>
                      <w:rFonts w:hint="eastAsia"/>
                      <w:b w:val="0"/>
                      <w:bCs w:val="0"/>
                      <w:color w:val="000000" w:themeColor="text1"/>
                      <w:sz w:val="21"/>
                      <w:szCs w:val="21"/>
                      <w:u w:val="none" w:color="auto"/>
                      <w14:textFill>
                        <w14:solidFill>
                          <w14:schemeClr w14:val="tx1"/>
                        </w14:solidFill>
                      </w14:textFill>
                    </w:rPr>
                    <w:t>万元/公顷</w:t>
                  </w:r>
                  <w:r>
                    <w:rPr>
                      <w:rFonts w:hint="eastAsia"/>
                      <w:b w:val="0"/>
                      <w:bCs w:val="0"/>
                      <w:sz w:val="21"/>
                      <w:szCs w:val="21"/>
                      <w:u w:val="none" w:color="auto"/>
                    </w:rPr>
                    <w:t>，能够达到《河南省工业项目建设用地控制指标》落址在省级开发区内的工业项目用地每公顷投资强度不得低于1800万元要求。</w:t>
                  </w:r>
                </w:p>
              </w:tc>
              <w:tc>
                <w:tcPr>
                  <w:tcW w:w="494" w:type="pct"/>
                  <w:tcBorders>
                    <w:tl2br w:val="nil"/>
                    <w:tr2bl w:val="nil"/>
                  </w:tcBorders>
                  <w:noWrap w:val="0"/>
                  <w:vAlign w:val="center"/>
                </w:tcPr>
                <w:p w14:paraId="1C1EEA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7759BF5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restart"/>
                  <w:tcBorders>
                    <w:tl2br w:val="nil"/>
                    <w:tr2bl w:val="nil"/>
                  </w:tcBorders>
                  <w:noWrap w:val="0"/>
                  <w:vAlign w:val="center"/>
                </w:tcPr>
                <w:p w14:paraId="519513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r>
                    <w:rPr>
                      <w:rFonts w:hint="eastAsia"/>
                      <w:b w:val="0"/>
                      <w:bCs w:val="0"/>
                      <w:sz w:val="21"/>
                      <w:szCs w:val="21"/>
                      <w:u w:val="none" w:color="auto"/>
                    </w:rPr>
                    <w:t>其他</w:t>
                  </w:r>
                </w:p>
              </w:tc>
              <w:tc>
                <w:tcPr>
                  <w:tcW w:w="2397" w:type="pct"/>
                  <w:tcBorders>
                    <w:tl2br w:val="nil"/>
                    <w:tr2bl w:val="nil"/>
                  </w:tcBorders>
                  <w:noWrap w:val="0"/>
                  <w:vAlign w:val="center"/>
                </w:tcPr>
                <w:p w14:paraId="721D74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1.入区项目用地必须符合集聚区土地利用规划要求，禁止在一、二类工业用地之上建设三类项目。</w:t>
                  </w:r>
                </w:p>
              </w:tc>
              <w:tc>
                <w:tcPr>
                  <w:tcW w:w="1637" w:type="pct"/>
                  <w:tcBorders>
                    <w:tl2br w:val="nil"/>
                    <w:tr2bl w:val="nil"/>
                  </w:tcBorders>
                  <w:noWrap w:val="0"/>
                  <w:vAlign w:val="center"/>
                </w:tcPr>
                <w:p w14:paraId="21B30B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b w:val="0"/>
                      <w:bCs w:val="0"/>
                      <w:color w:val="000000"/>
                      <w:sz w:val="21"/>
                      <w:szCs w:val="21"/>
                      <w:u w:val="none" w:color="auto"/>
                      <w:lang w:val="en-US"/>
                    </w:rPr>
                  </w:pPr>
                  <w:r>
                    <w:rPr>
                      <w:rFonts w:hint="eastAsia"/>
                      <w:b w:val="0"/>
                      <w:bCs w:val="0"/>
                      <w:color w:val="000000"/>
                      <w:sz w:val="21"/>
                      <w:szCs w:val="21"/>
                      <w:u w:val="none" w:color="auto"/>
                      <w:lang w:eastAsia="zh-CN"/>
                    </w:rPr>
                    <w:t>本项目</w:t>
                  </w:r>
                  <w:r>
                    <w:rPr>
                      <w:rFonts w:hint="eastAsia"/>
                      <w:b w:val="0"/>
                      <w:bCs w:val="0"/>
                      <w:color w:val="000000"/>
                      <w:sz w:val="21"/>
                      <w:szCs w:val="21"/>
                      <w:u w:val="none" w:color="auto"/>
                      <w:lang w:val="en-US" w:eastAsia="zh-CN"/>
                    </w:rPr>
                    <w:t>用地符合集聚区土地利用规划要求。</w:t>
                  </w:r>
                </w:p>
              </w:tc>
              <w:tc>
                <w:tcPr>
                  <w:tcW w:w="494" w:type="pct"/>
                  <w:tcBorders>
                    <w:tl2br w:val="nil"/>
                    <w:tr2bl w:val="nil"/>
                  </w:tcBorders>
                  <w:noWrap w:val="0"/>
                  <w:vAlign w:val="center"/>
                </w:tcPr>
                <w:p w14:paraId="12B2F5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r w14:paraId="68422FB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0" w:type="pct"/>
                  <w:vMerge w:val="continue"/>
                  <w:tcBorders>
                    <w:tl2br w:val="nil"/>
                    <w:tr2bl w:val="nil"/>
                  </w:tcBorders>
                  <w:noWrap w:val="0"/>
                  <w:vAlign w:val="center"/>
                </w:tcPr>
                <w:p w14:paraId="47DC30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b w:val="0"/>
                      <w:bCs w:val="0"/>
                      <w:sz w:val="21"/>
                      <w:szCs w:val="21"/>
                      <w:u w:val="none" w:color="auto"/>
                    </w:rPr>
                  </w:pPr>
                </w:p>
              </w:tc>
              <w:tc>
                <w:tcPr>
                  <w:tcW w:w="2397" w:type="pct"/>
                  <w:tcBorders>
                    <w:tl2br w:val="nil"/>
                    <w:tr2bl w:val="nil"/>
                  </w:tcBorders>
                  <w:noWrap w:val="0"/>
                  <w:vAlign w:val="center"/>
                </w:tcPr>
                <w:p w14:paraId="05E2F8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rPr>
                      <w:b w:val="0"/>
                      <w:bCs w:val="0"/>
                      <w:sz w:val="21"/>
                      <w:szCs w:val="21"/>
                      <w:u w:val="none" w:color="auto"/>
                    </w:rPr>
                  </w:pPr>
                  <w:r>
                    <w:rPr>
                      <w:rFonts w:hint="eastAsia"/>
                      <w:b w:val="0"/>
                      <w:bCs w:val="0"/>
                      <w:sz w:val="21"/>
                      <w:szCs w:val="21"/>
                      <w:u w:val="none" w:color="auto"/>
                    </w:rPr>
                    <w:t>2.按照循环经济发展要求，评价建议与集聚区已有产业或项目能够形成良好循环经济链条的项目可优先入区。</w:t>
                  </w:r>
                </w:p>
              </w:tc>
              <w:tc>
                <w:tcPr>
                  <w:tcW w:w="1637" w:type="pct"/>
                  <w:tcBorders>
                    <w:tl2br w:val="nil"/>
                    <w:tr2bl w:val="nil"/>
                  </w:tcBorders>
                  <w:noWrap w:val="0"/>
                  <w:vAlign w:val="center"/>
                </w:tcPr>
                <w:p w14:paraId="7AD0C6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hint="default" w:eastAsia="宋体"/>
                      <w:b w:val="0"/>
                      <w:bCs w:val="0"/>
                      <w:color w:val="000000"/>
                      <w:sz w:val="21"/>
                      <w:szCs w:val="21"/>
                      <w:u w:val="none" w:color="auto"/>
                      <w:lang w:val="en-US" w:eastAsia="zh-CN"/>
                    </w:rPr>
                  </w:pPr>
                  <w:r>
                    <w:rPr>
                      <w:rFonts w:hint="eastAsia"/>
                      <w:b w:val="0"/>
                      <w:bCs w:val="0"/>
                      <w:color w:val="000000"/>
                      <w:sz w:val="21"/>
                      <w:szCs w:val="21"/>
                      <w:u w:val="none" w:color="auto"/>
                      <w:lang w:val="en-US" w:eastAsia="zh-CN"/>
                    </w:rPr>
                    <w:t>本项目为锂离子电池制造，与园区规划不冲突。</w:t>
                  </w:r>
                </w:p>
              </w:tc>
              <w:tc>
                <w:tcPr>
                  <w:tcW w:w="494" w:type="pct"/>
                  <w:tcBorders>
                    <w:tl2br w:val="nil"/>
                    <w:tr2bl w:val="nil"/>
                  </w:tcBorders>
                  <w:noWrap w:val="0"/>
                  <w:vAlign w:val="center"/>
                </w:tcPr>
                <w:p w14:paraId="4AF6E9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b w:val="0"/>
                      <w:bCs w:val="0"/>
                      <w:color w:val="000000"/>
                      <w:sz w:val="21"/>
                      <w:szCs w:val="21"/>
                      <w:u w:val="none" w:color="auto"/>
                    </w:rPr>
                  </w:pPr>
                  <w:r>
                    <w:rPr>
                      <w:b w:val="0"/>
                      <w:bCs w:val="0"/>
                      <w:color w:val="000000"/>
                      <w:sz w:val="21"/>
                      <w:szCs w:val="21"/>
                      <w:u w:val="none" w:color="auto"/>
                    </w:rPr>
                    <w:t>符合</w:t>
                  </w:r>
                </w:p>
              </w:tc>
            </w:tr>
          </w:tbl>
          <w:p w14:paraId="55C6262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both"/>
              <w:textAlignment w:val="baseline"/>
              <w:rPr>
                <w:rFonts w:hint="eastAsia" w:ascii="Times New Roman" w:hAnsi="Times New Roman" w:eastAsia="宋体" w:cs="Times New Roman"/>
                <w:color w:val="000000"/>
                <w:sz w:val="24"/>
                <w:u w:val="none" w:color="auto"/>
                <w:lang w:val="en-US" w:eastAsia="zh-CN"/>
              </w:rPr>
            </w:pPr>
            <w:r>
              <w:rPr>
                <w:rFonts w:hint="eastAsia" w:ascii="Times New Roman" w:hAnsi="Times New Roman" w:eastAsia="宋体" w:cs="Times New Roman"/>
                <w:color w:val="000000"/>
                <w:sz w:val="24"/>
                <w:u w:val="none" w:color="auto"/>
                <w:lang w:val="en-US" w:eastAsia="zh-CN"/>
              </w:rPr>
              <w:t>由上表可知，本项目符合《新乡高新技术产业开发区总体规划（2009—2020）环境影响报告书》准入条件要求。</w:t>
            </w:r>
          </w:p>
          <w:p w14:paraId="7626FAD5">
            <w:pPr>
              <w:keepNext w:val="0"/>
              <w:keepLines w:val="0"/>
              <w:pageBreakBefore w:val="0"/>
              <w:widowControl w:val="0"/>
              <w:kinsoku/>
              <w:wordWrap/>
              <w:overflowPunct/>
              <w:topLinePunct w:val="0"/>
              <w:autoSpaceDE w:val="0"/>
              <w:autoSpaceDN w:val="0"/>
              <w:bidi w:val="0"/>
              <w:adjustRightInd w:val="0"/>
              <w:snapToGrid w:val="0"/>
              <w:spacing w:line="440" w:lineRule="exact"/>
              <w:jc w:val="center"/>
              <w:rPr>
                <w:rFonts w:hint="default" w:ascii="Times New Roman" w:hAnsi="Times New Roman" w:eastAsia="宋体" w:cs="Times New Roman"/>
                <w:b/>
                <w:bCs/>
                <w:kern w:val="0"/>
                <w:sz w:val="24"/>
                <w:u w:val="none" w:color="auto"/>
                <w:lang w:val="en-US" w:eastAsia="zh-CN"/>
              </w:rPr>
            </w:pPr>
            <w:r>
              <w:rPr>
                <w:rFonts w:hint="default" w:ascii="Times New Roman" w:hAnsi="Times New Roman" w:eastAsia="宋体" w:cs="Times New Roman"/>
                <w:b/>
                <w:bCs/>
                <w:kern w:val="0"/>
                <w:sz w:val="24"/>
                <w:u w:val="none" w:color="auto"/>
                <w:lang w:val="en-US" w:eastAsia="zh-CN"/>
              </w:rPr>
              <w:t>表1-</w:t>
            </w:r>
            <w:r>
              <w:rPr>
                <w:rFonts w:hint="eastAsia" w:ascii="Times New Roman" w:hAnsi="Times New Roman" w:eastAsia="宋体" w:cs="Times New Roman"/>
                <w:b/>
                <w:bCs/>
                <w:kern w:val="0"/>
                <w:sz w:val="24"/>
                <w:u w:val="none" w:color="auto"/>
                <w:lang w:val="en-US" w:eastAsia="zh-CN"/>
              </w:rPr>
              <w:t>3</w:t>
            </w:r>
            <w:r>
              <w:rPr>
                <w:rFonts w:hint="default" w:ascii="Times New Roman" w:hAnsi="Times New Roman" w:eastAsia="宋体" w:cs="Times New Roman"/>
                <w:b/>
                <w:bCs/>
                <w:kern w:val="0"/>
                <w:sz w:val="24"/>
                <w:u w:val="none" w:color="auto"/>
                <w:lang w:val="en-US" w:eastAsia="zh-CN"/>
              </w:rPr>
              <w:t xml:space="preserve">   本项目与集聚区环境准入负面清单对照分析</w:t>
            </w:r>
          </w:p>
          <w:tbl>
            <w:tblPr>
              <w:tblStyle w:val="32"/>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57" w:type="dxa"/>
                <w:left w:w="28" w:type="dxa"/>
                <w:bottom w:w="28" w:type="dxa"/>
                <w:right w:w="28" w:type="dxa"/>
              </w:tblCellMar>
            </w:tblPr>
            <w:tblGrid>
              <w:gridCol w:w="731"/>
              <w:gridCol w:w="3301"/>
              <w:gridCol w:w="2939"/>
              <w:gridCol w:w="673"/>
            </w:tblGrid>
            <w:tr w14:paraId="3314F84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jc w:val="center"/>
              </w:trPr>
              <w:tc>
                <w:tcPr>
                  <w:tcW w:w="739" w:type="dxa"/>
                  <w:tcBorders>
                    <w:bottom w:val="single" w:color="000000" w:sz="8" w:space="0"/>
                    <w:tl2br w:val="nil"/>
                    <w:tr2bl w:val="nil"/>
                  </w:tcBorders>
                  <w:noWrap w:val="0"/>
                  <w:vAlign w:val="center"/>
                </w:tcPr>
                <w:p w14:paraId="6A3E7E89">
                  <w:pPr>
                    <w:pStyle w:val="29"/>
                    <w:snapToGrid w:val="0"/>
                    <w:spacing w:before="0" w:beforeAutospacing="0" w:after="0" w:afterAutospacing="0" w:line="240" w:lineRule="exact"/>
                    <w:jc w:val="center"/>
                    <w:rPr>
                      <w:rFonts w:hint="default" w:ascii="Times New Roman" w:hAnsi="Times New Roman" w:eastAsia="宋体" w:cs="Times New Roman"/>
                      <w:b/>
                      <w:bCs/>
                      <w:sz w:val="21"/>
                      <w:szCs w:val="21"/>
                      <w:u w:val="none" w:color="auto"/>
                    </w:rPr>
                  </w:pPr>
                  <w:r>
                    <w:rPr>
                      <w:rFonts w:hint="default" w:ascii="Times New Roman" w:hAnsi="Times New Roman" w:eastAsia="宋体" w:cs="Times New Roman"/>
                      <w:b/>
                      <w:bCs/>
                      <w:sz w:val="21"/>
                      <w:szCs w:val="21"/>
                      <w:u w:val="none" w:color="auto"/>
                      <w:lang w:bidi="ar"/>
                    </w:rPr>
                    <w:t>类别</w:t>
                  </w:r>
                </w:p>
              </w:tc>
              <w:tc>
                <w:tcPr>
                  <w:tcW w:w="3344" w:type="dxa"/>
                  <w:tcBorders>
                    <w:bottom w:val="single" w:color="000000" w:sz="8" w:space="0"/>
                    <w:tl2br w:val="nil"/>
                    <w:tr2bl w:val="nil"/>
                  </w:tcBorders>
                  <w:noWrap w:val="0"/>
                  <w:vAlign w:val="center"/>
                </w:tcPr>
                <w:p w14:paraId="4CD13606">
                  <w:pPr>
                    <w:pStyle w:val="29"/>
                    <w:snapToGrid w:val="0"/>
                    <w:spacing w:before="0" w:beforeAutospacing="0" w:after="0" w:afterAutospacing="0" w:line="240" w:lineRule="exact"/>
                    <w:jc w:val="center"/>
                    <w:rPr>
                      <w:rFonts w:hint="default" w:ascii="Times New Roman" w:hAnsi="Times New Roman" w:eastAsia="宋体" w:cs="Times New Roman"/>
                      <w:b/>
                      <w:bCs/>
                      <w:sz w:val="21"/>
                      <w:szCs w:val="21"/>
                      <w:u w:val="none" w:color="auto"/>
                    </w:rPr>
                  </w:pPr>
                  <w:r>
                    <w:rPr>
                      <w:rFonts w:hint="default" w:ascii="Times New Roman" w:hAnsi="Times New Roman" w:eastAsia="宋体" w:cs="Times New Roman"/>
                      <w:b/>
                      <w:bCs/>
                      <w:sz w:val="21"/>
                      <w:szCs w:val="21"/>
                      <w:u w:val="none" w:color="auto"/>
                      <w:lang w:bidi="ar"/>
                    </w:rPr>
                    <w:t>负面清单</w:t>
                  </w:r>
                </w:p>
              </w:tc>
              <w:tc>
                <w:tcPr>
                  <w:tcW w:w="2977" w:type="dxa"/>
                  <w:tcBorders>
                    <w:bottom w:val="single" w:color="000000" w:sz="8" w:space="0"/>
                    <w:tl2br w:val="nil"/>
                    <w:tr2bl w:val="nil"/>
                  </w:tcBorders>
                  <w:noWrap w:val="0"/>
                  <w:vAlign w:val="center"/>
                </w:tcPr>
                <w:p w14:paraId="31BD751D">
                  <w:pPr>
                    <w:pStyle w:val="29"/>
                    <w:snapToGrid w:val="0"/>
                    <w:spacing w:before="0" w:beforeAutospacing="0" w:after="0" w:afterAutospacing="0" w:line="240" w:lineRule="exact"/>
                    <w:jc w:val="center"/>
                    <w:rPr>
                      <w:rFonts w:hint="default" w:ascii="Times New Roman" w:hAnsi="Times New Roman" w:eastAsia="宋体" w:cs="Times New Roman"/>
                      <w:b/>
                      <w:bCs/>
                      <w:sz w:val="21"/>
                      <w:szCs w:val="21"/>
                      <w:u w:val="none" w:color="auto"/>
                    </w:rPr>
                  </w:pPr>
                  <w:r>
                    <w:rPr>
                      <w:rFonts w:hint="default" w:ascii="Times New Roman" w:hAnsi="Times New Roman" w:eastAsia="宋体" w:cs="Times New Roman"/>
                      <w:b/>
                      <w:bCs/>
                      <w:sz w:val="21"/>
                      <w:szCs w:val="21"/>
                      <w:u w:val="none" w:color="auto"/>
                      <w:lang w:bidi="ar"/>
                    </w:rPr>
                    <w:t>本项目情况</w:t>
                  </w:r>
                </w:p>
              </w:tc>
              <w:tc>
                <w:tcPr>
                  <w:tcW w:w="680" w:type="dxa"/>
                  <w:tcBorders>
                    <w:bottom w:val="single" w:color="000000" w:sz="8" w:space="0"/>
                    <w:tl2br w:val="nil"/>
                    <w:tr2bl w:val="nil"/>
                  </w:tcBorders>
                  <w:noWrap w:val="0"/>
                  <w:vAlign w:val="center"/>
                </w:tcPr>
                <w:p w14:paraId="47F2FCA9">
                  <w:pPr>
                    <w:pStyle w:val="29"/>
                    <w:snapToGrid w:val="0"/>
                    <w:spacing w:before="0" w:beforeAutospacing="0" w:after="0" w:afterAutospacing="0" w:line="240" w:lineRule="exact"/>
                    <w:jc w:val="center"/>
                    <w:rPr>
                      <w:rFonts w:hint="default" w:ascii="Times New Roman" w:hAnsi="Times New Roman" w:eastAsia="宋体" w:cs="Times New Roman"/>
                      <w:b/>
                      <w:bCs/>
                      <w:sz w:val="21"/>
                      <w:szCs w:val="21"/>
                      <w:u w:val="none" w:color="auto"/>
                    </w:rPr>
                  </w:pPr>
                  <w:r>
                    <w:rPr>
                      <w:rFonts w:hint="default" w:ascii="Times New Roman" w:hAnsi="Times New Roman" w:eastAsia="宋体" w:cs="Times New Roman"/>
                      <w:b/>
                      <w:bCs/>
                      <w:sz w:val="21"/>
                      <w:szCs w:val="21"/>
                      <w:u w:val="none" w:color="auto"/>
                      <w:lang w:bidi="ar"/>
                    </w:rPr>
                    <w:t>相符性</w:t>
                  </w:r>
                </w:p>
              </w:tc>
            </w:tr>
            <w:tr w14:paraId="32D6B13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trHeight w:val="90" w:hRule="atLeast"/>
                <w:jc w:val="center"/>
              </w:trPr>
              <w:tc>
                <w:tcPr>
                  <w:tcW w:w="739" w:type="dxa"/>
                  <w:vMerge w:val="restart"/>
                  <w:tcBorders>
                    <w:top w:val="single" w:color="000000" w:sz="8" w:space="0"/>
                    <w:tl2br w:val="nil"/>
                    <w:tr2bl w:val="nil"/>
                  </w:tcBorders>
                  <w:noWrap w:val="0"/>
                  <w:vAlign w:val="center"/>
                </w:tcPr>
                <w:p w14:paraId="52755B0D">
                  <w:pPr>
                    <w:pStyle w:val="29"/>
                    <w:snapToGrid w:val="0"/>
                    <w:spacing w:before="0" w:beforeAutospacing="0" w:after="0" w:afterAutospacing="0" w:line="240" w:lineRule="exact"/>
                    <w:jc w:val="center"/>
                    <w:rPr>
                      <w:rFonts w:hint="default" w:ascii="Times New Roman" w:hAnsi="Times New Roman" w:eastAsia="宋体" w:cs="Times New Roman"/>
                      <w:b w:val="0"/>
                      <w:bCs w:val="0"/>
                      <w:sz w:val="21"/>
                      <w:szCs w:val="21"/>
                      <w:u w:val="none" w:color="auto"/>
                    </w:rPr>
                  </w:pPr>
                  <w:r>
                    <w:rPr>
                      <w:rFonts w:hint="default" w:ascii="Times New Roman" w:hAnsi="Times New Roman" w:eastAsia="宋体" w:cs="Times New Roman"/>
                      <w:b w:val="0"/>
                      <w:bCs w:val="0"/>
                      <w:sz w:val="21"/>
                      <w:szCs w:val="21"/>
                      <w:u w:val="none" w:color="auto"/>
                      <w:lang w:bidi="ar"/>
                    </w:rPr>
                    <w:t>产业政策及行业准入</w:t>
                  </w:r>
                </w:p>
              </w:tc>
              <w:tc>
                <w:tcPr>
                  <w:tcW w:w="3344" w:type="dxa"/>
                  <w:tcBorders>
                    <w:top w:val="single" w:color="000000" w:sz="8" w:space="0"/>
                    <w:tl2br w:val="nil"/>
                    <w:tr2bl w:val="nil"/>
                  </w:tcBorders>
                  <w:noWrap w:val="0"/>
                  <w:vAlign w:val="center"/>
                </w:tcPr>
                <w:p w14:paraId="78BE92B4">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禁止新建国家《产业结构调整指导目录（2013年修正）》中限制、淘汰类的建设项目。</w:t>
                  </w:r>
                </w:p>
              </w:tc>
              <w:tc>
                <w:tcPr>
                  <w:tcW w:w="2977" w:type="dxa"/>
                  <w:tcBorders>
                    <w:top w:val="single" w:color="000000" w:sz="8" w:space="0"/>
                    <w:tl2br w:val="nil"/>
                    <w:tr2bl w:val="nil"/>
                  </w:tcBorders>
                  <w:noWrap w:val="0"/>
                  <w:vAlign w:val="center"/>
                </w:tcPr>
                <w:p w14:paraId="7DD3733F">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对照《产业结构调整指导目录</w:t>
                  </w:r>
                  <w:r>
                    <w:rPr>
                      <w:rFonts w:hint="eastAsia" w:ascii="Times New Roman" w:hAnsi="Times New Roman" w:eastAsia="宋体" w:cs="Times New Roman"/>
                      <w:sz w:val="21"/>
                      <w:szCs w:val="21"/>
                      <w:u w:val="none" w:color="auto"/>
                      <w:lang w:eastAsia="zh-CN" w:bidi="ar"/>
                    </w:rPr>
                    <w:t>》</w:t>
                  </w:r>
                  <w:r>
                    <w:rPr>
                      <w:rFonts w:hint="default" w:ascii="Times New Roman" w:hAnsi="Times New Roman" w:eastAsia="宋体" w:cs="Times New Roman"/>
                      <w:sz w:val="21"/>
                      <w:szCs w:val="21"/>
                      <w:u w:val="none" w:color="auto"/>
                      <w:lang w:bidi="ar"/>
                    </w:rPr>
                    <w:t>（</w:t>
                  </w:r>
                  <w:r>
                    <w:rPr>
                      <w:rFonts w:hint="eastAsia" w:ascii="Times New Roman" w:hAnsi="Times New Roman" w:eastAsia="宋体" w:cs="Times New Roman"/>
                      <w:sz w:val="21"/>
                      <w:szCs w:val="21"/>
                      <w:u w:val="none" w:color="auto"/>
                      <w:lang w:val="en-US" w:eastAsia="zh-CN" w:bidi="ar"/>
                    </w:rPr>
                    <w:t>2024</w:t>
                  </w:r>
                  <w:r>
                    <w:rPr>
                      <w:rFonts w:hint="default" w:ascii="Times New Roman" w:hAnsi="Times New Roman" w:eastAsia="宋体" w:cs="Times New Roman"/>
                      <w:sz w:val="21"/>
                      <w:szCs w:val="21"/>
                      <w:u w:val="none" w:color="auto"/>
                      <w:lang w:bidi="ar"/>
                    </w:rPr>
                    <w:t>年</w:t>
                  </w:r>
                  <w:r>
                    <w:rPr>
                      <w:rFonts w:hint="eastAsia" w:ascii="Times New Roman" w:hAnsi="Times New Roman" w:eastAsia="宋体" w:cs="Times New Roman"/>
                      <w:sz w:val="21"/>
                      <w:szCs w:val="21"/>
                      <w:u w:val="none" w:color="auto"/>
                      <w:lang w:val="en-US" w:eastAsia="zh-CN" w:bidi="ar"/>
                    </w:rPr>
                    <w:t>本</w:t>
                  </w:r>
                  <w:r>
                    <w:rPr>
                      <w:rFonts w:hint="default" w:ascii="Times New Roman" w:hAnsi="Times New Roman" w:eastAsia="宋体" w:cs="Times New Roman"/>
                      <w:sz w:val="21"/>
                      <w:szCs w:val="21"/>
                      <w:u w:val="none" w:color="auto"/>
                      <w:lang w:bidi="ar"/>
                    </w:rPr>
                    <w:t>）》本项目属于</w:t>
                  </w:r>
                  <w:r>
                    <w:rPr>
                      <w:rFonts w:hint="eastAsia" w:ascii="Times New Roman" w:hAnsi="Times New Roman" w:cs="Times New Roman"/>
                      <w:sz w:val="21"/>
                      <w:szCs w:val="21"/>
                      <w:u w:val="none" w:color="auto"/>
                      <w:lang w:val="en-US" w:eastAsia="zh-CN" w:bidi="ar"/>
                    </w:rPr>
                    <w:t>鼓励</w:t>
                  </w:r>
                  <w:r>
                    <w:rPr>
                      <w:rFonts w:hint="default" w:ascii="Times New Roman" w:hAnsi="Times New Roman" w:eastAsia="宋体" w:cs="Times New Roman"/>
                      <w:sz w:val="21"/>
                      <w:szCs w:val="21"/>
                      <w:u w:val="none" w:color="auto"/>
                      <w:lang w:bidi="ar"/>
                    </w:rPr>
                    <w:t>类项目。</w:t>
                  </w:r>
                </w:p>
              </w:tc>
              <w:tc>
                <w:tcPr>
                  <w:tcW w:w="680" w:type="dxa"/>
                  <w:tcBorders>
                    <w:top w:val="single" w:color="000000" w:sz="8" w:space="0"/>
                    <w:tl2br w:val="nil"/>
                    <w:tr2bl w:val="nil"/>
                  </w:tcBorders>
                  <w:noWrap w:val="0"/>
                  <w:vAlign w:val="center"/>
                </w:tcPr>
                <w:p w14:paraId="5F789622">
                  <w:pPr>
                    <w:snapToGrid w:val="0"/>
                    <w:spacing w:before="0" w:beforeAutospacing="0" w:after="0" w:afterAutospacing="0" w:line="240" w:lineRule="exact"/>
                    <w:jc w:val="center"/>
                    <w:rPr>
                      <w:rFonts w:hint="default" w:ascii="Times New Roman" w:hAnsi="Times New Roman" w:eastAsia="宋体" w:cs="Times New Roman"/>
                      <w:bCs/>
                      <w:sz w:val="21"/>
                      <w:szCs w:val="21"/>
                      <w:u w:val="none" w:color="auto"/>
                    </w:rPr>
                  </w:pPr>
                  <w:r>
                    <w:rPr>
                      <w:b w:val="0"/>
                      <w:bCs w:val="0"/>
                      <w:color w:val="000000"/>
                      <w:sz w:val="21"/>
                      <w:szCs w:val="21"/>
                      <w:u w:val="none" w:color="auto"/>
                    </w:rPr>
                    <w:t>符合</w:t>
                  </w:r>
                </w:p>
              </w:tc>
            </w:tr>
            <w:tr w14:paraId="16A2E1C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jc w:val="center"/>
              </w:trPr>
              <w:tc>
                <w:tcPr>
                  <w:tcW w:w="739" w:type="dxa"/>
                  <w:vMerge w:val="continue"/>
                  <w:tcBorders>
                    <w:tl2br w:val="nil"/>
                    <w:tr2bl w:val="nil"/>
                  </w:tcBorders>
                  <w:noWrap w:val="0"/>
                  <w:vAlign w:val="center"/>
                </w:tcPr>
                <w:p w14:paraId="7F2233AF">
                  <w:pPr>
                    <w:widowControl/>
                    <w:spacing w:line="240" w:lineRule="exact"/>
                    <w:jc w:val="center"/>
                    <w:rPr>
                      <w:rFonts w:hint="default" w:ascii="Times New Roman" w:hAnsi="Times New Roman" w:eastAsia="宋体" w:cs="Times New Roman"/>
                      <w:b w:val="0"/>
                      <w:bCs w:val="0"/>
                      <w:sz w:val="21"/>
                      <w:szCs w:val="21"/>
                      <w:u w:val="none" w:color="auto"/>
                    </w:rPr>
                  </w:pPr>
                </w:p>
              </w:tc>
              <w:tc>
                <w:tcPr>
                  <w:tcW w:w="3344" w:type="dxa"/>
                  <w:tcBorders>
                    <w:tl2br w:val="nil"/>
                    <w:tr2bl w:val="nil"/>
                  </w:tcBorders>
                  <w:noWrap w:val="0"/>
                  <w:vAlign w:val="center"/>
                </w:tcPr>
                <w:p w14:paraId="17503207">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禁止化学合成药以及生物发酵制药单纯新建或扩大产能项目入驻。</w:t>
                  </w:r>
                </w:p>
              </w:tc>
              <w:tc>
                <w:tcPr>
                  <w:tcW w:w="2977" w:type="dxa"/>
                  <w:tcBorders>
                    <w:tl2br w:val="nil"/>
                    <w:tr2bl w:val="nil"/>
                  </w:tcBorders>
                  <w:noWrap w:val="0"/>
                  <w:vAlign w:val="center"/>
                </w:tcPr>
                <w:p w14:paraId="56B46866">
                  <w:pPr>
                    <w:pStyle w:val="29"/>
                    <w:tabs>
                      <w:tab w:val="center" w:pos="1501"/>
                      <w:tab w:val="right" w:pos="2883"/>
                    </w:tabs>
                    <w:snapToGrid w:val="0"/>
                    <w:spacing w:before="0" w:beforeAutospacing="0" w:after="0" w:afterAutospacing="0" w:line="240" w:lineRule="exact"/>
                    <w:jc w:val="center"/>
                    <w:rPr>
                      <w:rFonts w:hint="eastAsia"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bidi="ar"/>
                    </w:rPr>
                    <w:t>本项目不涉及</w:t>
                  </w:r>
                  <w:r>
                    <w:rPr>
                      <w:rFonts w:hint="eastAsia" w:ascii="Times New Roman" w:hAnsi="Times New Roman" w:cs="Times New Roman"/>
                      <w:sz w:val="21"/>
                      <w:szCs w:val="21"/>
                      <w:u w:val="none" w:color="auto"/>
                      <w:lang w:eastAsia="zh-CN" w:bidi="ar"/>
                    </w:rPr>
                    <w:t>。</w:t>
                  </w:r>
                </w:p>
              </w:tc>
              <w:tc>
                <w:tcPr>
                  <w:tcW w:w="680" w:type="dxa"/>
                  <w:tcBorders>
                    <w:tl2br w:val="nil"/>
                    <w:tr2bl w:val="nil"/>
                  </w:tcBorders>
                  <w:noWrap w:val="0"/>
                  <w:vAlign w:val="center"/>
                </w:tcPr>
                <w:p w14:paraId="0DAFF8B6">
                  <w:pPr>
                    <w:snapToGrid w:val="0"/>
                    <w:spacing w:before="0" w:beforeAutospacing="0" w:after="0" w:afterAutospacing="0" w:line="240" w:lineRule="exact"/>
                    <w:jc w:val="center"/>
                    <w:rPr>
                      <w:rFonts w:hint="default" w:ascii="Times New Roman" w:hAnsi="Times New Roman" w:eastAsia="宋体" w:cs="Times New Roman"/>
                      <w:bCs/>
                      <w:sz w:val="21"/>
                      <w:szCs w:val="21"/>
                      <w:u w:val="none" w:color="auto"/>
                    </w:rPr>
                  </w:pPr>
                  <w:r>
                    <w:rPr>
                      <w:b w:val="0"/>
                      <w:bCs w:val="0"/>
                      <w:color w:val="000000"/>
                      <w:sz w:val="21"/>
                      <w:szCs w:val="21"/>
                      <w:u w:val="none" w:color="auto"/>
                    </w:rPr>
                    <w:t>符合</w:t>
                  </w:r>
                </w:p>
              </w:tc>
            </w:tr>
            <w:tr w14:paraId="247F991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jc w:val="center"/>
              </w:trPr>
              <w:tc>
                <w:tcPr>
                  <w:tcW w:w="739" w:type="dxa"/>
                  <w:vMerge w:val="continue"/>
                  <w:tcBorders>
                    <w:tl2br w:val="nil"/>
                    <w:tr2bl w:val="nil"/>
                  </w:tcBorders>
                  <w:noWrap w:val="0"/>
                  <w:vAlign w:val="center"/>
                </w:tcPr>
                <w:p w14:paraId="05A47790">
                  <w:pPr>
                    <w:widowControl/>
                    <w:spacing w:line="240" w:lineRule="exact"/>
                    <w:jc w:val="center"/>
                    <w:rPr>
                      <w:rFonts w:hint="default" w:ascii="Times New Roman" w:hAnsi="Times New Roman" w:eastAsia="宋体" w:cs="Times New Roman"/>
                      <w:b w:val="0"/>
                      <w:bCs w:val="0"/>
                      <w:sz w:val="21"/>
                      <w:szCs w:val="21"/>
                      <w:u w:val="none" w:color="auto"/>
                    </w:rPr>
                  </w:pPr>
                </w:p>
              </w:tc>
              <w:tc>
                <w:tcPr>
                  <w:tcW w:w="3344" w:type="dxa"/>
                  <w:tcBorders>
                    <w:tl2br w:val="nil"/>
                    <w:tr2bl w:val="nil"/>
                  </w:tcBorders>
                  <w:noWrap w:val="0"/>
                  <w:vAlign w:val="center"/>
                </w:tcPr>
                <w:p w14:paraId="504F80A0">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禁止新建及新增铸造产能项目。</w:t>
                  </w:r>
                </w:p>
              </w:tc>
              <w:tc>
                <w:tcPr>
                  <w:tcW w:w="2977" w:type="dxa"/>
                  <w:tcBorders>
                    <w:tl2br w:val="nil"/>
                    <w:tr2bl w:val="nil"/>
                  </w:tcBorders>
                  <w:noWrap w:val="0"/>
                  <w:vAlign w:val="center"/>
                </w:tcPr>
                <w:p w14:paraId="6B2AB2C6">
                  <w:pPr>
                    <w:widowControl/>
                    <w:snapToGrid w:val="0"/>
                    <w:spacing w:line="240" w:lineRule="exact"/>
                    <w:jc w:val="center"/>
                    <w:rPr>
                      <w:rFonts w:hint="eastAsia" w:ascii="Times New Roman" w:hAnsi="Times New Roman" w:eastAsia="宋体" w:cs="Times New Roman"/>
                      <w:sz w:val="21"/>
                      <w:szCs w:val="21"/>
                      <w:u w:val="none" w:color="auto"/>
                      <w:lang w:eastAsia="zh-CN"/>
                    </w:rPr>
                  </w:pPr>
                  <w:r>
                    <w:rPr>
                      <w:rFonts w:hint="default" w:ascii="Times New Roman" w:hAnsi="Times New Roman" w:eastAsia="宋体" w:cs="Times New Roman"/>
                      <w:sz w:val="21"/>
                      <w:szCs w:val="21"/>
                      <w:u w:val="none" w:color="auto"/>
                      <w:lang w:bidi="ar"/>
                    </w:rPr>
                    <w:t>本项目不涉及</w:t>
                  </w:r>
                  <w:r>
                    <w:rPr>
                      <w:rFonts w:hint="eastAsia" w:cs="Times New Roman"/>
                      <w:sz w:val="21"/>
                      <w:szCs w:val="21"/>
                      <w:u w:val="none" w:color="auto"/>
                      <w:lang w:eastAsia="zh-CN" w:bidi="ar"/>
                    </w:rPr>
                    <w:t>。</w:t>
                  </w:r>
                </w:p>
              </w:tc>
              <w:tc>
                <w:tcPr>
                  <w:tcW w:w="680" w:type="dxa"/>
                  <w:tcBorders>
                    <w:tl2br w:val="nil"/>
                    <w:tr2bl w:val="nil"/>
                  </w:tcBorders>
                  <w:noWrap w:val="0"/>
                  <w:vAlign w:val="center"/>
                </w:tcPr>
                <w:p w14:paraId="53060C1F">
                  <w:pPr>
                    <w:snapToGrid w:val="0"/>
                    <w:spacing w:before="0" w:beforeAutospacing="0" w:after="0" w:afterAutospacing="0" w:line="240" w:lineRule="exact"/>
                    <w:jc w:val="center"/>
                    <w:rPr>
                      <w:rFonts w:hint="default" w:ascii="Times New Roman" w:hAnsi="Times New Roman" w:eastAsia="宋体" w:cs="Times New Roman"/>
                      <w:bCs/>
                      <w:sz w:val="21"/>
                      <w:szCs w:val="21"/>
                      <w:u w:val="none" w:color="auto"/>
                    </w:rPr>
                  </w:pPr>
                  <w:r>
                    <w:rPr>
                      <w:b w:val="0"/>
                      <w:bCs w:val="0"/>
                      <w:color w:val="000000"/>
                      <w:sz w:val="21"/>
                      <w:szCs w:val="21"/>
                      <w:u w:val="none" w:color="auto"/>
                    </w:rPr>
                    <w:t>符合</w:t>
                  </w:r>
                </w:p>
              </w:tc>
            </w:tr>
            <w:tr w14:paraId="4118C51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jc w:val="center"/>
              </w:trPr>
              <w:tc>
                <w:tcPr>
                  <w:tcW w:w="739" w:type="dxa"/>
                  <w:vMerge w:val="continue"/>
                  <w:tcBorders>
                    <w:tl2br w:val="nil"/>
                    <w:tr2bl w:val="nil"/>
                  </w:tcBorders>
                  <w:noWrap w:val="0"/>
                  <w:vAlign w:val="center"/>
                </w:tcPr>
                <w:p w14:paraId="370AC869">
                  <w:pPr>
                    <w:widowControl/>
                    <w:spacing w:line="240" w:lineRule="exact"/>
                    <w:jc w:val="center"/>
                    <w:rPr>
                      <w:rFonts w:hint="default" w:ascii="Times New Roman" w:hAnsi="Times New Roman" w:eastAsia="宋体" w:cs="Times New Roman"/>
                      <w:b w:val="0"/>
                      <w:bCs w:val="0"/>
                      <w:sz w:val="21"/>
                      <w:szCs w:val="21"/>
                      <w:u w:val="none" w:color="auto"/>
                    </w:rPr>
                  </w:pPr>
                </w:p>
              </w:tc>
              <w:tc>
                <w:tcPr>
                  <w:tcW w:w="3344" w:type="dxa"/>
                  <w:tcBorders>
                    <w:tl2br w:val="nil"/>
                    <w:tr2bl w:val="nil"/>
                  </w:tcBorders>
                  <w:noWrap w:val="0"/>
                  <w:vAlign w:val="center"/>
                </w:tcPr>
                <w:p w14:paraId="1F206FF7">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限制钢结构制造行业空气喷涂项目。</w:t>
                  </w:r>
                </w:p>
              </w:tc>
              <w:tc>
                <w:tcPr>
                  <w:tcW w:w="2977" w:type="dxa"/>
                  <w:tcBorders>
                    <w:tl2br w:val="nil"/>
                    <w:tr2bl w:val="nil"/>
                  </w:tcBorders>
                  <w:noWrap w:val="0"/>
                  <w:vAlign w:val="center"/>
                </w:tcPr>
                <w:p w14:paraId="0EE49240">
                  <w:pPr>
                    <w:widowControl/>
                    <w:snapToGrid w:val="0"/>
                    <w:spacing w:line="240" w:lineRule="exact"/>
                    <w:jc w:val="center"/>
                    <w:rPr>
                      <w:rFonts w:hint="eastAsia" w:ascii="Times New Roman" w:hAnsi="Times New Roman" w:eastAsia="宋体" w:cs="Times New Roman"/>
                      <w:sz w:val="21"/>
                      <w:szCs w:val="21"/>
                      <w:u w:val="none" w:color="auto"/>
                      <w:lang w:eastAsia="zh-CN"/>
                    </w:rPr>
                  </w:pPr>
                  <w:r>
                    <w:rPr>
                      <w:rFonts w:hint="default" w:ascii="Times New Roman" w:hAnsi="Times New Roman" w:eastAsia="宋体" w:cs="Times New Roman"/>
                      <w:sz w:val="21"/>
                      <w:szCs w:val="21"/>
                      <w:u w:val="none" w:color="auto"/>
                      <w:lang w:bidi="ar"/>
                    </w:rPr>
                    <w:t>本项目不涉及</w:t>
                  </w:r>
                  <w:r>
                    <w:rPr>
                      <w:rFonts w:hint="eastAsia" w:cs="Times New Roman"/>
                      <w:sz w:val="21"/>
                      <w:szCs w:val="21"/>
                      <w:u w:val="none" w:color="auto"/>
                      <w:lang w:eastAsia="zh-CN" w:bidi="ar"/>
                    </w:rPr>
                    <w:t>。</w:t>
                  </w:r>
                </w:p>
              </w:tc>
              <w:tc>
                <w:tcPr>
                  <w:tcW w:w="680" w:type="dxa"/>
                  <w:tcBorders>
                    <w:tl2br w:val="nil"/>
                    <w:tr2bl w:val="nil"/>
                  </w:tcBorders>
                  <w:noWrap w:val="0"/>
                  <w:vAlign w:val="center"/>
                </w:tcPr>
                <w:p w14:paraId="7EC0280D">
                  <w:pPr>
                    <w:snapToGrid w:val="0"/>
                    <w:spacing w:before="0" w:beforeAutospacing="0" w:after="0" w:afterAutospacing="0" w:line="240" w:lineRule="exact"/>
                    <w:jc w:val="center"/>
                    <w:rPr>
                      <w:rFonts w:hint="default" w:ascii="Times New Roman" w:hAnsi="Times New Roman" w:eastAsia="宋体" w:cs="Times New Roman"/>
                      <w:bCs/>
                      <w:sz w:val="21"/>
                      <w:szCs w:val="21"/>
                      <w:u w:val="none" w:color="auto"/>
                    </w:rPr>
                  </w:pPr>
                  <w:r>
                    <w:rPr>
                      <w:b w:val="0"/>
                      <w:bCs w:val="0"/>
                      <w:color w:val="000000"/>
                      <w:sz w:val="21"/>
                      <w:szCs w:val="21"/>
                      <w:u w:val="none" w:color="auto"/>
                    </w:rPr>
                    <w:t>符合</w:t>
                  </w:r>
                </w:p>
              </w:tc>
            </w:tr>
            <w:tr w14:paraId="7C14A58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jc w:val="center"/>
              </w:trPr>
              <w:tc>
                <w:tcPr>
                  <w:tcW w:w="739" w:type="dxa"/>
                  <w:tcBorders>
                    <w:tl2br w:val="nil"/>
                    <w:tr2bl w:val="nil"/>
                  </w:tcBorders>
                  <w:noWrap w:val="0"/>
                  <w:vAlign w:val="center"/>
                </w:tcPr>
                <w:p w14:paraId="67BA0F29">
                  <w:pPr>
                    <w:pStyle w:val="29"/>
                    <w:snapToGrid w:val="0"/>
                    <w:spacing w:before="0" w:beforeAutospacing="0" w:after="0" w:afterAutospacing="0" w:line="240" w:lineRule="exact"/>
                    <w:jc w:val="center"/>
                    <w:rPr>
                      <w:rFonts w:hint="default" w:ascii="Times New Roman" w:hAnsi="Times New Roman" w:eastAsia="宋体" w:cs="Times New Roman"/>
                      <w:b w:val="0"/>
                      <w:bCs w:val="0"/>
                      <w:sz w:val="21"/>
                      <w:szCs w:val="21"/>
                      <w:u w:val="none" w:color="auto"/>
                    </w:rPr>
                  </w:pPr>
                  <w:r>
                    <w:rPr>
                      <w:rFonts w:hint="default" w:ascii="Times New Roman" w:hAnsi="Times New Roman" w:eastAsia="宋体" w:cs="Times New Roman"/>
                      <w:b w:val="0"/>
                      <w:bCs w:val="0"/>
                      <w:sz w:val="21"/>
                      <w:szCs w:val="21"/>
                      <w:u w:val="none" w:color="auto"/>
                      <w:lang w:bidi="ar"/>
                    </w:rPr>
                    <w:t>空间布局及土地规划</w:t>
                  </w:r>
                </w:p>
              </w:tc>
              <w:tc>
                <w:tcPr>
                  <w:tcW w:w="3344" w:type="dxa"/>
                  <w:tcBorders>
                    <w:tl2br w:val="nil"/>
                    <w:tr2bl w:val="nil"/>
                  </w:tcBorders>
                  <w:noWrap w:val="0"/>
                  <w:vAlign w:val="center"/>
                </w:tcPr>
                <w:p w14:paraId="154E7A17">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1、禁止化工项目入驻；</w:t>
                  </w:r>
                </w:p>
                <w:p w14:paraId="03E9EF95">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2、禁止现有不符合园区土地利用规划企业扩大用地规模；</w:t>
                  </w:r>
                </w:p>
                <w:p w14:paraId="60D1D1D8">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3、禁止不符合园区土地利用规划的项目入区；</w:t>
                  </w:r>
                </w:p>
                <w:p w14:paraId="18AF7B6C">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4、限制与园区土地利用规划、产业定位和功能区划不相符的现有企业进行扩建（科技含量高、污染小、能耗低、生产工艺、设备处于先进水平的现有企业除外）。</w:t>
                  </w:r>
                </w:p>
              </w:tc>
              <w:tc>
                <w:tcPr>
                  <w:tcW w:w="2977" w:type="dxa"/>
                  <w:tcBorders>
                    <w:tl2br w:val="nil"/>
                    <w:tr2bl w:val="nil"/>
                  </w:tcBorders>
                  <w:noWrap w:val="0"/>
                  <w:vAlign w:val="center"/>
                </w:tcPr>
                <w:p w14:paraId="6F3EF53E">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本项目属于</w:t>
                  </w:r>
                  <w:r>
                    <w:rPr>
                      <w:rFonts w:hint="eastAsia" w:ascii="Times New Roman" w:hAnsi="Times New Roman" w:cs="Times New Roman"/>
                      <w:sz w:val="21"/>
                      <w:szCs w:val="21"/>
                      <w:u w:val="none" w:color="auto"/>
                      <w:lang w:val="en-US" w:eastAsia="zh-CN" w:bidi="ar"/>
                    </w:rPr>
                    <w:t>锂离子电池制造项目</w:t>
                  </w:r>
                  <w:r>
                    <w:rPr>
                      <w:rFonts w:hint="default" w:ascii="Times New Roman" w:hAnsi="Times New Roman" w:eastAsia="宋体" w:cs="Times New Roman"/>
                      <w:sz w:val="21"/>
                      <w:szCs w:val="21"/>
                      <w:u w:val="none" w:color="auto"/>
                      <w:lang w:bidi="ar"/>
                    </w:rPr>
                    <w:t>，项目建设符合园区土地利用规划、产业定位要求。</w:t>
                  </w:r>
                </w:p>
              </w:tc>
              <w:tc>
                <w:tcPr>
                  <w:tcW w:w="680" w:type="dxa"/>
                  <w:tcBorders>
                    <w:tl2br w:val="nil"/>
                    <w:tr2bl w:val="nil"/>
                  </w:tcBorders>
                  <w:noWrap w:val="0"/>
                  <w:vAlign w:val="center"/>
                </w:tcPr>
                <w:p w14:paraId="321B4105">
                  <w:pPr>
                    <w:snapToGrid w:val="0"/>
                    <w:spacing w:before="0" w:beforeAutospacing="0" w:after="0" w:afterAutospacing="0" w:line="240" w:lineRule="exact"/>
                    <w:jc w:val="center"/>
                    <w:rPr>
                      <w:rFonts w:hint="default" w:ascii="Times New Roman" w:hAnsi="Times New Roman" w:eastAsia="宋体" w:cs="Times New Roman"/>
                      <w:bCs/>
                      <w:sz w:val="21"/>
                      <w:szCs w:val="21"/>
                      <w:u w:val="none" w:color="auto"/>
                    </w:rPr>
                  </w:pPr>
                  <w:r>
                    <w:rPr>
                      <w:b w:val="0"/>
                      <w:bCs w:val="0"/>
                      <w:color w:val="000000"/>
                      <w:sz w:val="21"/>
                      <w:szCs w:val="21"/>
                      <w:u w:val="none" w:color="auto"/>
                    </w:rPr>
                    <w:t>符合</w:t>
                  </w:r>
                </w:p>
              </w:tc>
            </w:tr>
            <w:tr w14:paraId="7B49B69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jc w:val="center"/>
              </w:trPr>
              <w:tc>
                <w:tcPr>
                  <w:tcW w:w="739" w:type="dxa"/>
                  <w:tcBorders>
                    <w:tl2br w:val="nil"/>
                    <w:tr2bl w:val="nil"/>
                  </w:tcBorders>
                  <w:noWrap w:val="0"/>
                  <w:vAlign w:val="center"/>
                </w:tcPr>
                <w:p w14:paraId="540377E1">
                  <w:pPr>
                    <w:pStyle w:val="29"/>
                    <w:snapToGrid w:val="0"/>
                    <w:spacing w:before="0" w:beforeAutospacing="0" w:after="0" w:afterAutospacing="0" w:line="240" w:lineRule="exact"/>
                    <w:jc w:val="center"/>
                    <w:rPr>
                      <w:rFonts w:hint="default" w:ascii="Times New Roman" w:hAnsi="Times New Roman" w:eastAsia="宋体" w:cs="Times New Roman"/>
                      <w:b w:val="0"/>
                      <w:bCs w:val="0"/>
                      <w:sz w:val="21"/>
                      <w:szCs w:val="21"/>
                      <w:u w:val="none" w:color="auto"/>
                    </w:rPr>
                  </w:pPr>
                  <w:r>
                    <w:rPr>
                      <w:rFonts w:hint="default" w:ascii="Times New Roman" w:hAnsi="Times New Roman" w:eastAsia="宋体" w:cs="Times New Roman"/>
                      <w:b w:val="0"/>
                      <w:bCs w:val="0"/>
                      <w:sz w:val="21"/>
                      <w:szCs w:val="21"/>
                      <w:u w:val="none" w:color="auto"/>
                      <w:lang w:bidi="ar"/>
                    </w:rPr>
                    <w:t>污染物排放及资源利用</w:t>
                  </w:r>
                </w:p>
              </w:tc>
              <w:tc>
                <w:tcPr>
                  <w:tcW w:w="3344" w:type="dxa"/>
                  <w:tcBorders>
                    <w:tl2br w:val="nil"/>
                    <w:tr2bl w:val="nil"/>
                  </w:tcBorders>
                  <w:noWrap w:val="0"/>
                  <w:vAlign w:val="center"/>
                </w:tcPr>
                <w:p w14:paraId="22242433">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1、禁止新建燃煤锅炉及工业炉窑项目；</w:t>
                  </w:r>
                </w:p>
                <w:p w14:paraId="2A928F2F">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2、禁止集中供热范围内企业新建自备燃气锅炉等燃料类供热设施。</w:t>
                  </w:r>
                </w:p>
                <w:p w14:paraId="3D608F28">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3、禁止清洁生产水平达不到国内先进水平的项目；</w:t>
                  </w:r>
                </w:p>
                <w:p w14:paraId="205CA61A">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4、禁止涂装、包装印刷行业中涉及高VOC排放的企业入驻；</w:t>
                  </w:r>
                </w:p>
                <w:p w14:paraId="5FC5B2E8">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5、限制污染防治和资源利用技术不成熟、污染物不能达标排放的项目；</w:t>
                  </w:r>
                </w:p>
                <w:p w14:paraId="6EDD043F">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6、限制高耗水、高耗能、高污染项目入驻。</w:t>
                  </w:r>
                </w:p>
              </w:tc>
              <w:tc>
                <w:tcPr>
                  <w:tcW w:w="2977" w:type="dxa"/>
                  <w:tcBorders>
                    <w:tl2br w:val="nil"/>
                    <w:tr2bl w:val="nil"/>
                  </w:tcBorders>
                  <w:noWrap w:val="0"/>
                  <w:vAlign w:val="center"/>
                </w:tcPr>
                <w:p w14:paraId="0FF2FC07">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lang w:bidi="ar"/>
                    </w:rPr>
                  </w:pPr>
                  <w:r>
                    <w:rPr>
                      <w:rFonts w:hint="default" w:ascii="Times New Roman" w:hAnsi="Times New Roman" w:eastAsia="宋体" w:cs="Times New Roman"/>
                      <w:sz w:val="21"/>
                      <w:szCs w:val="21"/>
                      <w:u w:val="none" w:color="auto"/>
                      <w:lang w:bidi="ar"/>
                    </w:rPr>
                    <w:t>本项目不涉及负面清单中的1、4、6项。</w:t>
                  </w:r>
                </w:p>
                <w:p w14:paraId="7237C26E">
                  <w:pPr>
                    <w:pStyle w:val="29"/>
                    <w:snapToGrid w:val="0"/>
                    <w:spacing w:before="0" w:beforeAutospacing="0" w:after="0" w:afterAutospacing="0" w:line="240" w:lineRule="exact"/>
                    <w:jc w:val="both"/>
                    <w:rPr>
                      <w:rFonts w:hint="eastAsia" w:ascii="Times New Roman" w:hAnsi="Times New Roman" w:eastAsia="宋体" w:cs="Times New Roman"/>
                      <w:sz w:val="21"/>
                      <w:szCs w:val="21"/>
                      <w:u w:val="none" w:color="auto"/>
                      <w:lang w:val="en-US" w:eastAsia="zh-CN" w:bidi="ar"/>
                    </w:rPr>
                  </w:pPr>
                  <w:r>
                    <w:rPr>
                      <w:rFonts w:hint="eastAsia" w:ascii="Times New Roman" w:hAnsi="Times New Roman" w:cs="Times New Roman"/>
                      <w:sz w:val="21"/>
                      <w:szCs w:val="21"/>
                      <w:u w:val="none" w:color="auto"/>
                      <w:lang w:val="en-US" w:eastAsia="zh-CN" w:bidi="ar"/>
                    </w:rPr>
                    <w:t>项目供热采用采用外购热蒸汽，不涉及</w:t>
                  </w:r>
                  <w:r>
                    <w:rPr>
                      <w:rFonts w:hint="default" w:ascii="Times New Roman" w:hAnsi="Times New Roman" w:eastAsia="宋体" w:cs="Times New Roman"/>
                      <w:sz w:val="21"/>
                      <w:szCs w:val="21"/>
                      <w:u w:val="none" w:color="auto"/>
                      <w:lang w:bidi="ar"/>
                    </w:rPr>
                    <w:t>新建自备燃气锅炉等燃料类供热设施</w:t>
                  </w:r>
                  <w:r>
                    <w:rPr>
                      <w:rFonts w:hint="eastAsia" w:ascii="Times New Roman" w:hAnsi="Times New Roman" w:eastAsia="宋体" w:cs="Times New Roman"/>
                      <w:sz w:val="21"/>
                      <w:szCs w:val="21"/>
                      <w:u w:val="none" w:color="auto"/>
                      <w:lang w:eastAsia="zh-CN" w:bidi="ar"/>
                    </w:rPr>
                    <w:t>。</w:t>
                  </w:r>
                </w:p>
                <w:p w14:paraId="66C7C9B7">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项目清洁生产水平达到国内先进水平，并选择成熟的污染防治和资源利用技术，污染物可以实现达标排放。</w:t>
                  </w:r>
                </w:p>
              </w:tc>
              <w:tc>
                <w:tcPr>
                  <w:tcW w:w="680" w:type="dxa"/>
                  <w:tcBorders>
                    <w:tl2br w:val="nil"/>
                    <w:tr2bl w:val="nil"/>
                  </w:tcBorders>
                  <w:noWrap w:val="0"/>
                  <w:vAlign w:val="center"/>
                </w:tcPr>
                <w:p w14:paraId="3FCFA1E7">
                  <w:pPr>
                    <w:snapToGrid w:val="0"/>
                    <w:spacing w:before="0" w:beforeAutospacing="0" w:after="0" w:afterAutospacing="0" w:line="240" w:lineRule="exact"/>
                    <w:jc w:val="center"/>
                    <w:rPr>
                      <w:rFonts w:hint="default" w:ascii="Times New Roman" w:hAnsi="Times New Roman" w:eastAsia="宋体" w:cs="Times New Roman"/>
                      <w:bCs/>
                      <w:sz w:val="21"/>
                      <w:szCs w:val="21"/>
                      <w:u w:val="none" w:color="auto"/>
                    </w:rPr>
                  </w:pPr>
                  <w:r>
                    <w:rPr>
                      <w:b w:val="0"/>
                      <w:bCs w:val="0"/>
                      <w:color w:val="000000"/>
                      <w:sz w:val="21"/>
                      <w:szCs w:val="21"/>
                      <w:u w:val="none" w:color="auto"/>
                    </w:rPr>
                    <w:t>符合</w:t>
                  </w:r>
                </w:p>
              </w:tc>
            </w:tr>
            <w:tr w14:paraId="7C5B7CF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jc w:val="center"/>
              </w:trPr>
              <w:tc>
                <w:tcPr>
                  <w:tcW w:w="739" w:type="dxa"/>
                  <w:tcBorders>
                    <w:tl2br w:val="nil"/>
                    <w:tr2bl w:val="nil"/>
                  </w:tcBorders>
                  <w:noWrap w:val="0"/>
                  <w:vAlign w:val="center"/>
                </w:tcPr>
                <w:p w14:paraId="70AAE333">
                  <w:pPr>
                    <w:pStyle w:val="29"/>
                    <w:snapToGrid w:val="0"/>
                    <w:spacing w:before="0" w:beforeAutospacing="0" w:after="0" w:afterAutospacing="0" w:line="240" w:lineRule="exact"/>
                    <w:jc w:val="center"/>
                    <w:rPr>
                      <w:rFonts w:hint="default" w:ascii="Times New Roman" w:hAnsi="Times New Roman" w:eastAsia="宋体" w:cs="Times New Roman"/>
                      <w:b w:val="0"/>
                      <w:bCs w:val="0"/>
                      <w:sz w:val="21"/>
                      <w:szCs w:val="21"/>
                      <w:u w:val="none" w:color="auto"/>
                    </w:rPr>
                  </w:pPr>
                  <w:r>
                    <w:rPr>
                      <w:rFonts w:hint="default" w:ascii="Times New Roman" w:hAnsi="Times New Roman" w:eastAsia="宋体" w:cs="Times New Roman"/>
                      <w:b w:val="0"/>
                      <w:bCs w:val="0"/>
                      <w:sz w:val="21"/>
                      <w:szCs w:val="21"/>
                      <w:u w:val="none" w:color="auto"/>
                      <w:lang w:bidi="ar"/>
                    </w:rPr>
                    <w:t>环境风险</w:t>
                  </w:r>
                </w:p>
              </w:tc>
              <w:tc>
                <w:tcPr>
                  <w:tcW w:w="3344" w:type="dxa"/>
                  <w:tcBorders>
                    <w:tl2br w:val="nil"/>
                    <w:tr2bl w:val="nil"/>
                  </w:tcBorders>
                  <w:noWrap w:val="0"/>
                  <w:vAlign w:val="center"/>
                </w:tcPr>
                <w:p w14:paraId="5D188EF5">
                  <w:pPr>
                    <w:pStyle w:val="29"/>
                    <w:numPr>
                      <w:ilvl w:val="0"/>
                      <w:numId w:val="6"/>
                    </w:numPr>
                    <w:snapToGrid w:val="0"/>
                    <w:spacing w:before="0" w:beforeAutospacing="0" w:after="0" w:afterAutospacing="0" w:line="240" w:lineRule="exact"/>
                    <w:jc w:val="both"/>
                    <w:rPr>
                      <w:rFonts w:hint="default" w:ascii="Times New Roman" w:hAnsi="Times New Roman" w:eastAsia="宋体" w:cs="Times New Roman"/>
                      <w:sz w:val="21"/>
                      <w:szCs w:val="21"/>
                      <w:u w:val="none" w:color="auto"/>
                      <w:lang w:bidi="ar"/>
                    </w:rPr>
                  </w:pPr>
                  <w:r>
                    <w:rPr>
                      <w:rFonts w:hint="default" w:ascii="Times New Roman" w:hAnsi="Times New Roman" w:eastAsia="宋体" w:cs="Times New Roman"/>
                      <w:sz w:val="21"/>
                      <w:szCs w:val="21"/>
                      <w:u w:val="none" w:color="auto"/>
                      <w:lang w:bidi="ar"/>
                    </w:rPr>
                    <w:t>禁止新建与环境敏感目标间距不能满足建设项目环评文件或者行业规定的防护距离要求的项目；</w:t>
                  </w:r>
                </w:p>
                <w:p w14:paraId="7AC7323D">
                  <w:pPr>
                    <w:pStyle w:val="29"/>
                    <w:snapToGrid w:val="0"/>
                    <w:spacing w:before="0" w:beforeAutospacing="0" w:after="0" w:afterAutospacing="0" w:line="240" w:lineRule="exact"/>
                    <w:jc w:val="both"/>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bidi="ar"/>
                    </w:rPr>
                    <w:t>2、限制新建无可靠风险防范措施且存在重大危险源项目。</w:t>
                  </w:r>
                </w:p>
              </w:tc>
              <w:tc>
                <w:tcPr>
                  <w:tcW w:w="2977" w:type="dxa"/>
                  <w:tcBorders>
                    <w:tl2br w:val="nil"/>
                    <w:tr2bl w:val="nil"/>
                  </w:tcBorders>
                  <w:noWrap w:val="0"/>
                  <w:vAlign w:val="center"/>
                </w:tcPr>
                <w:p w14:paraId="299DA3DF">
                  <w:pPr>
                    <w:pStyle w:val="29"/>
                    <w:snapToGrid w:val="0"/>
                    <w:spacing w:before="0" w:beforeAutospacing="0" w:after="0" w:afterAutospacing="0" w:line="240" w:lineRule="exact"/>
                    <w:jc w:val="both"/>
                    <w:rPr>
                      <w:rFonts w:hint="eastAsia"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1、本项目不涉及防护距离。</w:t>
                  </w:r>
                </w:p>
                <w:p w14:paraId="169A5F54">
                  <w:pPr>
                    <w:pStyle w:val="29"/>
                    <w:snapToGrid w:val="0"/>
                    <w:spacing w:before="0" w:beforeAutospacing="0" w:after="0" w:afterAutospacing="0" w:line="240" w:lineRule="exact"/>
                    <w:jc w:val="both"/>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2、本项目为锂离子电池制造，已建立可靠风险防范措施。</w:t>
                  </w:r>
                </w:p>
              </w:tc>
              <w:tc>
                <w:tcPr>
                  <w:tcW w:w="680" w:type="dxa"/>
                  <w:tcBorders>
                    <w:tl2br w:val="nil"/>
                    <w:tr2bl w:val="nil"/>
                  </w:tcBorders>
                  <w:noWrap w:val="0"/>
                  <w:vAlign w:val="center"/>
                </w:tcPr>
                <w:p w14:paraId="61CD7ABD">
                  <w:pPr>
                    <w:pStyle w:val="29"/>
                    <w:snapToGrid w:val="0"/>
                    <w:spacing w:before="0" w:beforeAutospacing="0" w:after="0" w:afterAutospacing="0" w:line="240" w:lineRule="exact"/>
                    <w:jc w:val="center"/>
                    <w:rPr>
                      <w:rFonts w:hint="default" w:ascii="Times New Roman" w:hAnsi="Times New Roman" w:eastAsia="宋体" w:cs="Times New Roman"/>
                      <w:bCs/>
                      <w:sz w:val="21"/>
                      <w:szCs w:val="21"/>
                      <w:u w:val="none" w:color="auto"/>
                    </w:rPr>
                  </w:pPr>
                  <w:r>
                    <w:rPr>
                      <w:b w:val="0"/>
                      <w:bCs w:val="0"/>
                      <w:color w:val="000000"/>
                      <w:sz w:val="21"/>
                      <w:szCs w:val="21"/>
                      <w:u w:val="none" w:color="auto"/>
                    </w:rPr>
                    <w:t>符合</w:t>
                  </w:r>
                </w:p>
              </w:tc>
            </w:tr>
          </w:tbl>
          <w:p w14:paraId="79065232">
            <w:pPr>
              <w:keepNext w:val="0"/>
              <w:keepLines w:val="0"/>
              <w:pageBreakBefore w:val="0"/>
              <w:widowControl w:val="0"/>
              <w:kinsoku/>
              <w:wordWrap/>
              <w:overflowPunct/>
              <w:topLinePunct w:val="0"/>
              <w:autoSpaceDE/>
              <w:autoSpaceDN/>
              <w:bidi w:val="0"/>
              <w:adjustRightInd/>
              <w:spacing w:line="440" w:lineRule="exact"/>
              <w:ind w:firstLine="480" w:firstLineChars="200"/>
              <w:jc w:val="both"/>
              <w:textAlignment w:val="auto"/>
              <w:rPr>
                <w:rFonts w:hint="eastAsia" w:eastAsia="宋体" w:cs="Times New Roman"/>
                <w:b/>
                <w:bCs/>
                <w:color w:val="000000"/>
                <w:kern w:val="2"/>
                <w:sz w:val="24"/>
                <w:szCs w:val="24"/>
                <w:u w:val="none" w:color="auto"/>
                <w:lang w:val="en-US" w:eastAsia="zh-CN" w:bidi="ar-SA"/>
              </w:rPr>
            </w:pPr>
            <w:r>
              <w:rPr>
                <w:rFonts w:hint="eastAsia" w:ascii="宋体" w:hAnsi="宋体" w:eastAsia="宋体" w:cs="宋体"/>
                <w:b w:val="0"/>
                <w:bCs w:val="0"/>
                <w:color w:val="000000"/>
                <w:sz w:val="24"/>
                <w:szCs w:val="24"/>
                <w:u w:val="none" w:color="auto"/>
              </w:rPr>
              <w:t>由上表可知，本项目不属于新乡高新技术产业集聚区负面清单中内容，能够满足相关要求</w:t>
            </w:r>
            <w:r>
              <w:rPr>
                <w:rFonts w:hint="eastAsia" w:ascii="宋体" w:hAnsi="宋体" w:eastAsia="宋体" w:cs="宋体"/>
                <w:b w:val="0"/>
                <w:bCs w:val="0"/>
                <w:color w:val="000000"/>
                <w:sz w:val="24"/>
                <w:szCs w:val="24"/>
                <w:u w:val="none" w:color="auto"/>
                <w:lang w:eastAsia="zh-CN"/>
              </w:rPr>
              <w:t>。</w:t>
            </w:r>
          </w:p>
          <w:p w14:paraId="17134B07">
            <w:pPr>
              <w:keepNext w:val="0"/>
              <w:keepLines w:val="0"/>
              <w:pageBreakBefore w:val="0"/>
              <w:widowControl/>
              <w:kinsoku/>
              <w:wordWrap/>
              <w:overflowPunct/>
              <w:topLinePunct w:val="0"/>
              <w:autoSpaceDE/>
              <w:autoSpaceDN/>
              <w:bidi w:val="0"/>
              <w:adjustRightInd w:val="0"/>
              <w:snapToGrid w:val="0"/>
              <w:spacing w:line="440" w:lineRule="exact"/>
              <w:ind w:firstLine="482" w:firstLineChars="200"/>
              <w:textAlignment w:val="auto"/>
              <w:rPr>
                <w:rFonts w:hint="default" w:ascii="Times New Roman" w:hAnsi="Times New Roman" w:eastAsia="宋体" w:cs="Times New Roman"/>
                <w:b/>
                <w:bCs/>
                <w:color w:val="000000"/>
                <w:sz w:val="24"/>
                <w:u w:val="none" w:color="auto"/>
              </w:rPr>
            </w:pPr>
            <w:r>
              <w:rPr>
                <w:rFonts w:hint="eastAsia" w:cs="Times New Roman"/>
                <w:b/>
                <w:bCs/>
                <w:color w:val="000000"/>
                <w:kern w:val="2"/>
                <w:sz w:val="24"/>
                <w:szCs w:val="24"/>
                <w:u w:val="none" w:color="auto"/>
                <w:lang w:val="en-US" w:eastAsia="zh-CN" w:bidi="ar-SA"/>
              </w:rPr>
              <w:t>2、</w:t>
            </w:r>
            <w:r>
              <w:rPr>
                <w:rFonts w:hint="default" w:ascii="Times New Roman" w:hAnsi="Times New Roman" w:eastAsia="宋体" w:cs="Times New Roman"/>
                <w:b/>
                <w:bCs/>
                <w:color w:val="000000"/>
                <w:sz w:val="24"/>
                <w:u w:val="none" w:color="auto"/>
              </w:rPr>
              <w:t>本项目与《新乡高新技术产业集聚区发展规划环境影响跟踪评价报告书》规划环评结论及审查意见的对照分析</w:t>
            </w:r>
          </w:p>
          <w:p w14:paraId="41A4A5E6">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eastAsia="宋体" w:cs="Times New Roman"/>
                <w:color w:val="000000"/>
                <w:sz w:val="24"/>
                <w:u w:val="none" w:color="auto"/>
              </w:rPr>
            </w:pPr>
            <w:r>
              <w:rPr>
                <w:rFonts w:hint="default" w:ascii="Times New Roman" w:hAnsi="Times New Roman" w:eastAsia="宋体" w:cs="Times New Roman"/>
                <w:color w:val="000000"/>
                <w:sz w:val="24"/>
                <w:u w:val="none" w:color="auto"/>
              </w:rPr>
              <w:t>根据《河南省生态环境厅关于新乡高新技术产业集聚区发展规划环境影响跟踪评价报告书的审查意见》（豫环函〔2019〕248号），本项目与审查意见对比分析见表1-</w:t>
            </w:r>
            <w:r>
              <w:rPr>
                <w:rFonts w:hint="eastAsia" w:ascii="Times New Roman" w:hAnsi="Times New Roman" w:cs="Times New Roman"/>
                <w:color w:val="000000"/>
                <w:sz w:val="24"/>
                <w:u w:val="none" w:color="auto"/>
                <w:lang w:val="en-US" w:eastAsia="zh-CN"/>
              </w:rPr>
              <w:t>4</w:t>
            </w:r>
            <w:r>
              <w:rPr>
                <w:rFonts w:hint="default" w:ascii="Times New Roman" w:hAnsi="Times New Roman" w:eastAsia="宋体" w:cs="Times New Roman"/>
                <w:color w:val="000000"/>
                <w:sz w:val="24"/>
                <w:u w:val="none" w:color="auto"/>
              </w:rPr>
              <w:t>。</w:t>
            </w:r>
          </w:p>
          <w:p w14:paraId="0455AB9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bCs/>
                <w:color w:val="000000"/>
                <w:sz w:val="24"/>
                <w:u w:val="none" w:color="auto"/>
              </w:rPr>
            </w:pPr>
            <w:r>
              <w:rPr>
                <w:rFonts w:hint="default" w:ascii="Times New Roman" w:hAnsi="Times New Roman" w:eastAsia="宋体" w:cs="Times New Roman"/>
                <w:b/>
                <w:bCs/>
                <w:color w:val="000000"/>
                <w:sz w:val="24"/>
                <w:u w:val="none" w:color="auto"/>
              </w:rPr>
              <w:t>表1-</w:t>
            </w:r>
            <w:r>
              <w:rPr>
                <w:rFonts w:hint="eastAsia" w:ascii="Times New Roman" w:hAnsi="Times New Roman" w:cs="Times New Roman"/>
                <w:b/>
                <w:bCs/>
                <w:color w:val="000000"/>
                <w:sz w:val="24"/>
                <w:u w:val="none" w:color="auto"/>
                <w:lang w:val="en-US" w:eastAsia="zh-CN"/>
              </w:rPr>
              <w:t>4</w:t>
            </w:r>
            <w:r>
              <w:rPr>
                <w:rFonts w:hint="default" w:ascii="Times New Roman" w:hAnsi="Times New Roman" w:eastAsia="宋体" w:cs="Times New Roman"/>
                <w:b/>
                <w:bCs/>
                <w:color w:val="000000"/>
                <w:sz w:val="24"/>
                <w:u w:val="none" w:color="auto"/>
              </w:rPr>
              <w:t xml:space="preserve">  本项目与集聚区规划</w:t>
            </w:r>
            <w:r>
              <w:rPr>
                <w:rFonts w:hint="eastAsia" w:ascii="Times New Roman" w:hAnsi="Times New Roman" w:eastAsia="宋体" w:cs="Times New Roman"/>
                <w:b/>
                <w:bCs/>
                <w:color w:val="000000"/>
                <w:sz w:val="24"/>
                <w:u w:val="none" w:color="auto"/>
                <w:lang w:val="en-US" w:eastAsia="zh-CN"/>
              </w:rPr>
              <w:t>发展</w:t>
            </w:r>
            <w:r>
              <w:rPr>
                <w:rFonts w:hint="default" w:ascii="Times New Roman" w:hAnsi="Times New Roman" w:eastAsia="宋体" w:cs="Times New Roman"/>
                <w:b/>
                <w:bCs/>
                <w:color w:val="000000"/>
                <w:sz w:val="24"/>
                <w:u w:val="none" w:color="auto"/>
              </w:rPr>
              <w:t>规划环境影响跟踪评价报告书评审查意见相符性分析</w:t>
            </w:r>
          </w:p>
          <w:tbl>
            <w:tblPr>
              <w:tblStyle w:val="32"/>
              <w:tblW w:w="7079"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57" w:type="dxa"/>
                <w:left w:w="28" w:type="dxa"/>
                <w:bottom w:w="28" w:type="dxa"/>
                <w:right w:w="28" w:type="dxa"/>
              </w:tblCellMar>
            </w:tblPr>
            <w:tblGrid>
              <w:gridCol w:w="3779"/>
              <w:gridCol w:w="2515"/>
              <w:gridCol w:w="785"/>
            </w:tblGrid>
            <w:tr w14:paraId="53B885B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trHeight w:val="398" w:hRule="atLeast"/>
                <w:jc w:val="center"/>
              </w:trPr>
              <w:tc>
                <w:tcPr>
                  <w:tcW w:w="3779" w:type="dxa"/>
                  <w:tcBorders>
                    <w:bottom w:val="single" w:color="000000" w:sz="8" w:space="0"/>
                    <w:tl2br w:val="nil"/>
                    <w:tr2bl w:val="nil"/>
                  </w:tcBorders>
                  <w:noWrap w:val="0"/>
                  <w:vAlign w:val="center"/>
                </w:tcPr>
                <w:p w14:paraId="3004D3FA">
                  <w:pPr>
                    <w:pStyle w:val="29"/>
                    <w:snapToGrid w:val="0"/>
                    <w:spacing w:before="0" w:beforeAutospacing="0" w:after="0" w:afterAutospacing="0" w:line="240" w:lineRule="exact"/>
                    <w:jc w:val="center"/>
                    <w:rPr>
                      <w:rFonts w:ascii="Times New Roman" w:hAnsi="Times New Roman" w:cs="Times New Roman"/>
                      <w:b/>
                      <w:bCs/>
                      <w:sz w:val="21"/>
                      <w:szCs w:val="21"/>
                      <w:u w:val="none" w:color="auto"/>
                    </w:rPr>
                  </w:pPr>
                  <w:r>
                    <w:rPr>
                      <w:rFonts w:ascii="Times New Roman" w:hAnsi="Times New Roman" w:cs="Times New Roman"/>
                      <w:b/>
                      <w:bCs/>
                      <w:sz w:val="21"/>
                      <w:szCs w:val="21"/>
                      <w:u w:val="none" w:color="auto"/>
                      <w:lang w:bidi="ar"/>
                    </w:rPr>
                    <w:t>审查意见</w:t>
                  </w:r>
                </w:p>
              </w:tc>
              <w:tc>
                <w:tcPr>
                  <w:tcW w:w="2515" w:type="dxa"/>
                  <w:tcBorders>
                    <w:bottom w:val="single" w:color="000000" w:sz="8" w:space="0"/>
                    <w:tl2br w:val="nil"/>
                    <w:tr2bl w:val="nil"/>
                  </w:tcBorders>
                  <w:noWrap w:val="0"/>
                  <w:vAlign w:val="center"/>
                </w:tcPr>
                <w:p w14:paraId="2E83E3A9">
                  <w:pPr>
                    <w:pStyle w:val="29"/>
                    <w:snapToGrid w:val="0"/>
                    <w:spacing w:before="0" w:beforeAutospacing="0" w:after="0" w:afterAutospacing="0" w:line="240" w:lineRule="exact"/>
                    <w:jc w:val="center"/>
                    <w:rPr>
                      <w:rFonts w:ascii="Times New Roman" w:hAnsi="Times New Roman" w:cs="Times New Roman"/>
                      <w:b/>
                      <w:bCs/>
                      <w:sz w:val="21"/>
                      <w:szCs w:val="21"/>
                      <w:u w:val="none" w:color="auto"/>
                    </w:rPr>
                  </w:pPr>
                  <w:r>
                    <w:rPr>
                      <w:rFonts w:ascii="Times New Roman" w:hAnsi="Times New Roman" w:cs="Times New Roman"/>
                      <w:b/>
                      <w:bCs/>
                      <w:sz w:val="21"/>
                      <w:szCs w:val="21"/>
                      <w:u w:val="none" w:color="auto"/>
                      <w:lang w:bidi="ar"/>
                    </w:rPr>
                    <w:t>本项目情况</w:t>
                  </w:r>
                </w:p>
              </w:tc>
              <w:tc>
                <w:tcPr>
                  <w:tcW w:w="785" w:type="dxa"/>
                  <w:tcBorders>
                    <w:bottom w:val="single" w:color="000000" w:sz="8" w:space="0"/>
                    <w:tl2br w:val="nil"/>
                    <w:tr2bl w:val="nil"/>
                  </w:tcBorders>
                  <w:noWrap w:val="0"/>
                  <w:vAlign w:val="center"/>
                </w:tcPr>
                <w:p w14:paraId="3E924849">
                  <w:pPr>
                    <w:pStyle w:val="29"/>
                    <w:snapToGrid w:val="0"/>
                    <w:spacing w:before="0" w:beforeAutospacing="0" w:after="0" w:afterAutospacing="0" w:line="240" w:lineRule="exact"/>
                    <w:jc w:val="center"/>
                    <w:rPr>
                      <w:rFonts w:ascii="Times New Roman" w:hAnsi="Times New Roman" w:cs="Times New Roman"/>
                      <w:b/>
                      <w:bCs/>
                      <w:sz w:val="21"/>
                      <w:szCs w:val="21"/>
                      <w:u w:val="none" w:color="auto"/>
                    </w:rPr>
                  </w:pPr>
                  <w:r>
                    <w:rPr>
                      <w:rFonts w:ascii="Times New Roman" w:hAnsi="Times New Roman" w:cs="Times New Roman"/>
                      <w:b/>
                      <w:bCs/>
                      <w:sz w:val="21"/>
                      <w:szCs w:val="21"/>
                      <w:u w:val="none" w:color="auto"/>
                      <w:lang w:bidi="ar"/>
                    </w:rPr>
                    <w:t>相符性</w:t>
                  </w:r>
                </w:p>
              </w:tc>
            </w:tr>
            <w:tr w14:paraId="6C66CEC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trHeight w:val="2472" w:hRule="atLeast"/>
                <w:jc w:val="center"/>
              </w:trPr>
              <w:tc>
                <w:tcPr>
                  <w:tcW w:w="3779" w:type="dxa"/>
                  <w:tcBorders>
                    <w:bottom w:val="single" w:color="000000" w:sz="8" w:space="0"/>
                    <w:tl2br w:val="nil"/>
                    <w:tr2bl w:val="nil"/>
                  </w:tcBorders>
                  <w:noWrap w:val="0"/>
                  <w:vAlign w:val="center"/>
                </w:tcPr>
                <w:p w14:paraId="62D3A921">
                  <w:pPr>
                    <w:pStyle w:val="29"/>
                    <w:numPr>
                      <w:ilvl w:val="0"/>
                      <w:numId w:val="0"/>
                    </w:numPr>
                    <w:snapToGrid w:val="0"/>
                    <w:spacing w:before="0" w:beforeAutospacing="0" w:after="0" w:afterAutospacing="0" w:line="240" w:lineRule="exact"/>
                    <w:ind w:left="0" w:leftChars="0" w:firstLine="0" w:firstLineChars="0"/>
                    <w:jc w:val="both"/>
                    <w:rPr>
                      <w:rFonts w:ascii="Times New Roman" w:hAnsi="Times New Roman" w:cs="Times New Roman"/>
                      <w:b/>
                      <w:bCs/>
                      <w:sz w:val="21"/>
                      <w:szCs w:val="21"/>
                      <w:u w:val="none" w:color="auto"/>
                      <w:lang w:bidi="ar"/>
                    </w:rPr>
                  </w:pPr>
                  <w:r>
                    <w:rPr>
                      <w:rFonts w:hint="default" w:ascii="Times New Roman" w:hAnsi="Times New Roman" w:eastAsia="宋体" w:cs="Times New Roman"/>
                      <w:sz w:val="21"/>
                      <w:szCs w:val="21"/>
                      <w:u w:val="none" w:color="auto"/>
                      <w:lang w:bidi="ar"/>
                    </w:rPr>
                    <w:t>（一）合理用地布局。进一步加强与《新乡市城市总体规划（2011-2020）》《新乡市关提乡总体规划（2012-2020）》的衔接，优化调整用地布局，在开发过程中不应随意改变各用地功能区的使用功能；加强对居民集中区等环境敏感目标的保护，工业区与生活居住区之间设置绿化隔离带；在区内建设项目大气环境防护距离内，不得规划新建居住区、学校、医院等环境敏感目标。</w:t>
                  </w:r>
                </w:p>
              </w:tc>
              <w:tc>
                <w:tcPr>
                  <w:tcW w:w="2515" w:type="dxa"/>
                  <w:tcBorders>
                    <w:bottom w:val="single" w:color="000000" w:sz="8" w:space="0"/>
                    <w:tl2br w:val="nil"/>
                    <w:tr2bl w:val="nil"/>
                  </w:tcBorders>
                  <w:noWrap w:val="0"/>
                  <w:vAlign w:val="center"/>
                </w:tcPr>
                <w:p w14:paraId="7C6C936C">
                  <w:pPr>
                    <w:pStyle w:val="29"/>
                    <w:numPr>
                      <w:ilvl w:val="0"/>
                      <w:numId w:val="0"/>
                    </w:numPr>
                    <w:snapToGrid w:val="0"/>
                    <w:spacing w:before="0" w:beforeAutospacing="0" w:after="0" w:afterAutospacing="0" w:line="240" w:lineRule="exact"/>
                    <w:ind w:left="0" w:leftChars="0" w:firstLine="0" w:firstLineChars="0"/>
                    <w:jc w:val="both"/>
                    <w:rPr>
                      <w:rFonts w:hint="eastAsia" w:ascii="Times New Roman" w:hAnsi="Times New Roman" w:eastAsia="宋体" w:cs="Times New Roman"/>
                      <w:b/>
                      <w:bCs/>
                      <w:sz w:val="21"/>
                      <w:szCs w:val="21"/>
                      <w:u w:val="none" w:color="auto"/>
                      <w:lang w:eastAsia="zh-CN" w:bidi="ar"/>
                    </w:rPr>
                  </w:pPr>
                  <w:r>
                    <w:rPr>
                      <w:rFonts w:hint="default" w:ascii="Times New Roman" w:hAnsi="Times New Roman" w:eastAsia="宋体" w:cs="Times New Roman"/>
                      <w:sz w:val="21"/>
                      <w:szCs w:val="21"/>
                      <w:u w:val="none" w:color="auto"/>
                      <w:lang w:bidi="ar"/>
                    </w:rPr>
                    <w:t>本项目选址符合用地规划要求</w:t>
                  </w:r>
                  <w:r>
                    <w:rPr>
                      <w:rFonts w:hint="eastAsia" w:ascii="Times New Roman" w:hAnsi="Times New Roman" w:cs="Times New Roman"/>
                      <w:sz w:val="21"/>
                      <w:szCs w:val="21"/>
                      <w:u w:val="none" w:color="auto"/>
                      <w:lang w:eastAsia="zh-CN" w:bidi="ar"/>
                    </w:rPr>
                    <w:t>。</w:t>
                  </w:r>
                </w:p>
              </w:tc>
              <w:tc>
                <w:tcPr>
                  <w:tcW w:w="785" w:type="dxa"/>
                  <w:tcBorders>
                    <w:bottom w:val="single" w:color="000000" w:sz="8" w:space="0"/>
                    <w:tl2br w:val="nil"/>
                    <w:tr2bl w:val="nil"/>
                  </w:tcBorders>
                  <w:noWrap w:val="0"/>
                  <w:vAlign w:val="center"/>
                </w:tcPr>
                <w:p w14:paraId="17091CA5">
                  <w:pPr>
                    <w:snapToGrid w:val="0"/>
                    <w:spacing w:before="0" w:beforeAutospacing="0" w:after="0" w:afterAutospacing="0" w:line="240" w:lineRule="exact"/>
                    <w:jc w:val="center"/>
                    <w:rPr>
                      <w:rFonts w:ascii="Times New Roman" w:hAnsi="Times New Roman" w:cs="Times New Roman"/>
                      <w:b/>
                      <w:bCs/>
                      <w:sz w:val="21"/>
                      <w:szCs w:val="21"/>
                      <w:u w:val="none" w:color="auto"/>
                      <w:lang w:bidi="ar"/>
                    </w:rPr>
                  </w:pPr>
                  <w:r>
                    <w:rPr>
                      <w:b w:val="0"/>
                      <w:bCs w:val="0"/>
                      <w:color w:val="000000"/>
                      <w:sz w:val="21"/>
                      <w:szCs w:val="21"/>
                      <w:u w:val="none" w:color="auto"/>
                    </w:rPr>
                    <w:t>符合</w:t>
                  </w:r>
                </w:p>
              </w:tc>
            </w:tr>
            <w:tr w14:paraId="7DA1621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trHeight w:val="400" w:hRule="atLeast"/>
                <w:jc w:val="center"/>
              </w:trPr>
              <w:tc>
                <w:tcPr>
                  <w:tcW w:w="3779" w:type="dxa"/>
                  <w:tcBorders>
                    <w:tl2br w:val="nil"/>
                    <w:tr2bl w:val="nil"/>
                  </w:tcBorders>
                  <w:noWrap w:val="0"/>
                  <w:vAlign w:val="center"/>
                </w:tcPr>
                <w:p w14:paraId="477D9324">
                  <w:pPr>
                    <w:pStyle w:val="29"/>
                    <w:numPr>
                      <w:ilvl w:val="0"/>
                      <w:numId w:val="0"/>
                    </w:numPr>
                    <w:snapToGrid w:val="0"/>
                    <w:spacing w:before="0" w:beforeAutospacing="0" w:after="0" w:afterAutospacing="0" w:line="240" w:lineRule="exact"/>
                    <w:jc w:val="both"/>
                    <w:rPr>
                      <w:rFonts w:hint="default" w:ascii="Times New Roman" w:hAnsi="Times New Roman" w:eastAsia="宋体" w:cs="Times New Roman"/>
                      <w:sz w:val="21"/>
                      <w:szCs w:val="21"/>
                      <w:u w:val="none" w:color="auto"/>
                      <w:lang w:bidi="ar"/>
                    </w:rPr>
                  </w:pPr>
                  <w:r>
                    <w:rPr>
                      <w:rFonts w:hint="default" w:ascii="Times New Roman" w:hAnsi="Times New Roman" w:eastAsia="宋体" w:cs="Times New Roman"/>
                      <w:sz w:val="21"/>
                      <w:szCs w:val="21"/>
                      <w:u w:val="none" w:color="auto"/>
                      <w:lang w:bidi="ar"/>
                    </w:rPr>
                    <w:t>（二）进一步优化产业定位和结构。结合新乡市城市总体规划对新乡高新技术产业集聚区发展的要求，积极推进产业转型升级；禁止化学合成药以及生物发酵制药单纯新建或扩大产能项目入驻；禁止新建及新增铸造产能；禁止化工项目入驻；限制钢结构制造业空气喷涂项目，严格限制工业涂装、包装印刷行业中高 VOCs排放的企业入驻。</w:t>
                  </w:r>
                </w:p>
              </w:tc>
              <w:tc>
                <w:tcPr>
                  <w:tcW w:w="2515" w:type="dxa"/>
                  <w:tcBorders>
                    <w:tl2br w:val="nil"/>
                    <w:tr2bl w:val="nil"/>
                  </w:tcBorders>
                  <w:noWrap w:val="0"/>
                  <w:vAlign w:val="center"/>
                </w:tcPr>
                <w:p w14:paraId="31872D25">
                  <w:pPr>
                    <w:pStyle w:val="29"/>
                    <w:numPr>
                      <w:ilvl w:val="0"/>
                      <w:numId w:val="0"/>
                    </w:numPr>
                    <w:snapToGrid w:val="0"/>
                    <w:spacing w:before="0" w:beforeAutospacing="0" w:after="0" w:afterAutospacing="0" w:line="240" w:lineRule="exact"/>
                    <w:jc w:val="both"/>
                    <w:rPr>
                      <w:rFonts w:hint="default" w:ascii="Times New Roman" w:hAnsi="Times New Roman" w:eastAsia="宋体" w:cs="Times New Roman"/>
                      <w:sz w:val="21"/>
                      <w:szCs w:val="21"/>
                      <w:u w:val="none" w:color="auto"/>
                      <w:lang w:val="en-US" w:eastAsia="zh-CN" w:bidi="ar"/>
                    </w:rPr>
                  </w:pPr>
                  <w:r>
                    <w:rPr>
                      <w:rFonts w:hint="default" w:ascii="Times New Roman" w:hAnsi="Times New Roman" w:eastAsia="宋体" w:cs="Times New Roman"/>
                      <w:sz w:val="21"/>
                      <w:szCs w:val="21"/>
                      <w:u w:val="none" w:color="auto"/>
                      <w:lang w:bidi="ar"/>
                    </w:rPr>
                    <w:t>本项目</w:t>
                  </w:r>
                  <w:r>
                    <w:rPr>
                      <w:rFonts w:hint="eastAsia" w:ascii="Times New Roman" w:hAnsi="Times New Roman" w:eastAsia="宋体" w:cs="Times New Roman"/>
                      <w:sz w:val="21"/>
                      <w:szCs w:val="21"/>
                      <w:u w:val="none" w:color="auto"/>
                      <w:lang w:val="en-US" w:eastAsia="zh-CN" w:bidi="ar"/>
                    </w:rPr>
                    <w:t>为锂离子电池制造</w:t>
                  </w:r>
                  <w:r>
                    <w:rPr>
                      <w:rFonts w:hint="default" w:ascii="Times New Roman" w:hAnsi="Times New Roman" w:eastAsia="宋体" w:cs="Times New Roman"/>
                      <w:sz w:val="21"/>
                      <w:szCs w:val="21"/>
                      <w:u w:val="none" w:color="auto"/>
                      <w:lang w:bidi="ar"/>
                    </w:rPr>
                    <w:t>，</w:t>
                  </w:r>
                  <w:r>
                    <w:rPr>
                      <w:rFonts w:hint="eastAsia" w:ascii="Times New Roman" w:hAnsi="Times New Roman" w:eastAsia="宋体" w:cs="Times New Roman"/>
                      <w:sz w:val="21"/>
                      <w:szCs w:val="21"/>
                      <w:u w:val="none" w:color="auto"/>
                      <w:lang w:val="en-US" w:eastAsia="zh-CN" w:bidi="ar"/>
                    </w:rPr>
                    <w:t>不属于制药、铸造、化工、喷涂、工业涂装、包装印刷行业中高VOCs 排放的企业。</w:t>
                  </w:r>
                </w:p>
              </w:tc>
              <w:tc>
                <w:tcPr>
                  <w:tcW w:w="785" w:type="dxa"/>
                  <w:tcBorders>
                    <w:tl2br w:val="nil"/>
                    <w:tr2bl w:val="nil"/>
                  </w:tcBorders>
                  <w:noWrap w:val="0"/>
                  <w:vAlign w:val="center"/>
                </w:tcPr>
                <w:p w14:paraId="313D716E">
                  <w:pPr>
                    <w:snapToGrid w:val="0"/>
                    <w:spacing w:before="0" w:beforeAutospacing="0" w:after="0" w:afterAutospacing="0" w:line="240" w:lineRule="exact"/>
                    <w:jc w:val="center"/>
                    <w:rPr>
                      <w:rFonts w:ascii="Times New Roman" w:hAnsi="Times New Roman" w:cs="Times New Roman"/>
                      <w:bCs/>
                      <w:sz w:val="21"/>
                      <w:szCs w:val="21"/>
                      <w:u w:val="none" w:color="auto"/>
                    </w:rPr>
                  </w:pPr>
                  <w:r>
                    <w:rPr>
                      <w:b w:val="0"/>
                      <w:bCs w:val="0"/>
                      <w:color w:val="000000"/>
                      <w:sz w:val="21"/>
                      <w:szCs w:val="21"/>
                      <w:u w:val="none" w:color="auto"/>
                    </w:rPr>
                    <w:t>符合</w:t>
                  </w:r>
                </w:p>
              </w:tc>
            </w:tr>
            <w:tr w14:paraId="5666CB7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trHeight w:val="2253" w:hRule="atLeast"/>
                <w:jc w:val="center"/>
              </w:trPr>
              <w:tc>
                <w:tcPr>
                  <w:tcW w:w="3779" w:type="dxa"/>
                  <w:tcBorders>
                    <w:tl2br w:val="nil"/>
                    <w:tr2bl w:val="nil"/>
                  </w:tcBorders>
                  <w:noWrap w:val="0"/>
                  <w:vAlign w:val="center"/>
                </w:tcPr>
                <w:p w14:paraId="79E54277">
                  <w:pPr>
                    <w:pStyle w:val="29"/>
                    <w:numPr>
                      <w:ilvl w:val="0"/>
                      <w:numId w:val="0"/>
                    </w:numPr>
                    <w:snapToGrid w:val="0"/>
                    <w:spacing w:before="0" w:beforeAutospacing="0" w:after="0" w:afterAutospacing="0" w:line="240" w:lineRule="exact"/>
                    <w:jc w:val="both"/>
                    <w:rPr>
                      <w:rFonts w:hint="default" w:ascii="Times New Roman" w:hAnsi="Times New Roman" w:eastAsia="宋体" w:cs="Times New Roman"/>
                      <w:sz w:val="21"/>
                      <w:szCs w:val="21"/>
                      <w:u w:val="none" w:color="auto"/>
                      <w:lang w:bidi="ar"/>
                    </w:rPr>
                  </w:pPr>
                  <w:r>
                    <w:rPr>
                      <w:rFonts w:hint="default" w:ascii="Times New Roman" w:hAnsi="Times New Roman" w:eastAsia="宋体" w:cs="Times New Roman"/>
                      <w:sz w:val="21"/>
                      <w:szCs w:val="21"/>
                      <w:u w:val="none" w:color="auto"/>
                      <w:lang w:bidi="ar"/>
                    </w:rPr>
                    <w:t>（三）进一步完善环保基础设施。按照“清污分流、雨污分流、中水回用”的要求，结合集聚区的发展情况，不断完善配套管网建设，确保入区企业外排废水全部经管网收集后进入区城污水处理厂处理，减少对纳污水体的影响。进一步优化能源结构，加快集聚区集中供热、供气及配套管网建设，提高管网覆盖率，不得新改扩建分散燃煤设施。</w:t>
                  </w:r>
                </w:p>
              </w:tc>
              <w:tc>
                <w:tcPr>
                  <w:tcW w:w="2515" w:type="dxa"/>
                  <w:tcBorders>
                    <w:tl2br w:val="nil"/>
                    <w:tr2bl w:val="nil"/>
                  </w:tcBorders>
                  <w:noWrap w:val="0"/>
                  <w:vAlign w:val="center"/>
                </w:tcPr>
                <w:p w14:paraId="58E8CA15">
                  <w:pPr>
                    <w:pStyle w:val="29"/>
                    <w:numPr>
                      <w:ilvl w:val="0"/>
                      <w:numId w:val="0"/>
                    </w:numPr>
                    <w:snapToGrid w:val="0"/>
                    <w:spacing w:before="0" w:beforeAutospacing="0" w:after="0" w:afterAutospacing="0" w:line="240" w:lineRule="exact"/>
                    <w:jc w:val="both"/>
                    <w:rPr>
                      <w:rFonts w:hint="default" w:ascii="Times New Roman" w:hAnsi="Times New Roman" w:eastAsia="宋体" w:cs="Times New Roman"/>
                      <w:sz w:val="21"/>
                      <w:szCs w:val="21"/>
                      <w:u w:val="none" w:color="auto"/>
                      <w:lang w:bidi="ar"/>
                    </w:rPr>
                  </w:pPr>
                  <w:r>
                    <w:rPr>
                      <w:rFonts w:hint="default" w:ascii="Times New Roman" w:hAnsi="Times New Roman" w:eastAsia="宋体" w:cs="Times New Roman"/>
                      <w:sz w:val="21"/>
                      <w:szCs w:val="21"/>
                      <w:u w:val="none" w:color="auto"/>
                      <w:lang w:bidi="ar"/>
                    </w:rPr>
                    <w:t>本项目选址处能够实现“清污分流、雨污分流”；本项目不涉及分散燃煤设施的建设。</w:t>
                  </w:r>
                </w:p>
              </w:tc>
              <w:tc>
                <w:tcPr>
                  <w:tcW w:w="785" w:type="dxa"/>
                  <w:tcBorders>
                    <w:tl2br w:val="nil"/>
                    <w:tr2bl w:val="nil"/>
                  </w:tcBorders>
                  <w:noWrap w:val="0"/>
                  <w:vAlign w:val="center"/>
                </w:tcPr>
                <w:p w14:paraId="4E352B54">
                  <w:pPr>
                    <w:snapToGrid w:val="0"/>
                    <w:spacing w:before="0" w:beforeAutospacing="0" w:after="0" w:afterAutospacing="0" w:line="240" w:lineRule="exact"/>
                    <w:jc w:val="center"/>
                    <w:rPr>
                      <w:rFonts w:ascii="Times New Roman" w:hAnsi="Times New Roman" w:cs="Times New Roman"/>
                      <w:bCs/>
                      <w:sz w:val="21"/>
                      <w:szCs w:val="21"/>
                      <w:u w:val="none" w:color="auto"/>
                    </w:rPr>
                  </w:pPr>
                  <w:r>
                    <w:rPr>
                      <w:b w:val="0"/>
                      <w:bCs w:val="0"/>
                      <w:color w:val="000000"/>
                      <w:sz w:val="21"/>
                      <w:szCs w:val="21"/>
                      <w:u w:val="none" w:color="auto"/>
                    </w:rPr>
                    <w:t>符合</w:t>
                  </w:r>
                </w:p>
              </w:tc>
            </w:tr>
            <w:tr w14:paraId="13E3CD1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trHeight w:val="3498" w:hRule="atLeast"/>
                <w:jc w:val="center"/>
              </w:trPr>
              <w:tc>
                <w:tcPr>
                  <w:tcW w:w="3779" w:type="dxa"/>
                  <w:tcBorders>
                    <w:tl2br w:val="nil"/>
                    <w:tr2bl w:val="nil"/>
                  </w:tcBorders>
                  <w:noWrap w:val="0"/>
                  <w:vAlign w:val="center"/>
                </w:tcPr>
                <w:p w14:paraId="116B9C1A">
                  <w:pPr>
                    <w:pStyle w:val="29"/>
                    <w:numPr>
                      <w:ilvl w:val="0"/>
                      <w:numId w:val="0"/>
                    </w:numPr>
                    <w:snapToGrid w:val="0"/>
                    <w:spacing w:before="0" w:beforeAutospacing="0" w:after="0" w:afterAutospacing="0" w:line="240" w:lineRule="exact"/>
                    <w:jc w:val="both"/>
                    <w:rPr>
                      <w:rFonts w:hint="default" w:ascii="Times New Roman" w:hAnsi="Times New Roman" w:eastAsia="宋体" w:cs="Times New Roman"/>
                      <w:sz w:val="21"/>
                      <w:szCs w:val="21"/>
                      <w:u w:val="none" w:color="auto"/>
                      <w:lang w:bidi="ar"/>
                    </w:rPr>
                  </w:pPr>
                  <w:r>
                    <w:rPr>
                      <w:rFonts w:hint="default" w:ascii="Times New Roman" w:hAnsi="Times New Roman" w:eastAsia="宋体" w:cs="Times New Roman"/>
                      <w:sz w:val="21"/>
                      <w:szCs w:val="21"/>
                      <w:u w:val="none" w:color="auto"/>
                      <w:lang w:bidi="ar"/>
                    </w:rPr>
                    <w:t>（四）严格控制污染物排放。严格执行污染物排放总量控制制度，采取调整能源结构、加强污染治理、区域综合整治等措施，严格控制烟粉尘、二氧化硫、氨氧化物、VOCs等大气污染物的排放。加快对涉VOCs行业有机废气治理措施提升改造，从源头减少污染物排放；提高中水回用率，减少污水排放量，严格控制进入污水处理厂各企业工业废水水质，保证污水处理设施的正常运行，确保污水处理厂出水执行《城镇污水处理厂污染物排放标准》（GB18918-2002）一级A标准（化学需氧量≤40毫克/升，氨氮2毫克/升），减少对纳污水体的影响。</w:t>
                  </w:r>
                </w:p>
              </w:tc>
              <w:tc>
                <w:tcPr>
                  <w:tcW w:w="2515" w:type="dxa"/>
                  <w:tcBorders>
                    <w:tl2br w:val="nil"/>
                    <w:tr2bl w:val="nil"/>
                  </w:tcBorders>
                  <w:noWrap w:val="0"/>
                  <w:vAlign w:val="center"/>
                </w:tcPr>
                <w:p w14:paraId="5E56FB66">
                  <w:pPr>
                    <w:pStyle w:val="29"/>
                    <w:numPr>
                      <w:ilvl w:val="0"/>
                      <w:numId w:val="0"/>
                    </w:numPr>
                    <w:snapToGrid w:val="0"/>
                    <w:spacing w:before="0" w:beforeAutospacing="0" w:after="0" w:afterAutospacing="0" w:line="240" w:lineRule="exact"/>
                    <w:jc w:val="both"/>
                    <w:rPr>
                      <w:rFonts w:hint="eastAsia" w:ascii="Times New Roman" w:hAnsi="Times New Roman" w:eastAsia="宋体" w:cs="Times New Roman"/>
                      <w:sz w:val="21"/>
                      <w:szCs w:val="21"/>
                      <w:u w:val="none" w:color="auto"/>
                      <w:lang w:eastAsia="zh-CN" w:bidi="ar"/>
                    </w:rPr>
                  </w:pPr>
                  <w:r>
                    <w:rPr>
                      <w:rFonts w:hint="eastAsia" w:ascii="Times New Roman" w:hAnsi="Times New Roman" w:eastAsia="宋体" w:cs="Times New Roman"/>
                      <w:sz w:val="21"/>
                      <w:szCs w:val="21"/>
                      <w:u w:val="none" w:color="auto"/>
                      <w:lang w:bidi="ar"/>
                    </w:rPr>
                    <w:t>本项目污染物排放将严格执行总量控制制度，项目废水经处理后由管网排入新乡市贾屯污水处理厂进一步处理，新乡市贾屯污水处理厂出水能够满足《城镇污水处理厂污染物排放标准》(GB18918-2002)一级A标准(化学需氧量&lt;40毫克/升，氨氮&lt;2毫克/升)。</w:t>
                  </w:r>
                </w:p>
              </w:tc>
              <w:tc>
                <w:tcPr>
                  <w:tcW w:w="785" w:type="dxa"/>
                  <w:tcBorders>
                    <w:tl2br w:val="nil"/>
                    <w:tr2bl w:val="nil"/>
                  </w:tcBorders>
                  <w:noWrap w:val="0"/>
                  <w:vAlign w:val="center"/>
                </w:tcPr>
                <w:p w14:paraId="3B065967">
                  <w:pPr>
                    <w:snapToGrid w:val="0"/>
                    <w:spacing w:before="0" w:beforeAutospacing="0" w:after="0" w:afterAutospacing="0" w:line="240" w:lineRule="exact"/>
                    <w:jc w:val="center"/>
                    <w:rPr>
                      <w:rFonts w:ascii="Times New Roman" w:hAnsi="Times New Roman" w:eastAsia="宋体" w:cs="Times New Roman"/>
                      <w:sz w:val="21"/>
                      <w:szCs w:val="21"/>
                      <w:u w:val="none" w:color="auto"/>
                      <w:lang w:bidi="ar"/>
                    </w:rPr>
                  </w:pPr>
                  <w:r>
                    <w:rPr>
                      <w:b w:val="0"/>
                      <w:bCs w:val="0"/>
                      <w:color w:val="000000"/>
                      <w:sz w:val="21"/>
                      <w:szCs w:val="21"/>
                      <w:u w:val="none" w:color="auto"/>
                    </w:rPr>
                    <w:t>符合</w:t>
                  </w:r>
                </w:p>
              </w:tc>
            </w:tr>
            <w:tr w14:paraId="68519AB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28" w:type="dxa"/>
                  <w:bottom w:w="28" w:type="dxa"/>
                  <w:right w:w="28" w:type="dxa"/>
                </w:tblCellMar>
              </w:tblPrEx>
              <w:trPr>
                <w:trHeight w:val="2522" w:hRule="atLeast"/>
                <w:jc w:val="center"/>
              </w:trPr>
              <w:tc>
                <w:tcPr>
                  <w:tcW w:w="3779" w:type="dxa"/>
                  <w:tcBorders>
                    <w:tl2br w:val="nil"/>
                    <w:tr2bl w:val="nil"/>
                  </w:tcBorders>
                  <w:noWrap w:val="0"/>
                  <w:vAlign w:val="center"/>
                </w:tcPr>
                <w:p w14:paraId="6D4A507C">
                  <w:pPr>
                    <w:pStyle w:val="29"/>
                    <w:numPr>
                      <w:ilvl w:val="0"/>
                      <w:numId w:val="0"/>
                    </w:numPr>
                    <w:snapToGrid w:val="0"/>
                    <w:spacing w:before="0" w:beforeAutospacing="0" w:after="0" w:afterAutospacing="0" w:line="240" w:lineRule="exact"/>
                    <w:jc w:val="both"/>
                    <w:rPr>
                      <w:rFonts w:hint="default" w:ascii="Times New Roman" w:hAnsi="Times New Roman" w:eastAsia="宋体" w:cs="Times New Roman"/>
                      <w:sz w:val="21"/>
                      <w:szCs w:val="21"/>
                      <w:u w:val="none" w:color="auto"/>
                      <w:lang w:bidi="ar"/>
                    </w:rPr>
                  </w:pPr>
                  <w:r>
                    <w:rPr>
                      <w:rFonts w:hint="default" w:ascii="Times New Roman" w:hAnsi="Times New Roman" w:eastAsia="宋体" w:cs="Times New Roman"/>
                      <w:sz w:val="21"/>
                      <w:szCs w:val="21"/>
                      <w:u w:val="none" w:color="auto"/>
                      <w:lang w:bidi="ar"/>
                    </w:rPr>
                    <w:t>（五）建立健全园区环境风险管理体系。加快环境风险预警体系建设，健全环境风险单位信息库，严格危险化学品管理；建立完善有效的环境风险控设施和有效的拦截、降污、导流等措施，防止对地表水环境造成危害；完善园区级综合环境应急预案，有计划地组织应急培训和演练，全面提升园区风险防控和事故应急处置能力。</w:t>
                  </w:r>
                </w:p>
              </w:tc>
              <w:tc>
                <w:tcPr>
                  <w:tcW w:w="2515" w:type="dxa"/>
                  <w:tcBorders>
                    <w:tl2br w:val="nil"/>
                    <w:tr2bl w:val="nil"/>
                  </w:tcBorders>
                  <w:noWrap w:val="0"/>
                  <w:vAlign w:val="center"/>
                </w:tcPr>
                <w:p w14:paraId="72D1CF9B">
                  <w:pPr>
                    <w:pStyle w:val="29"/>
                    <w:numPr>
                      <w:ilvl w:val="0"/>
                      <w:numId w:val="0"/>
                    </w:numPr>
                    <w:snapToGrid w:val="0"/>
                    <w:spacing w:before="0" w:beforeAutospacing="0" w:after="0" w:afterAutospacing="0" w:line="240" w:lineRule="exact"/>
                    <w:jc w:val="both"/>
                    <w:rPr>
                      <w:rFonts w:hint="default" w:ascii="Times New Roman" w:hAnsi="Times New Roman" w:eastAsia="宋体" w:cs="Times New Roman"/>
                      <w:sz w:val="21"/>
                      <w:szCs w:val="21"/>
                      <w:u w:val="none" w:color="auto"/>
                      <w:lang w:bidi="ar"/>
                    </w:rPr>
                  </w:pPr>
                  <w:r>
                    <w:rPr>
                      <w:rFonts w:hint="eastAsia" w:ascii="Times New Roman" w:hAnsi="Times New Roman" w:eastAsia="宋体" w:cs="Times New Roman"/>
                      <w:sz w:val="21"/>
                      <w:szCs w:val="21"/>
                      <w:u w:val="none" w:color="auto"/>
                      <w:lang w:bidi="ar"/>
                    </w:rPr>
                    <w:t>本项目将按照环保要求建立完善有效的环境风险防控设施和有效的拦截、降污、导流等措施。</w:t>
                  </w:r>
                </w:p>
              </w:tc>
              <w:tc>
                <w:tcPr>
                  <w:tcW w:w="785" w:type="dxa"/>
                  <w:tcBorders>
                    <w:tl2br w:val="nil"/>
                    <w:tr2bl w:val="nil"/>
                  </w:tcBorders>
                  <w:noWrap w:val="0"/>
                  <w:vAlign w:val="center"/>
                </w:tcPr>
                <w:p w14:paraId="66255E9E">
                  <w:pPr>
                    <w:snapToGrid w:val="0"/>
                    <w:spacing w:before="0" w:beforeAutospacing="0" w:after="0" w:afterAutospacing="0" w:line="240" w:lineRule="exact"/>
                    <w:jc w:val="center"/>
                    <w:rPr>
                      <w:rFonts w:ascii="Times New Roman" w:hAnsi="Times New Roman" w:cs="Times New Roman"/>
                      <w:bCs/>
                      <w:sz w:val="21"/>
                      <w:szCs w:val="21"/>
                      <w:u w:val="none" w:color="auto"/>
                    </w:rPr>
                  </w:pPr>
                  <w:r>
                    <w:rPr>
                      <w:b w:val="0"/>
                      <w:bCs w:val="0"/>
                      <w:color w:val="000000"/>
                      <w:sz w:val="21"/>
                      <w:szCs w:val="21"/>
                      <w:u w:val="none" w:color="auto"/>
                    </w:rPr>
                    <w:t>符合</w:t>
                  </w:r>
                </w:p>
              </w:tc>
            </w:tr>
          </w:tbl>
          <w:p w14:paraId="4133E99B">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kern w:val="0"/>
                <w:sz w:val="24"/>
                <w:u w:val="none" w:color="auto"/>
              </w:rPr>
            </w:pPr>
            <w:r>
              <w:rPr>
                <w:sz w:val="24"/>
                <w:u w:val="none" w:color="auto"/>
              </w:rPr>
              <w:t>由上表可知，项目符合《</w:t>
            </w:r>
            <w:r>
              <w:rPr>
                <w:rFonts w:hint="eastAsia" w:ascii="宋体" w:hAnsi="宋体" w:cs="宋体"/>
                <w:kern w:val="0"/>
                <w:sz w:val="24"/>
                <w:u w:val="none" w:color="auto"/>
              </w:rPr>
              <w:t>新乡高新技术产业集聚区发展</w:t>
            </w:r>
            <w:r>
              <w:rPr>
                <w:kern w:val="0"/>
                <w:sz w:val="24"/>
                <w:u w:val="none" w:color="auto"/>
              </w:rPr>
              <w:t>规划（2009-2020年）</w:t>
            </w:r>
            <w:r>
              <w:rPr>
                <w:rFonts w:hint="eastAsia"/>
                <w:sz w:val="24"/>
                <w:u w:val="none" w:color="auto"/>
              </w:rPr>
              <w:t>环境影响跟踪评价报告书</w:t>
            </w:r>
            <w:r>
              <w:rPr>
                <w:sz w:val="24"/>
                <w:u w:val="none" w:color="auto"/>
              </w:rPr>
              <w:t>》的</w:t>
            </w:r>
            <w:r>
              <w:rPr>
                <w:rFonts w:hint="eastAsia"/>
                <w:sz w:val="24"/>
                <w:u w:val="none" w:color="auto"/>
              </w:rPr>
              <w:t>审核意见</w:t>
            </w:r>
            <w:r>
              <w:rPr>
                <w:sz w:val="24"/>
                <w:u w:val="none" w:color="auto"/>
              </w:rPr>
              <w:t>要求。</w:t>
            </w:r>
          </w:p>
          <w:p w14:paraId="26A47048">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ascii="Times New Roman" w:hAnsi="Times New Roman" w:eastAsia="宋体" w:cs="Times New Roman"/>
                <w:sz w:val="24"/>
                <w:u w:val="none" w:color="auto"/>
              </w:rPr>
            </w:pPr>
            <w:r>
              <w:rPr>
                <w:rFonts w:ascii="Times New Roman" w:hAnsi="Times New Roman" w:eastAsia="宋体" w:cs="Times New Roman"/>
                <w:sz w:val="24"/>
                <w:u w:val="none" w:color="auto"/>
              </w:rPr>
              <w:t>本项目位于</w:t>
            </w:r>
            <w:r>
              <w:rPr>
                <w:rFonts w:hint="eastAsia" w:ascii="Times New Roman" w:hAnsi="Times New Roman" w:eastAsia="宋体" w:cs="Times New Roman"/>
                <w:sz w:val="24"/>
                <w:u w:val="none" w:color="auto"/>
                <w:lang w:eastAsia="zh-CN"/>
              </w:rPr>
              <w:t>新乡市</w:t>
            </w:r>
            <w:r>
              <w:rPr>
                <w:rFonts w:hint="eastAsia" w:ascii="Times New Roman" w:hAnsi="Times New Roman" w:eastAsia="宋体" w:cs="Times New Roman"/>
                <w:sz w:val="24"/>
                <w:u w:val="none" w:color="auto"/>
                <w:lang w:val="en-US" w:eastAsia="zh-CN"/>
              </w:rPr>
              <w:t>新乡高新技术产业开发区新中大道与德源路交叉口西南角</w:t>
            </w:r>
            <w:r>
              <w:rPr>
                <w:rFonts w:hint="eastAsia" w:ascii="Times New Roman" w:hAnsi="Times New Roman" w:eastAsia="宋体" w:cs="Times New Roman"/>
                <w:sz w:val="24"/>
                <w:u w:val="none" w:color="auto"/>
              </w:rPr>
              <w:t>，项目与园区主导产业从产业特征、污染特征、行业建设要求等多方面对比来看，均无相互制约、相互冲突的因素存在，符合园区要求，且该项目不属于新乡高新技术产业集聚区环保准入条件中限制类和禁止类入驻项目，因此评价认为本项目与新乡高新技术产业集聚区主导产业规划能够相容，符合新乡高新技术产业集聚区准入条件。</w:t>
            </w:r>
          </w:p>
          <w:p w14:paraId="54B964E5">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default" w:ascii="Times New Roman" w:hAnsi="Times New Roman" w:eastAsia="宋体" w:cs="Times New Roman"/>
                <w:sz w:val="24"/>
                <w:u w:val="none" w:color="auto"/>
                <w:lang w:val="en-US" w:eastAsia="zh-CN"/>
              </w:rPr>
            </w:pPr>
            <w:r>
              <w:rPr>
                <w:rFonts w:hint="eastAsia" w:ascii="Times New Roman" w:hAnsi="Times New Roman" w:eastAsia="宋体" w:cs="Times New Roman"/>
                <w:sz w:val="24"/>
                <w:u w:val="none" w:color="auto"/>
              </w:rPr>
              <w:t>目前《新乡市高新技术产业集聚区发展规划（2009-2020）》已到期，《新乡高新技术产业开发区发展规划（2022-2035年）》正在审批，按照该规划要求，新乡高新技术产业开发区主导产业确定为装备制造、生物技术和医药、电子信息，本项目</w:t>
            </w:r>
            <w:r>
              <w:rPr>
                <w:rFonts w:hint="eastAsia" w:ascii="Times New Roman" w:hAnsi="Times New Roman" w:eastAsia="宋体" w:cs="Times New Roman"/>
                <w:sz w:val="24"/>
                <w:u w:val="none" w:color="auto"/>
                <w:lang w:eastAsia="zh-CN"/>
              </w:rPr>
              <w:t>属于</w:t>
            </w:r>
            <w:r>
              <w:rPr>
                <w:rFonts w:hint="eastAsia" w:ascii="Times New Roman" w:hAnsi="Times New Roman" w:eastAsia="宋体" w:cs="Times New Roman"/>
                <w:sz w:val="24"/>
                <w:u w:val="none" w:color="auto"/>
                <w:lang w:val="en-US" w:eastAsia="zh-CN"/>
              </w:rPr>
              <w:t>锂离子电池制造</w:t>
            </w:r>
            <w:r>
              <w:rPr>
                <w:rFonts w:hint="eastAsia" w:ascii="Times New Roman" w:hAnsi="Times New Roman" w:eastAsia="宋体" w:cs="Times New Roman"/>
                <w:sz w:val="24"/>
                <w:u w:val="none" w:color="auto"/>
              </w:rPr>
              <w:t>，符合主导产业要求；同时根据《新乡高新技术产业开发区发展规划（2022-2035年）-用地功能布局图》和《新乡高新技术产业开发区发展规划（2022-2035年）-产业功能布局图》，本项目占地为工业用地，属于</w:t>
            </w:r>
            <w:r>
              <w:rPr>
                <w:rFonts w:hint="eastAsia" w:ascii="Times New Roman" w:hAnsi="Times New Roman" w:eastAsia="宋体" w:cs="Times New Roman"/>
                <w:sz w:val="24"/>
                <w:u w:val="none" w:color="auto"/>
                <w:lang w:eastAsia="zh-CN"/>
              </w:rPr>
              <w:t>装备制造</w:t>
            </w:r>
            <w:r>
              <w:rPr>
                <w:rFonts w:hint="eastAsia" w:ascii="Times New Roman" w:hAnsi="Times New Roman" w:eastAsia="宋体" w:cs="Times New Roman"/>
                <w:sz w:val="24"/>
                <w:u w:val="none" w:color="auto"/>
              </w:rPr>
              <w:t>区，符合园区土地利用规划、产业定位和功能区划。</w:t>
            </w:r>
          </w:p>
        </w:tc>
      </w:tr>
      <w:tr w14:paraId="63D2C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1" w:type="dxa"/>
            <w:noWrap w:val="0"/>
            <w:vAlign w:val="center"/>
          </w:tcPr>
          <w:p w14:paraId="0DED6AA8">
            <w:pPr>
              <w:autoSpaceDE w:val="0"/>
              <w:autoSpaceDN w:val="0"/>
              <w:adjustRightInd w:val="0"/>
              <w:snapToGrid w:val="0"/>
              <w:jc w:val="center"/>
              <w:rPr>
                <w:kern w:val="0"/>
                <w:sz w:val="24"/>
                <w:u w:val="none" w:color="auto"/>
              </w:rPr>
            </w:pPr>
            <w:r>
              <w:rPr>
                <w:kern w:val="0"/>
                <w:sz w:val="24"/>
                <w:u w:val="none" w:color="auto"/>
              </w:rPr>
              <w:t>其他符合性分析</w:t>
            </w:r>
          </w:p>
        </w:tc>
        <w:tc>
          <w:tcPr>
            <w:tcW w:w="7859" w:type="dxa"/>
            <w:gridSpan w:val="3"/>
            <w:noWrap w:val="0"/>
            <w:vAlign w:val="center"/>
          </w:tcPr>
          <w:p w14:paraId="099C43EB">
            <w:pPr>
              <w:keepNext w:val="0"/>
              <w:keepLines w:val="0"/>
              <w:pageBreakBefore w:val="0"/>
              <w:widowControl w:val="0"/>
              <w:kinsoku/>
              <w:wordWrap/>
              <w:overflowPunct/>
              <w:topLinePunct w:val="0"/>
              <w:autoSpaceDE w:val="0"/>
              <w:autoSpaceDN w:val="0"/>
              <w:bidi w:val="0"/>
              <w:adjustRightInd w:val="0"/>
              <w:snapToGrid w:val="0"/>
              <w:spacing w:line="440" w:lineRule="exact"/>
              <w:ind w:firstLine="482" w:firstLineChars="200"/>
              <w:textAlignment w:val="auto"/>
              <w:rPr>
                <w:rFonts w:hint="eastAsia" w:ascii="Times New Roman" w:hAnsi="Times New Roman" w:eastAsia="宋体" w:cs="Times New Roman"/>
                <w:b/>
                <w:bCs/>
                <w:sz w:val="24"/>
                <w:u w:val="none" w:color="auto"/>
                <w:lang w:val="en-US" w:eastAsia="zh-CN"/>
              </w:rPr>
            </w:pPr>
            <w:r>
              <w:rPr>
                <w:rFonts w:hint="eastAsia" w:ascii="Times New Roman" w:hAnsi="Times New Roman" w:eastAsia="宋体" w:cs="Times New Roman"/>
                <w:b/>
                <w:bCs/>
                <w:sz w:val="24"/>
                <w:u w:val="none" w:color="auto"/>
                <w:lang w:val="en-US" w:eastAsia="zh-CN"/>
              </w:rPr>
              <w:t>1、《建设项目环境影响评价分类管理名录》（2021年版）符合性分析</w:t>
            </w:r>
          </w:p>
          <w:p w14:paraId="310E217E">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default" w:ascii="Times New Roman" w:hAnsi="Times New Roman" w:eastAsia="宋体" w:cs="Times New Roman"/>
                <w:sz w:val="24"/>
                <w:u w:val="none" w:color="auto"/>
              </w:rPr>
            </w:pPr>
            <w:r>
              <w:rPr>
                <w:rFonts w:hint="default" w:ascii="Times New Roman" w:hAnsi="Times New Roman" w:eastAsia="宋体" w:cs="Times New Roman"/>
                <w:sz w:val="24"/>
                <w:u w:val="none" w:color="auto"/>
              </w:rPr>
              <w:t>经查阅《建设项目环境影响评价分类管理名录》（2021年版），本项目锂离子电池制造属于三十五、电气机械和器材制造业的第77类：电池制造384。名录规定：铅蓄电池制造；太阳能电池片生产；有电镀工艺的；年用溶剂型涂料（含稀释剂）10吨及以上的应编制报告书。其他（仅分割、焊接、组装的除外；年用非溶剂型低VOCs含量涂料10吨以下的除外）应编制报告表。本项目</w:t>
            </w:r>
            <w:r>
              <w:rPr>
                <w:rFonts w:hint="eastAsia" w:ascii="Times New Roman" w:hAnsi="Times New Roman" w:eastAsia="宋体" w:cs="Times New Roman"/>
                <w:sz w:val="24"/>
                <w:u w:val="none" w:color="auto"/>
                <w:lang w:val="en-US" w:eastAsia="zh-CN"/>
              </w:rPr>
              <w:t>主要工艺包含电池极片制作、电芯卷绕、装注配液、封口清洗、化成分容等工艺，项目</w:t>
            </w:r>
            <w:r>
              <w:rPr>
                <w:rFonts w:hint="default" w:ascii="Times New Roman" w:hAnsi="Times New Roman" w:eastAsia="宋体" w:cs="Times New Roman"/>
                <w:sz w:val="24"/>
                <w:u w:val="none" w:color="auto"/>
              </w:rPr>
              <w:t>产品为锂离子电池，应编制环境影响报告表。</w:t>
            </w:r>
          </w:p>
          <w:p w14:paraId="0DAEFBE4">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eastAsia" w:ascii="Times New Roman" w:hAnsi="Times New Roman" w:eastAsia="宋体" w:cs="Times New Roman"/>
                <w:sz w:val="24"/>
                <w:u w:val="none" w:color="auto"/>
                <w:lang w:val="en-US" w:eastAsia="zh-CN"/>
              </w:rPr>
            </w:pPr>
            <w:r>
              <w:rPr>
                <w:rFonts w:hint="default" w:ascii="Times New Roman" w:hAnsi="Times New Roman" w:eastAsia="宋体" w:cs="Times New Roman"/>
                <w:color w:val="000000"/>
                <w:sz w:val="24"/>
                <w:u w:val="none" w:color="auto"/>
              </w:rPr>
              <w:t>根据《河南省生态环境厅办公室关于进一步优化环评审批推进重大投资项目建设的通知》（豫环办</w:t>
            </w:r>
            <w:r>
              <w:rPr>
                <w:rFonts w:hint="eastAsia" w:ascii="Times New Roman" w:hAnsi="Times New Roman" w:eastAsia="宋体" w:cs="Times New Roman"/>
                <w:color w:val="000000"/>
                <w:sz w:val="24"/>
                <w:u w:val="none" w:color="auto"/>
                <w:lang w:val="en-US" w:eastAsia="zh-CN"/>
              </w:rPr>
              <w:t>〔2022〕</w:t>
            </w:r>
            <w:r>
              <w:rPr>
                <w:rFonts w:hint="default" w:ascii="Times New Roman" w:hAnsi="Times New Roman" w:eastAsia="宋体" w:cs="Times New Roman"/>
                <w:color w:val="000000"/>
                <w:sz w:val="24"/>
                <w:u w:val="none" w:color="auto"/>
              </w:rPr>
              <w:t>44号），本项目属于</w:t>
            </w:r>
            <w:r>
              <w:rPr>
                <w:rFonts w:hint="eastAsia" w:ascii="Times New Roman" w:hAnsi="Times New Roman" w:eastAsia="宋体" w:cs="Times New Roman"/>
                <w:color w:val="000000"/>
                <w:sz w:val="24"/>
                <w:u w:val="none" w:color="auto"/>
                <w:lang w:val="en-US" w:eastAsia="zh-CN"/>
              </w:rPr>
              <w:t>第30项</w:t>
            </w:r>
            <w:r>
              <w:rPr>
                <w:rFonts w:hint="default" w:ascii="Times New Roman" w:hAnsi="Times New Roman" w:eastAsia="宋体" w:cs="Times New Roman"/>
                <w:color w:val="000000"/>
                <w:sz w:val="24"/>
                <w:u w:val="none" w:color="auto"/>
              </w:rPr>
              <w:t>，在告知承诺制审批正面清单内，属于告知承诺类项目</w:t>
            </w:r>
            <w:r>
              <w:rPr>
                <w:rFonts w:hint="eastAsia" w:ascii="Times New Roman" w:hAnsi="Times New Roman" w:eastAsia="宋体" w:cs="Times New Roman"/>
                <w:color w:val="000000"/>
                <w:sz w:val="24"/>
                <w:u w:val="none" w:color="auto"/>
                <w:lang w:eastAsia="zh-CN"/>
              </w:rPr>
              <w:t>。</w:t>
            </w:r>
          </w:p>
          <w:p w14:paraId="0474029B">
            <w:pPr>
              <w:keepNext w:val="0"/>
              <w:keepLines w:val="0"/>
              <w:pageBreakBefore w:val="0"/>
              <w:widowControl w:val="0"/>
              <w:kinsoku/>
              <w:wordWrap/>
              <w:overflowPunct/>
              <w:topLinePunct w:val="0"/>
              <w:autoSpaceDE/>
              <w:autoSpaceDN/>
              <w:bidi w:val="0"/>
              <w:spacing w:line="440" w:lineRule="exact"/>
              <w:ind w:firstLine="482" w:firstLineChars="200"/>
              <w:rPr>
                <w:rFonts w:hint="default" w:ascii="Times New Roman" w:hAnsi="Times New Roman" w:eastAsia="宋体" w:cs="Times New Roman"/>
                <w:b/>
                <w:bCs/>
                <w:sz w:val="24"/>
                <w:u w:val="none" w:color="auto"/>
                <w:lang w:val="en-US" w:eastAsia="zh-CN"/>
              </w:rPr>
            </w:pPr>
            <w:r>
              <w:rPr>
                <w:rFonts w:hint="eastAsia" w:ascii="Times New Roman" w:hAnsi="Times New Roman" w:eastAsia="宋体" w:cs="Times New Roman"/>
                <w:b/>
                <w:bCs/>
                <w:sz w:val="24"/>
                <w:u w:val="none" w:color="auto"/>
                <w:lang w:val="en-US" w:eastAsia="zh-CN"/>
              </w:rPr>
              <w:t>2、产业政策相符性</w:t>
            </w:r>
          </w:p>
          <w:p w14:paraId="0A76F3B2">
            <w:pPr>
              <w:keepNext w:val="0"/>
              <w:keepLines w:val="0"/>
              <w:pageBreakBefore w:val="0"/>
              <w:widowControl w:val="0"/>
              <w:kinsoku/>
              <w:wordWrap/>
              <w:overflowPunct/>
              <w:topLinePunct w:val="0"/>
              <w:autoSpaceDE/>
              <w:autoSpaceDN/>
              <w:bidi w:val="0"/>
              <w:spacing w:line="440" w:lineRule="exact"/>
              <w:ind w:firstLine="480" w:firstLineChars="200"/>
              <w:jc w:val="both"/>
              <w:rPr>
                <w:rFonts w:hint="eastAsia"/>
                <w:color w:val="000000" w:themeColor="text1"/>
                <w:sz w:val="24"/>
                <w:u w:val="none" w:color="auto"/>
                <w:lang w:val="en-US" w:eastAsia="zh-CN"/>
                <w14:textFill>
                  <w14:solidFill>
                    <w14:schemeClr w14:val="tx1"/>
                  </w14:solidFill>
                </w14:textFill>
              </w:rPr>
            </w:pPr>
            <w:r>
              <w:rPr>
                <w:rFonts w:hint="eastAsia"/>
                <w:sz w:val="24"/>
                <w:u w:val="none" w:color="auto"/>
                <w:lang w:val="en-US" w:eastAsia="zh-CN"/>
              </w:rPr>
              <w:t>本项目已在新乡高新技术产业开发区管理委员会经济发展局备案</w:t>
            </w:r>
            <w:r>
              <w:rPr>
                <w:rFonts w:hint="eastAsia"/>
                <w:color w:val="000000" w:themeColor="text1"/>
                <w:sz w:val="24"/>
                <w:u w:val="none" w:color="auto"/>
                <w:lang w:val="en-US" w:eastAsia="zh-CN"/>
                <w14:textFill>
                  <w14:solidFill>
                    <w14:schemeClr w14:val="tx1"/>
                  </w14:solidFill>
                </w14:textFill>
              </w:rPr>
              <w:t>，项目代码：</w:t>
            </w:r>
            <w:r>
              <w:rPr>
                <w:rFonts w:hint="eastAsia" w:eastAsia="宋体"/>
                <w:sz w:val="24"/>
                <w:u w:val="none" w:color="auto"/>
                <w:lang w:eastAsia="zh-CN"/>
              </w:rPr>
              <w:t>2604-410771-04-02-323019</w:t>
            </w:r>
            <w:r>
              <w:rPr>
                <w:rFonts w:hint="eastAsia"/>
                <w:color w:val="000000" w:themeColor="text1"/>
                <w:sz w:val="24"/>
                <w:u w:val="none" w:color="auto"/>
                <w:lang w:val="en-US" w:eastAsia="zh-CN"/>
                <w14:textFill>
                  <w14:solidFill>
                    <w14:schemeClr w14:val="tx1"/>
                  </w14:solidFill>
                </w14:textFill>
              </w:rPr>
              <w:t>（详见附件二）。经查阅《产业结构调整指导目录（2024年本）》，本项目生产工艺、设备、产品均不在限制类、淘汰类之列，属于鼓励类，符合国家产业政策。本项目情况与产业政策一致性分析见下表。</w:t>
            </w:r>
          </w:p>
          <w:p w14:paraId="2884FCF7">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eastAsia="宋体"/>
                <w:b/>
                <w:bCs/>
                <w:sz w:val="24"/>
                <w:u w:val="none" w:color="auto"/>
                <w:lang w:val="en-US" w:eastAsia="zh-CN"/>
              </w:rPr>
            </w:pPr>
            <w:r>
              <w:rPr>
                <w:rFonts w:hint="default" w:eastAsia="宋体"/>
                <w:b/>
                <w:bCs/>
                <w:sz w:val="24"/>
                <w:u w:val="none" w:color="auto"/>
                <w:lang w:val="en-US" w:eastAsia="zh-CN"/>
              </w:rPr>
              <w:t>表 1-</w:t>
            </w:r>
            <w:r>
              <w:rPr>
                <w:rFonts w:hint="eastAsia"/>
                <w:b/>
                <w:bCs/>
                <w:sz w:val="24"/>
                <w:u w:val="none" w:color="auto"/>
                <w:lang w:val="en-US" w:eastAsia="zh-CN"/>
              </w:rPr>
              <w:t>5</w:t>
            </w:r>
            <w:r>
              <w:rPr>
                <w:rFonts w:hint="default" w:eastAsia="宋体"/>
                <w:b/>
                <w:bCs/>
                <w:sz w:val="24"/>
                <w:u w:val="none" w:color="auto"/>
                <w:lang w:val="en-US" w:eastAsia="zh-CN"/>
              </w:rPr>
              <w:t xml:space="preserve">    产业政策相符性分析</w:t>
            </w:r>
          </w:p>
          <w:tbl>
            <w:tblPr>
              <w:tblStyle w:val="33"/>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4414"/>
              <w:gridCol w:w="984"/>
              <w:gridCol w:w="1082"/>
            </w:tblGrid>
            <w:tr w14:paraId="10AAAAC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tcBorders>
                    <w:tl2br w:val="nil"/>
                    <w:tr2bl w:val="nil"/>
                  </w:tcBorders>
                  <w:vAlign w:val="center"/>
                </w:tcPr>
                <w:p w14:paraId="2515731C">
                  <w:pPr>
                    <w:adjustRightInd w:val="0"/>
                    <w:snapToGrid w:val="0"/>
                    <w:jc w:val="center"/>
                    <w:rPr>
                      <w:b/>
                      <w:szCs w:val="21"/>
                      <w:u w:val="none" w:color="auto"/>
                    </w:rPr>
                  </w:pPr>
                  <w:r>
                    <w:rPr>
                      <w:b/>
                      <w:szCs w:val="21"/>
                      <w:u w:val="none" w:color="auto"/>
                    </w:rPr>
                    <w:t>类别</w:t>
                  </w:r>
                </w:p>
              </w:tc>
              <w:tc>
                <w:tcPr>
                  <w:tcW w:w="4268" w:type="dxa"/>
                  <w:tcBorders>
                    <w:tl2br w:val="nil"/>
                    <w:tr2bl w:val="nil"/>
                  </w:tcBorders>
                  <w:vAlign w:val="center"/>
                </w:tcPr>
                <w:p w14:paraId="7D68C7E2">
                  <w:pPr>
                    <w:adjustRightInd w:val="0"/>
                    <w:snapToGrid w:val="0"/>
                    <w:jc w:val="center"/>
                    <w:rPr>
                      <w:b/>
                      <w:szCs w:val="21"/>
                      <w:u w:val="none" w:color="auto"/>
                    </w:rPr>
                  </w:pPr>
                  <w:r>
                    <w:rPr>
                      <w:b/>
                      <w:szCs w:val="21"/>
                      <w:u w:val="none" w:color="auto"/>
                    </w:rPr>
                    <w:t>内容</w:t>
                  </w:r>
                </w:p>
              </w:tc>
              <w:tc>
                <w:tcPr>
                  <w:tcW w:w="951" w:type="dxa"/>
                  <w:tcBorders>
                    <w:tl2br w:val="nil"/>
                    <w:tr2bl w:val="nil"/>
                  </w:tcBorders>
                  <w:vAlign w:val="center"/>
                </w:tcPr>
                <w:p w14:paraId="4AA6283E">
                  <w:pPr>
                    <w:adjustRightInd w:val="0"/>
                    <w:snapToGrid w:val="0"/>
                    <w:jc w:val="center"/>
                    <w:rPr>
                      <w:b/>
                      <w:szCs w:val="21"/>
                      <w:u w:val="none" w:color="auto"/>
                    </w:rPr>
                  </w:pPr>
                  <w:r>
                    <w:rPr>
                      <w:b/>
                      <w:szCs w:val="21"/>
                      <w:u w:val="none" w:color="auto"/>
                    </w:rPr>
                    <w:t>本项目情况</w:t>
                  </w:r>
                </w:p>
              </w:tc>
              <w:tc>
                <w:tcPr>
                  <w:tcW w:w="1046" w:type="dxa"/>
                  <w:tcBorders>
                    <w:tl2br w:val="nil"/>
                    <w:tr2bl w:val="nil"/>
                  </w:tcBorders>
                  <w:vAlign w:val="center"/>
                </w:tcPr>
                <w:p w14:paraId="424126CF">
                  <w:pPr>
                    <w:adjustRightInd w:val="0"/>
                    <w:snapToGrid w:val="0"/>
                    <w:jc w:val="center"/>
                    <w:rPr>
                      <w:b/>
                      <w:szCs w:val="21"/>
                      <w:u w:val="none" w:color="auto"/>
                    </w:rPr>
                  </w:pPr>
                  <w:r>
                    <w:rPr>
                      <w:b/>
                      <w:szCs w:val="21"/>
                      <w:u w:val="none" w:color="auto"/>
                    </w:rPr>
                    <w:t>相符性</w:t>
                  </w:r>
                </w:p>
              </w:tc>
            </w:tr>
            <w:tr w14:paraId="1526F37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tcBorders>
                    <w:tl2br w:val="nil"/>
                    <w:tr2bl w:val="nil"/>
                  </w:tcBorders>
                  <w:vAlign w:val="center"/>
                </w:tcPr>
                <w:p w14:paraId="4108F25C">
                  <w:pPr>
                    <w:adjustRightInd w:val="0"/>
                    <w:snapToGrid w:val="0"/>
                    <w:jc w:val="center"/>
                    <w:rPr>
                      <w:szCs w:val="21"/>
                      <w:u w:val="none" w:color="auto"/>
                    </w:rPr>
                  </w:pPr>
                  <w:r>
                    <w:rPr>
                      <w:szCs w:val="21"/>
                      <w:u w:val="none" w:color="auto"/>
                    </w:rPr>
                    <w:t>鼓励类</w:t>
                  </w:r>
                </w:p>
              </w:tc>
              <w:tc>
                <w:tcPr>
                  <w:tcW w:w="4268" w:type="dxa"/>
                  <w:tcBorders>
                    <w:tl2br w:val="nil"/>
                    <w:tr2bl w:val="nil"/>
                  </w:tcBorders>
                  <w:vAlign w:val="center"/>
                </w:tcPr>
                <w:p w14:paraId="299BC493">
                  <w:pPr>
                    <w:adjustRightInd w:val="0"/>
                    <w:snapToGrid w:val="0"/>
                    <w:jc w:val="both"/>
                    <w:rPr>
                      <w:szCs w:val="21"/>
                      <w:u w:val="none" w:color="auto"/>
                    </w:rPr>
                  </w:pPr>
                  <w:r>
                    <w:rPr>
                      <w:rFonts w:hint="default" w:ascii="Times New Roman" w:hAnsi="Times New Roman" w:eastAsia="宋体" w:cs="Times New Roman"/>
                      <w:color w:val="000000"/>
                      <w:kern w:val="0"/>
                      <w:sz w:val="21"/>
                      <w:szCs w:val="21"/>
                      <w:u w:val="none" w:color="auto"/>
                      <w:lang w:val="en-US" w:eastAsia="zh-CN" w:bidi="ar"/>
                    </w:rPr>
                    <w:t>新型锂原电池（锂二硫化铁、锂亚硫酰氯等），锂离子电池、半固态和全固态锂电池、燃料电池、钠离子电池、液流电</w:t>
                  </w:r>
                  <w:r>
                    <w:rPr>
                      <w:rFonts w:hint="default" w:ascii="Times New Roman" w:hAnsi="Times New Roman" w:eastAsia="宋体" w:cs="Times New Roman"/>
                      <w:color w:val="000000"/>
                      <w:kern w:val="0"/>
                      <w:sz w:val="21"/>
                      <w:szCs w:val="21"/>
                      <w:highlight w:val="none"/>
                      <w:u w:val="none" w:color="auto"/>
                      <w:lang w:val="en-US" w:eastAsia="zh-CN" w:bidi="ar"/>
                    </w:rPr>
                    <w:t>池、新型结构（双极性、铅布水平、卷绕式、管式等）密封铅蓄电池、铅碳电</w:t>
                  </w:r>
                  <w:r>
                    <w:rPr>
                      <w:rFonts w:hint="default" w:ascii="Times New Roman" w:hAnsi="Times New Roman" w:eastAsia="宋体" w:cs="Times New Roman"/>
                      <w:color w:val="000000"/>
                      <w:kern w:val="0"/>
                      <w:sz w:val="21"/>
                      <w:szCs w:val="21"/>
                      <w:u w:val="none" w:color="auto"/>
                      <w:lang w:val="en-US" w:eastAsia="zh-CN" w:bidi="ar"/>
                    </w:rPr>
                    <w:t>池等新型电池和超级电容器，锂离子电池用三元和多元、磷酸铁锂等正极材料、中间相炭微球和硅碳等负极材料、单层与三层复合锂离子电池隔膜、氟代碳酸乙烯酯（FEC）等电解质与添加剂，碳纳米管、碳纳米管导电液等关键材料，废旧电池资源化和绿色循环生产工艺及其装备制造，锂离子电池、铅蓄电池、碱性锌锰电池（600 只/分钟以上）等电池产品自动化、智能化生产成套制造装备</w:t>
                  </w:r>
                </w:p>
              </w:tc>
              <w:tc>
                <w:tcPr>
                  <w:tcW w:w="951" w:type="dxa"/>
                  <w:tcBorders>
                    <w:tl2br w:val="nil"/>
                    <w:tr2bl w:val="nil"/>
                  </w:tcBorders>
                  <w:vAlign w:val="center"/>
                </w:tcPr>
                <w:p w14:paraId="688194BB">
                  <w:pPr>
                    <w:adjustRightInd w:val="0"/>
                    <w:snapToGrid w:val="0"/>
                    <w:jc w:val="both"/>
                    <w:rPr>
                      <w:szCs w:val="21"/>
                      <w:u w:val="none" w:color="auto"/>
                    </w:rPr>
                  </w:pPr>
                  <w:r>
                    <w:rPr>
                      <w:rFonts w:hint="eastAsia"/>
                      <w:sz w:val="21"/>
                      <w:szCs w:val="21"/>
                      <w:highlight w:val="none"/>
                      <w:u w:val="none" w:color="auto"/>
                      <w:lang w:val="en-US" w:eastAsia="zh-CN"/>
                    </w:rPr>
                    <w:t>本项目产品为锂离子电池。</w:t>
                  </w:r>
                </w:p>
              </w:tc>
              <w:tc>
                <w:tcPr>
                  <w:tcW w:w="1046" w:type="dxa"/>
                  <w:tcBorders>
                    <w:tl2br w:val="nil"/>
                    <w:tr2bl w:val="nil"/>
                  </w:tcBorders>
                  <w:vAlign w:val="center"/>
                </w:tcPr>
                <w:p w14:paraId="2AA63326">
                  <w:pPr>
                    <w:adjustRightInd w:val="0"/>
                    <w:snapToGrid w:val="0"/>
                    <w:jc w:val="center"/>
                    <w:rPr>
                      <w:rFonts w:hint="eastAsia" w:eastAsia="宋体"/>
                      <w:szCs w:val="21"/>
                      <w:u w:val="none" w:color="auto"/>
                      <w:lang w:val="en-US" w:eastAsia="zh-CN"/>
                    </w:rPr>
                  </w:pPr>
                  <w:r>
                    <w:rPr>
                      <w:rFonts w:hint="eastAsia"/>
                      <w:szCs w:val="21"/>
                      <w:u w:val="none" w:color="auto"/>
                      <w:lang w:val="en-US" w:eastAsia="zh-CN"/>
                    </w:rPr>
                    <w:t>符合</w:t>
                  </w:r>
                </w:p>
              </w:tc>
            </w:tr>
            <w:tr w14:paraId="192D994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tcBorders>
                    <w:tl2br w:val="nil"/>
                    <w:tr2bl w:val="nil"/>
                  </w:tcBorders>
                  <w:vAlign w:val="center"/>
                </w:tcPr>
                <w:p w14:paraId="6508EB64">
                  <w:pPr>
                    <w:adjustRightInd w:val="0"/>
                    <w:snapToGrid w:val="0"/>
                    <w:jc w:val="center"/>
                    <w:rPr>
                      <w:szCs w:val="21"/>
                      <w:u w:val="none" w:color="auto"/>
                    </w:rPr>
                  </w:pPr>
                  <w:r>
                    <w:rPr>
                      <w:szCs w:val="21"/>
                      <w:u w:val="none" w:color="auto"/>
                    </w:rPr>
                    <w:t>限制类</w:t>
                  </w:r>
                </w:p>
              </w:tc>
              <w:tc>
                <w:tcPr>
                  <w:tcW w:w="4268" w:type="dxa"/>
                  <w:tcBorders>
                    <w:tl2br w:val="nil"/>
                    <w:tr2bl w:val="nil"/>
                  </w:tcBorders>
                  <w:vAlign w:val="center"/>
                </w:tcPr>
                <w:p w14:paraId="07A920C3">
                  <w:pPr>
                    <w:adjustRightInd w:val="0"/>
                    <w:snapToGrid w:val="0"/>
                    <w:jc w:val="center"/>
                    <w:rPr>
                      <w:szCs w:val="21"/>
                      <w:u w:val="none" w:color="auto"/>
                    </w:rPr>
                  </w:pPr>
                  <w:r>
                    <w:rPr>
                      <w:rFonts w:hint="eastAsia" w:ascii="宋体" w:hAnsi="宋体"/>
                      <w:color w:val="000000" w:themeColor="text1"/>
                      <w:sz w:val="21"/>
                      <w:szCs w:val="21"/>
                      <w:u w:val="none" w:color="auto"/>
                      <w:lang w:val="en-US" w:eastAsia="zh-CN"/>
                      <w14:textFill>
                        <w14:solidFill>
                          <w14:schemeClr w14:val="tx1"/>
                        </w14:solidFill>
                      </w14:textFill>
                    </w:rPr>
                    <w:t>采用外化成工艺生产铅蓄电池</w:t>
                  </w:r>
                </w:p>
              </w:tc>
              <w:tc>
                <w:tcPr>
                  <w:tcW w:w="951" w:type="dxa"/>
                  <w:tcBorders>
                    <w:tl2br w:val="nil"/>
                    <w:tr2bl w:val="nil"/>
                  </w:tcBorders>
                  <w:vAlign w:val="center"/>
                </w:tcPr>
                <w:p w14:paraId="37EB1E3E">
                  <w:pPr>
                    <w:adjustRightInd w:val="0"/>
                    <w:snapToGrid w:val="0"/>
                    <w:jc w:val="center"/>
                    <w:rPr>
                      <w:szCs w:val="21"/>
                      <w:u w:val="none" w:color="auto"/>
                    </w:rPr>
                  </w:pPr>
                  <w:r>
                    <w:rPr>
                      <w:rFonts w:hint="eastAsia"/>
                      <w:szCs w:val="21"/>
                      <w:u w:val="none" w:color="auto"/>
                    </w:rPr>
                    <w:t>/</w:t>
                  </w:r>
                </w:p>
              </w:tc>
              <w:tc>
                <w:tcPr>
                  <w:tcW w:w="1046" w:type="dxa"/>
                  <w:tcBorders>
                    <w:tl2br w:val="nil"/>
                    <w:tr2bl w:val="nil"/>
                  </w:tcBorders>
                  <w:vAlign w:val="center"/>
                </w:tcPr>
                <w:p w14:paraId="47B72D0D">
                  <w:pPr>
                    <w:adjustRightInd w:val="0"/>
                    <w:snapToGrid w:val="0"/>
                    <w:jc w:val="center"/>
                    <w:rPr>
                      <w:rFonts w:hint="default" w:eastAsia="宋体"/>
                      <w:szCs w:val="21"/>
                      <w:u w:val="none" w:color="auto"/>
                      <w:lang w:val="en-US" w:eastAsia="zh-CN"/>
                    </w:rPr>
                  </w:pPr>
                  <w:r>
                    <w:rPr>
                      <w:rFonts w:hint="eastAsia" w:eastAsia="宋体"/>
                      <w:szCs w:val="21"/>
                      <w:u w:val="none" w:color="auto"/>
                      <w:lang w:val="en-US" w:eastAsia="zh-CN"/>
                    </w:rPr>
                    <w:t>不属于</w:t>
                  </w:r>
                </w:p>
              </w:tc>
            </w:tr>
            <w:tr w14:paraId="656DC9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tcBorders>
                    <w:tl2br w:val="nil"/>
                    <w:tr2bl w:val="nil"/>
                  </w:tcBorders>
                  <w:vAlign w:val="center"/>
                </w:tcPr>
                <w:p w14:paraId="3F041CA1">
                  <w:pPr>
                    <w:adjustRightInd w:val="0"/>
                    <w:snapToGrid w:val="0"/>
                    <w:jc w:val="center"/>
                    <w:rPr>
                      <w:szCs w:val="21"/>
                      <w:u w:val="none" w:color="auto"/>
                    </w:rPr>
                  </w:pPr>
                  <w:r>
                    <w:rPr>
                      <w:szCs w:val="21"/>
                      <w:u w:val="none" w:color="auto"/>
                    </w:rPr>
                    <w:t>淘汰类（落后生产工艺装备）</w:t>
                  </w:r>
                </w:p>
              </w:tc>
              <w:tc>
                <w:tcPr>
                  <w:tcW w:w="4268" w:type="dxa"/>
                  <w:tcBorders>
                    <w:tl2br w:val="nil"/>
                    <w:tr2bl w:val="nil"/>
                  </w:tcBorders>
                  <w:vAlign w:val="center"/>
                </w:tcPr>
                <w:p w14:paraId="10607E43">
                  <w:pPr>
                    <w:adjustRightInd w:val="0"/>
                    <w:snapToGrid w:val="0"/>
                    <w:jc w:val="center"/>
                    <w:rPr>
                      <w:rFonts w:hint="eastAsia" w:eastAsia="宋体"/>
                      <w:szCs w:val="21"/>
                      <w:u w:val="none" w:color="auto"/>
                      <w:lang w:eastAsia="zh-CN"/>
                    </w:rPr>
                  </w:pPr>
                  <w:r>
                    <w:rPr>
                      <w:rFonts w:hint="eastAsia"/>
                      <w:szCs w:val="21"/>
                      <w:u w:val="none" w:color="auto"/>
                      <w:lang w:val="en-US" w:eastAsia="zh-CN"/>
                    </w:rPr>
                    <w:t>/</w:t>
                  </w:r>
                </w:p>
              </w:tc>
              <w:tc>
                <w:tcPr>
                  <w:tcW w:w="951" w:type="dxa"/>
                  <w:tcBorders>
                    <w:tl2br w:val="nil"/>
                    <w:tr2bl w:val="nil"/>
                  </w:tcBorders>
                  <w:vAlign w:val="center"/>
                </w:tcPr>
                <w:p w14:paraId="33CA4AEE">
                  <w:pPr>
                    <w:adjustRightInd w:val="0"/>
                    <w:snapToGrid w:val="0"/>
                    <w:jc w:val="center"/>
                    <w:rPr>
                      <w:szCs w:val="21"/>
                      <w:u w:val="none" w:color="auto"/>
                    </w:rPr>
                  </w:pPr>
                  <w:r>
                    <w:rPr>
                      <w:rFonts w:hint="eastAsia"/>
                      <w:szCs w:val="21"/>
                      <w:u w:val="none" w:color="auto"/>
                    </w:rPr>
                    <w:t>/</w:t>
                  </w:r>
                </w:p>
              </w:tc>
              <w:tc>
                <w:tcPr>
                  <w:tcW w:w="1046" w:type="dxa"/>
                  <w:tcBorders>
                    <w:tl2br w:val="nil"/>
                    <w:tr2bl w:val="nil"/>
                  </w:tcBorders>
                  <w:vAlign w:val="center"/>
                </w:tcPr>
                <w:p w14:paraId="358914AE">
                  <w:pPr>
                    <w:adjustRightInd w:val="0"/>
                    <w:snapToGrid w:val="0"/>
                    <w:jc w:val="center"/>
                    <w:rPr>
                      <w:rFonts w:hint="eastAsia" w:eastAsia="宋体"/>
                      <w:szCs w:val="21"/>
                      <w:u w:val="none" w:color="auto"/>
                      <w:lang w:eastAsia="zh-CN"/>
                    </w:rPr>
                  </w:pPr>
                  <w:r>
                    <w:rPr>
                      <w:rFonts w:hint="eastAsia" w:eastAsia="宋体"/>
                      <w:szCs w:val="21"/>
                      <w:u w:val="none" w:color="auto"/>
                      <w:lang w:val="en-US" w:eastAsia="zh-CN"/>
                    </w:rPr>
                    <w:t>不属于</w:t>
                  </w:r>
                </w:p>
              </w:tc>
            </w:tr>
            <w:tr w14:paraId="6643D93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tcBorders>
                    <w:tl2br w:val="nil"/>
                    <w:tr2bl w:val="nil"/>
                  </w:tcBorders>
                  <w:vAlign w:val="center"/>
                </w:tcPr>
                <w:p w14:paraId="274D29DE">
                  <w:pPr>
                    <w:adjustRightInd w:val="0"/>
                    <w:snapToGrid w:val="0"/>
                    <w:jc w:val="center"/>
                    <w:rPr>
                      <w:szCs w:val="21"/>
                      <w:u w:val="none" w:color="auto"/>
                    </w:rPr>
                  </w:pPr>
                  <w:r>
                    <w:rPr>
                      <w:szCs w:val="21"/>
                      <w:u w:val="none" w:color="auto"/>
                    </w:rPr>
                    <w:t>淘汰类（落后产品）</w:t>
                  </w:r>
                </w:p>
              </w:tc>
              <w:tc>
                <w:tcPr>
                  <w:tcW w:w="4268" w:type="dxa"/>
                  <w:tcBorders>
                    <w:tl2br w:val="nil"/>
                    <w:tr2bl w:val="nil"/>
                  </w:tcBorders>
                  <w:vAlign w:val="center"/>
                </w:tcPr>
                <w:p w14:paraId="07EE43C5">
                  <w:pPr>
                    <w:keepNext w:val="0"/>
                    <w:keepLines w:val="0"/>
                    <w:numPr>
                      <w:ilvl w:val="0"/>
                      <w:numId w:val="7"/>
                    </w:numPr>
                    <w:suppressLineNumbers w:val="0"/>
                    <w:adjustRightInd w:val="0"/>
                    <w:snapToGrid w:val="0"/>
                    <w:spacing w:before="0" w:beforeAutospacing="0" w:after="0" w:afterAutospacing="0"/>
                    <w:ind w:left="0" w:right="0"/>
                    <w:jc w:val="both"/>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t>轻工</w:t>
                  </w:r>
                </w:p>
                <w:p w14:paraId="78095F1D">
                  <w:pPr>
                    <w:keepNext w:val="0"/>
                    <w:keepLines w:val="0"/>
                    <w:numPr>
                      <w:ilvl w:val="0"/>
                      <w:numId w:val="0"/>
                    </w:numPr>
                    <w:suppressLineNumbers w:val="0"/>
                    <w:adjustRightInd w:val="0"/>
                    <w:snapToGrid w:val="0"/>
                    <w:spacing w:before="0" w:beforeAutospacing="0" w:after="0" w:afterAutospacing="0"/>
                    <w:ind w:left="0" w:right="0" w:rightChars="0"/>
                    <w:jc w:val="both"/>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t>汞电池（氧化汞原电池及电池组、锌汞电池）</w:t>
                  </w:r>
                </w:p>
                <w:p w14:paraId="3284F4DB">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u w:val="none" w:color="auto"/>
                      <w14:textFill>
                        <w14:solidFill>
                          <w14:schemeClr w14:val="tx1"/>
                        </w14:solidFill>
                      </w14:textFill>
                    </w:rPr>
                  </w:pPr>
                  <w:r>
                    <w:rPr>
                      <w:rFonts w:hint="default" w:ascii="Times New Roman" w:hAnsi="Times New Roman" w:eastAsia="宋体" w:cs="Times New Roman"/>
                      <w:color w:val="000000" w:themeColor="text1"/>
                      <w:kern w:val="0"/>
                      <w:sz w:val="21"/>
                      <w:szCs w:val="21"/>
                      <w:u w:val="none" w:color="auto"/>
                      <w:lang w:val="en-US" w:eastAsia="zh-CN" w:bidi="ar"/>
                      <w14:textFill>
                        <w14:solidFill>
                          <w14:schemeClr w14:val="tx1"/>
                        </w14:solidFill>
                      </w14:textFill>
                    </w:rPr>
                    <w:t xml:space="preserve">2.含汞糊式锌锰电池、含汞纸板锌锰电池、含汞圆柱型碱锰 </w:t>
                  </w:r>
                </w:p>
                <w:p w14:paraId="1F18D4D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u w:val="none" w:color="auto"/>
                      <w14:textFill>
                        <w14:solidFill>
                          <w14:schemeClr w14:val="tx1"/>
                        </w14:solidFill>
                      </w14:textFill>
                    </w:rPr>
                  </w:pPr>
                  <w:r>
                    <w:rPr>
                      <w:rFonts w:hint="default" w:ascii="Times New Roman" w:hAnsi="Times New Roman" w:eastAsia="宋体" w:cs="Times New Roman"/>
                      <w:color w:val="000000" w:themeColor="text1"/>
                      <w:kern w:val="0"/>
                      <w:sz w:val="21"/>
                      <w:szCs w:val="21"/>
                      <w:u w:val="none" w:color="auto"/>
                      <w:lang w:val="en-US" w:eastAsia="zh-CN" w:bidi="ar"/>
                      <w14:textFill>
                        <w14:solidFill>
                          <w14:schemeClr w14:val="tx1"/>
                        </w14:solidFill>
                      </w14:textFill>
                    </w:rPr>
                    <w:t>电池、含汞扣式碱锰电池、含汞扣式锌氧化银电池和锌空气电池</w:t>
                  </w:r>
                </w:p>
                <w:p w14:paraId="28B0F71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u w:val="none" w:color="auto"/>
                      <w14:textFill>
                        <w14:solidFill>
                          <w14:schemeClr w14:val="tx1"/>
                        </w14:solidFill>
                      </w14:textFill>
                    </w:rPr>
                  </w:pPr>
                  <w: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1"/>
                      <w:szCs w:val="21"/>
                      <w:u w:val="none" w:color="auto"/>
                      <w:lang w:val="en-US" w:eastAsia="zh-CN" w:bidi="ar"/>
                      <w14:textFill>
                        <w14:solidFill>
                          <w14:schemeClr w14:val="tx1"/>
                        </w14:solidFill>
                      </w14:textFill>
                    </w:rPr>
                    <w:t>开口式普通铅蓄电池、干式荷电铅蓄电池</w:t>
                  </w:r>
                </w:p>
                <w:p w14:paraId="794ACF5F">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u w:val="none" w:color="auto"/>
                      <w14:textFill>
                        <w14:solidFill>
                          <w14:schemeClr w14:val="tx1"/>
                        </w14:solidFill>
                      </w14:textFill>
                    </w:rPr>
                  </w:pPr>
                  <w:r>
                    <w:rPr>
                      <w:rFonts w:hint="default" w:ascii="Times New Roman" w:hAnsi="Times New Roman" w:eastAsia="宋体" w:cs="Times New Roman"/>
                      <w:color w:val="000000" w:themeColor="text1"/>
                      <w:kern w:val="0"/>
                      <w:sz w:val="21"/>
                      <w:szCs w:val="21"/>
                      <w:u w:val="none" w:color="auto"/>
                      <w:lang w:val="en-US" w:eastAsia="zh-CN" w:bidi="ar"/>
                      <w14:textFill>
                        <w14:solidFill>
                          <w14:schemeClr w14:val="tx1"/>
                        </w14:solidFill>
                      </w14:textFill>
                    </w:rPr>
                    <w:t>4.含镉高于0.002%的铅蓄电池</w:t>
                  </w:r>
                </w:p>
                <w:p w14:paraId="77B5BB1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u w:val="none" w:color="auto"/>
                      <w14:textFill>
                        <w14:solidFill>
                          <w14:schemeClr w14:val="tx1"/>
                        </w14:solidFill>
                      </w14:textFill>
                    </w:rPr>
                  </w:pPr>
                  <w:r>
                    <w:rPr>
                      <w:rFonts w:hint="eastAsia" w:ascii="Times New Roman" w:hAnsi="Times New Roman" w:eastAsia="宋体" w:cs="Times New Roman"/>
                      <w:color w:val="000000" w:themeColor="text1"/>
                      <w:kern w:val="0"/>
                      <w:sz w:val="21"/>
                      <w:szCs w:val="21"/>
                      <w:u w:val="none" w:color="auto"/>
                      <w:lang w:val="en-US" w:eastAsia="zh-CN" w:bidi="ar"/>
                      <w14:textFill>
                        <w14:solidFill>
                          <w14:schemeClr w14:val="tx1"/>
                        </w14:solidFill>
                      </w14:textFill>
                    </w:rPr>
                    <w:t>5</w:t>
                  </w:r>
                  <w:r>
                    <w:rPr>
                      <w:rFonts w:hint="eastAsia" w:cs="Times New Roman"/>
                      <w:color w:val="000000" w:themeColor="text1"/>
                      <w:kern w:val="0"/>
                      <w:sz w:val="21"/>
                      <w:szCs w:val="21"/>
                      <w:u w:val="none" w:color="auto"/>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u w:val="none" w:color="auto"/>
                      <w:lang w:val="en-US" w:eastAsia="zh-CN" w:bidi="ar"/>
                      <w14:textFill>
                        <w14:solidFill>
                          <w14:schemeClr w14:val="tx1"/>
                        </w14:solidFill>
                      </w14:textFill>
                    </w:rPr>
                    <w:t>含砷高于0.1%的铅蓄电池</w:t>
                  </w:r>
                </w:p>
                <w:p w14:paraId="2CA5B883">
                  <w:pPr>
                    <w:adjustRightInd w:val="0"/>
                    <w:snapToGrid w:val="0"/>
                    <w:jc w:val="left"/>
                    <w:rPr>
                      <w:rFonts w:hint="eastAsia" w:eastAsia="宋体"/>
                      <w:szCs w:val="21"/>
                      <w:u w:val="none" w:color="auto"/>
                      <w:lang w:eastAsia="zh-CN"/>
                    </w:rPr>
                  </w:pPr>
                  <w:r>
                    <w:rPr>
                      <w:rFonts w:hint="eastAsia" w:ascii="Times New Roman" w:hAnsi="Times New Roman" w:eastAsia="宋体" w:cs="Times New Roman"/>
                      <w:color w:val="000000" w:themeColor="text1"/>
                      <w:kern w:val="0"/>
                      <w:sz w:val="21"/>
                      <w:szCs w:val="21"/>
                      <w:u w:val="none" w:color="auto"/>
                      <w:lang w:val="en-US" w:eastAsia="zh-CN" w:bidi="ar"/>
                      <w14:textFill>
                        <w14:solidFill>
                          <w14:schemeClr w14:val="tx1"/>
                        </w14:solidFill>
                      </w14:textFill>
                    </w:rPr>
                    <w:t>6.</w:t>
                  </w:r>
                  <w:r>
                    <w:rPr>
                      <w:rFonts w:hint="default" w:ascii="Times New Roman" w:hAnsi="Times New Roman" w:eastAsia="宋体" w:cs="Times New Roman"/>
                      <w:color w:val="000000" w:themeColor="text1"/>
                      <w:kern w:val="0"/>
                      <w:sz w:val="21"/>
                      <w:szCs w:val="21"/>
                      <w:u w:val="none" w:color="auto"/>
                      <w:lang w:val="en-US" w:eastAsia="zh-CN" w:bidi="ar"/>
                      <w14:textFill>
                        <w14:solidFill>
                          <w14:schemeClr w14:val="tx1"/>
                        </w14:solidFill>
                      </w14:textFill>
                    </w:rPr>
                    <w:t>民用镉镍电池</w:t>
                  </w:r>
                </w:p>
              </w:tc>
              <w:tc>
                <w:tcPr>
                  <w:tcW w:w="951" w:type="dxa"/>
                  <w:tcBorders>
                    <w:tl2br w:val="nil"/>
                    <w:tr2bl w:val="nil"/>
                  </w:tcBorders>
                  <w:vAlign w:val="center"/>
                </w:tcPr>
                <w:p w14:paraId="479016CC">
                  <w:pPr>
                    <w:adjustRightInd w:val="0"/>
                    <w:snapToGrid w:val="0"/>
                    <w:jc w:val="center"/>
                    <w:rPr>
                      <w:szCs w:val="21"/>
                      <w:u w:val="none" w:color="auto"/>
                    </w:rPr>
                  </w:pPr>
                  <w:r>
                    <w:rPr>
                      <w:rFonts w:hint="eastAsia"/>
                      <w:szCs w:val="21"/>
                      <w:u w:val="none" w:color="auto"/>
                    </w:rPr>
                    <w:t>/</w:t>
                  </w:r>
                </w:p>
              </w:tc>
              <w:tc>
                <w:tcPr>
                  <w:tcW w:w="1046" w:type="dxa"/>
                  <w:tcBorders>
                    <w:tl2br w:val="nil"/>
                    <w:tr2bl w:val="nil"/>
                  </w:tcBorders>
                  <w:vAlign w:val="center"/>
                </w:tcPr>
                <w:p w14:paraId="64892273">
                  <w:pPr>
                    <w:adjustRightInd w:val="0"/>
                    <w:snapToGrid w:val="0"/>
                    <w:jc w:val="center"/>
                    <w:rPr>
                      <w:rFonts w:hint="eastAsia" w:eastAsia="宋体"/>
                      <w:szCs w:val="21"/>
                      <w:u w:val="none" w:color="auto"/>
                      <w:lang w:val="en-US" w:eastAsia="zh-CN"/>
                    </w:rPr>
                  </w:pPr>
                  <w:r>
                    <w:rPr>
                      <w:rFonts w:hint="eastAsia" w:eastAsia="宋体"/>
                      <w:szCs w:val="21"/>
                      <w:u w:val="none" w:color="auto"/>
                      <w:lang w:val="en-US" w:eastAsia="zh-CN"/>
                    </w:rPr>
                    <w:t>不属于</w:t>
                  </w:r>
                </w:p>
              </w:tc>
            </w:tr>
          </w:tbl>
          <w:p w14:paraId="5A9B7697">
            <w:pPr>
              <w:spacing w:line="440" w:lineRule="exact"/>
              <w:ind w:firstLine="480" w:firstLineChars="200"/>
              <w:rPr>
                <w:sz w:val="24"/>
                <w:u w:val="none" w:color="auto"/>
              </w:rPr>
            </w:pPr>
            <w:r>
              <w:rPr>
                <w:sz w:val="24"/>
                <w:u w:val="none" w:color="auto"/>
              </w:rPr>
              <w:t>本项目与备案一致性分析见</w:t>
            </w:r>
            <w:r>
              <w:rPr>
                <w:rFonts w:hint="eastAsia"/>
                <w:sz w:val="24"/>
                <w:u w:val="none" w:color="auto"/>
              </w:rPr>
              <w:t>下</w:t>
            </w:r>
            <w:r>
              <w:rPr>
                <w:sz w:val="24"/>
                <w:u w:val="none" w:color="auto"/>
              </w:rPr>
              <w:t>表。</w:t>
            </w:r>
          </w:p>
          <w:p w14:paraId="4372480D">
            <w:pPr>
              <w:autoSpaceDE w:val="0"/>
              <w:autoSpaceDN w:val="0"/>
              <w:spacing w:line="440" w:lineRule="exact"/>
              <w:jc w:val="center"/>
              <w:rPr>
                <w:b/>
                <w:snapToGrid w:val="0"/>
                <w:sz w:val="24"/>
                <w:u w:val="none" w:color="auto"/>
              </w:rPr>
            </w:pPr>
            <w:r>
              <w:rPr>
                <w:b/>
                <w:snapToGrid w:val="0"/>
                <w:sz w:val="24"/>
                <w:u w:val="none" w:color="auto"/>
              </w:rPr>
              <w:t>表</w:t>
            </w:r>
            <w:r>
              <w:rPr>
                <w:rFonts w:hint="eastAsia"/>
                <w:b/>
                <w:snapToGrid w:val="0"/>
                <w:sz w:val="24"/>
                <w:u w:val="none" w:color="auto"/>
              </w:rPr>
              <w:t>1-</w:t>
            </w:r>
            <w:r>
              <w:rPr>
                <w:rFonts w:hint="eastAsia"/>
                <w:b/>
                <w:snapToGrid w:val="0"/>
                <w:sz w:val="24"/>
                <w:u w:val="none" w:color="auto"/>
                <w:lang w:val="en-US" w:eastAsia="zh-CN"/>
              </w:rPr>
              <w:t>6</w:t>
            </w:r>
            <w:r>
              <w:rPr>
                <w:rFonts w:hint="eastAsia"/>
                <w:b/>
                <w:snapToGrid w:val="0"/>
                <w:sz w:val="24"/>
                <w:u w:val="none" w:color="auto"/>
              </w:rPr>
              <w:t xml:space="preserve">  </w:t>
            </w:r>
            <w:r>
              <w:rPr>
                <w:rFonts w:hint="eastAsia"/>
                <w:b/>
                <w:snapToGrid w:val="0"/>
                <w:sz w:val="24"/>
                <w:u w:val="none" w:color="auto"/>
                <w:lang w:val="en-US" w:eastAsia="zh-CN"/>
              </w:rPr>
              <w:t xml:space="preserve">  </w:t>
            </w:r>
            <w:r>
              <w:rPr>
                <w:b/>
                <w:snapToGrid w:val="0"/>
                <w:sz w:val="24"/>
                <w:u w:val="none" w:color="auto"/>
              </w:rPr>
              <w:t>项目与发改委备案相符性分析一览表</w:t>
            </w:r>
          </w:p>
          <w:tbl>
            <w:tblPr>
              <w:tblStyle w:val="32"/>
              <w:tblW w:w="4924"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3"/>
              <w:gridCol w:w="3054"/>
              <w:gridCol w:w="2835"/>
              <w:gridCol w:w="895"/>
            </w:tblGrid>
            <w:tr w14:paraId="3DB69F4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3" w:type="pct"/>
                  <w:tcBorders>
                    <w:tl2br w:val="nil"/>
                    <w:tr2bl w:val="nil"/>
                  </w:tcBorders>
                  <w:noWrap w:val="0"/>
                  <w:vAlign w:val="center"/>
                </w:tcPr>
                <w:p w14:paraId="75E3644E">
                  <w:pPr>
                    <w:autoSpaceDE w:val="0"/>
                    <w:autoSpaceDN w:val="0"/>
                    <w:jc w:val="center"/>
                    <w:rPr>
                      <w:b/>
                      <w:snapToGrid w:val="0"/>
                      <w:sz w:val="21"/>
                      <w:szCs w:val="21"/>
                      <w:u w:val="none" w:color="auto"/>
                    </w:rPr>
                  </w:pPr>
                  <w:r>
                    <w:rPr>
                      <w:b/>
                      <w:snapToGrid w:val="0"/>
                      <w:sz w:val="21"/>
                      <w:szCs w:val="21"/>
                      <w:u w:val="none" w:color="auto"/>
                    </w:rPr>
                    <w:t>类别</w:t>
                  </w:r>
                </w:p>
              </w:tc>
              <w:tc>
                <w:tcPr>
                  <w:tcW w:w="2028" w:type="pct"/>
                  <w:tcBorders>
                    <w:tl2br w:val="nil"/>
                    <w:tr2bl w:val="nil"/>
                  </w:tcBorders>
                  <w:noWrap w:val="0"/>
                  <w:vAlign w:val="center"/>
                </w:tcPr>
                <w:p w14:paraId="28F7ADA0">
                  <w:pPr>
                    <w:autoSpaceDE w:val="0"/>
                    <w:autoSpaceDN w:val="0"/>
                    <w:jc w:val="center"/>
                    <w:rPr>
                      <w:b/>
                      <w:snapToGrid w:val="0"/>
                      <w:sz w:val="21"/>
                      <w:szCs w:val="21"/>
                      <w:u w:val="none" w:color="auto"/>
                    </w:rPr>
                  </w:pPr>
                  <w:r>
                    <w:rPr>
                      <w:b/>
                      <w:snapToGrid w:val="0"/>
                      <w:sz w:val="21"/>
                      <w:szCs w:val="21"/>
                      <w:u w:val="none" w:color="auto"/>
                    </w:rPr>
                    <w:t>备案证明情况</w:t>
                  </w:r>
                </w:p>
              </w:tc>
              <w:tc>
                <w:tcPr>
                  <w:tcW w:w="1883" w:type="pct"/>
                  <w:tcBorders>
                    <w:tl2br w:val="nil"/>
                    <w:tr2bl w:val="nil"/>
                  </w:tcBorders>
                  <w:noWrap w:val="0"/>
                  <w:vAlign w:val="center"/>
                </w:tcPr>
                <w:p w14:paraId="29EDB008">
                  <w:pPr>
                    <w:autoSpaceDE w:val="0"/>
                    <w:autoSpaceDN w:val="0"/>
                    <w:jc w:val="center"/>
                    <w:rPr>
                      <w:b/>
                      <w:snapToGrid w:val="0"/>
                      <w:sz w:val="21"/>
                      <w:szCs w:val="21"/>
                      <w:u w:val="none" w:color="auto"/>
                    </w:rPr>
                  </w:pPr>
                  <w:r>
                    <w:rPr>
                      <w:b/>
                      <w:snapToGrid w:val="0"/>
                      <w:sz w:val="21"/>
                      <w:szCs w:val="21"/>
                      <w:u w:val="none" w:color="auto"/>
                    </w:rPr>
                    <w:t>本项目情况</w:t>
                  </w:r>
                </w:p>
              </w:tc>
              <w:tc>
                <w:tcPr>
                  <w:tcW w:w="594" w:type="pct"/>
                  <w:tcBorders>
                    <w:tl2br w:val="nil"/>
                    <w:tr2bl w:val="nil"/>
                  </w:tcBorders>
                  <w:noWrap w:val="0"/>
                  <w:vAlign w:val="center"/>
                </w:tcPr>
                <w:p w14:paraId="4DEFDB73">
                  <w:pPr>
                    <w:autoSpaceDE w:val="0"/>
                    <w:autoSpaceDN w:val="0"/>
                    <w:jc w:val="center"/>
                    <w:rPr>
                      <w:b/>
                      <w:snapToGrid w:val="0"/>
                      <w:sz w:val="21"/>
                      <w:szCs w:val="21"/>
                      <w:u w:val="none" w:color="auto"/>
                    </w:rPr>
                  </w:pPr>
                  <w:r>
                    <w:rPr>
                      <w:b/>
                      <w:snapToGrid w:val="0"/>
                      <w:sz w:val="21"/>
                      <w:szCs w:val="21"/>
                      <w:u w:val="none" w:color="auto"/>
                    </w:rPr>
                    <w:t>对比结果</w:t>
                  </w:r>
                </w:p>
              </w:tc>
            </w:tr>
            <w:tr w14:paraId="5CAA2C4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93" w:type="pct"/>
                  <w:tcBorders>
                    <w:bottom w:val="single" w:color="auto" w:sz="4" w:space="0"/>
                    <w:tl2br w:val="nil"/>
                    <w:tr2bl w:val="nil"/>
                  </w:tcBorders>
                  <w:noWrap w:val="0"/>
                  <w:vAlign w:val="center"/>
                </w:tcPr>
                <w:p w14:paraId="761A9E5B">
                  <w:pPr>
                    <w:autoSpaceDE w:val="0"/>
                    <w:autoSpaceDN w:val="0"/>
                    <w:jc w:val="center"/>
                    <w:rPr>
                      <w:b/>
                      <w:snapToGrid w:val="0"/>
                      <w:sz w:val="21"/>
                      <w:szCs w:val="21"/>
                      <w:u w:val="none" w:color="auto"/>
                    </w:rPr>
                  </w:pPr>
                  <w:r>
                    <w:rPr>
                      <w:bCs/>
                      <w:snapToGrid w:val="0"/>
                      <w:sz w:val="21"/>
                      <w:szCs w:val="21"/>
                      <w:u w:val="none" w:color="auto"/>
                    </w:rPr>
                    <w:t>项目名称</w:t>
                  </w:r>
                </w:p>
              </w:tc>
              <w:tc>
                <w:tcPr>
                  <w:tcW w:w="2028" w:type="pct"/>
                  <w:tcBorders>
                    <w:bottom w:val="single" w:color="auto" w:sz="4" w:space="0"/>
                    <w:tl2br w:val="nil"/>
                    <w:tr2bl w:val="nil"/>
                  </w:tcBorders>
                  <w:noWrap w:val="0"/>
                  <w:vAlign w:val="center"/>
                </w:tcPr>
                <w:p w14:paraId="041DEE22">
                  <w:pPr>
                    <w:autoSpaceDE w:val="0"/>
                    <w:autoSpaceDN w:val="0"/>
                    <w:jc w:val="center"/>
                    <w:rPr>
                      <w:rFonts w:hint="default" w:ascii="Times New Roman" w:hAnsi="Times New Roman" w:eastAsia="宋体" w:cs="Times New Roman"/>
                      <w:bCs/>
                      <w:snapToGrid w:val="0"/>
                      <w:sz w:val="21"/>
                      <w:szCs w:val="21"/>
                      <w:u w:val="none" w:color="auto"/>
                      <w:lang w:val="en-US" w:eastAsia="zh-CN"/>
                    </w:rPr>
                  </w:pPr>
                  <w:r>
                    <w:rPr>
                      <w:rFonts w:hint="eastAsia" w:ascii="Times New Roman" w:hAnsi="Times New Roman" w:eastAsia="宋体" w:cs="Times New Roman"/>
                      <w:bCs/>
                      <w:snapToGrid w:val="0"/>
                      <w:sz w:val="21"/>
                      <w:szCs w:val="21"/>
                      <w:u w:val="none" w:color="auto"/>
                      <w:lang w:val="en-US" w:eastAsia="zh-CN"/>
                    </w:rPr>
                    <w:t>年产6亿只锂离子电池技改项目</w:t>
                  </w:r>
                </w:p>
              </w:tc>
              <w:tc>
                <w:tcPr>
                  <w:tcW w:w="1883" w:type="pct"/>
                  <w:tcBorders>
                    <w:bottom w:val="single" w:color="auto" w:sz="4" w:space="0"/>
                    <w:tl2br w:val="nil"/>
                    <w:tr2bl w:val="nil"/>
                  </w:tcBorders>
                  <w:noWrap w:val="0"/>
                  <w:vAlign w:val="center"/>
                </w:tcPr>
                <w:p w14:paraId="7340B1DA">
                  <w:pPr>
                    <w:autoSpaceDE w:val="0"/>
                    <w:autoSpaceDN w:val="0"/>
                    <w:jc w:val="center"/>
                    <w:rPr>
                      <w:rFonts w:hint="eastAsia" w:ascii="Times New Roman" w:hAnsi="Times New Roman" w:eastAsia="宋体" w:cs="Times New Roman"/>
                      <w:bCs/>
                      <w:snapToGrid w:val="0"/>
                      <w:sz w:val="21"/>
                      <w:szCs w:val="21"/>
                      <w:u w:val="none" w:color="auto"/>
                    </w:rPr>
                  </w:pPr>
                  <w:r>
                    <w:rPr>
                      <w:rFonts w:hint="eastAsia" w:ascii="Times New Roman" w:hAnsi="Times New Roman" w:eastAsia="宋体" w:cs="Times New Roman"/>
                      <w:bCs/>
                      <w:snapToGrid w:val="0"/>
                      <w:sz w:val="21"/>
                      <w:szCs w:val="21"/>
                      <w:u w:val="none" w:color="auto"/>
                      <w:lang w:val="en-US" w:eastAsia="zh-CN"/>
                    </w:rPr>
                    <w:t>年产6亿只锂离子电池技改项目</w:t>
                  </w:r>
                </w:p>
              </w:tc>
              <w:tc>
                <w:tcPr>
                  <w:tcW w:w="594" w:type="pct"/>
                  <w:tcBorders>
                    <w:bottom w:val="single" w:color="auto" w:sz="4" w:space="0"/>
                    <w:tl2br w:val="nil"/>
                    <w:tr2bl w:val="nil"/>
                  </w:tcBorders>
                  <w:noWrap w:val="0"/>
                  <w:vAlign w:val="center"/>
                </w:tcPr>
                <w:p w14:paraId="3E59812B">
                  <w:pPr>
                    <w:autoSpaceDE w:val="0"/>
                    <w:autoSpaceDN w:val="0"/>
                    <w:jc w:val="center"/>
                    <w:rPr>
                      <w:b/>
                      <w:snapToGrid w:val="0"/>
                      <w:sz w:val="21"/>
                      <w:szCs w:val="21"/>
                      <w:u w:val="none" w:color="auto"/>
                    </w:rPr>
                  </w:pPr>
                  <w:r>
                    <w:rPr>
                      <w:bCs/>
                      <w:sz w:val="21"/>
                      <w:szCs w:val="21"/>
                      <w:u w:val="none" w:color="auto"/>
                    </w:rPr>
                    <w:t>一致</w:t>
                  </w:r>
                </w:p>
              </w:tc>
            </w:tr>
            <w:tr w14:paraId="056002A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3" w:type="pct"/>
                  <w:tcBorders>
                    <w:top w:val="single" w:color="auto" w:sz="4" w:space="0"/>
                    <w:tl2br w:val="nil"/>
                    <w:tr2bl w:val="nil"/>
                  </w:tcBorders>
                  <w:noWrap w:val="0"/>
                  <w:vAlign w:val="center"/>
                </w:tcPr>
                <w:p w14:paraId="39E7F09D">
                  <w:pPr>
                    <w:autoSpaceDE w:val="0"/>
                    <w:autoSpaceDN w:val="0"/>
                    <w:jc w:val="center"/>
                    <w:rPr>
                      <w:bCs/>
                      <w:snapToGrid w:val="0"/>
                      <w:sz w:val="21"/>
                      <w:szCs w:val="21"/>
                      <w:u w:val="none" w:color="auto"/>
                    </w:rPr>
                  </w:pPr>
                  <w:r>
                    <w:rPr>
                      <w:bCs/>
                      <w:snapToGrid w:val="0"/>
                      <w:sz w:val="21"/>
                      <w:szCs w:val="21"/>
                      <w:u w:val="none" w:color="auto"/>
                    </w:rPr>
                    <w:t>建设单位</w:t>
                  </w:r>
                </w:p>
              </w:tc>
              <w:tc>
                <w:tcPr>
                  <w:tcW w:w="2028" w:type="pct"/>
                  <w:tcBorders>
                    <w:top w:val="single" w:color="auto" w:sz="4" w:space="0"/>
                    <w:tl2br w:val="nil"/>
                    <w:tr2bl w:val="nil"/>
                  </w:tcBorders>
                  <w:noWrap w:val="0"/>
                  <w:vAlign w:val="top"/>
                </w:tcPr>
                <w:p w14:paraId="651CF3A8">
                  <w:pPr>
                    <w:autoSpaceDE w:val="0"/>
                    <w:autoSpaceDN w:val="0"/>
                    <w:jc w:val="center"/>
                    <w:rPr>
                      <w:rFonts w:hint="default" w:ascii="Times New Roman" w:hAnsi="Times New Roman" w:eastAsia="宋体" w:cs="Times New Roman"/>
                      <w:bCs/>
                      <w:snapToGrid w:val="0"/>
                      <w:sz w:val="21"/>
                      <w:szCs w:val="21"/>
                      <w:u w:val="none" w:color="auto"/>
                      <w:lang w:val="en-US" w:eastAsia="zh-CN"/>
                    </w:rPr>
                  </w:pPr>
                  <w:r>
                    <w:rPr>
                      <w:rFonts w:hint="eastAsia" w:ascii="Times New Roman" w:hAnsi="Times New Roman" w:eastAsia="宋体" w:cs="Times New Roman"/>
                      <w:bCs/>
                      <w:snapToGrid w:val="0"/>
                      <w:sz w:val="21"/>
                      <w:szCs w:val="21"/>
                      <w:u w:val="none" w:color="auto"/>
                      <w:lang w:val="en-US" w:eastAsia="zh-CN"/>
                    </w:rPr>
                    <w:t>弘力新能源（新乡）有限公司</w:t>
                  </w:r>
                </w:p>
              </w:tc>
              <w:tc>
                <w:tcPr>
                  <w:tcW w:w="1883" w:type="pct"/>
                  <w:tcBorders>
                    <w:top w:val="single" w:color="auto" w:sz="4" w:space="0"/>
                    <w:tl2br w:val="nil"/>
                    <w:tr2bl w:val="nil"/>
                  </w:tcBorders>
                  <w:noWrap w:val="0"/>
                  <w:vAlign w:val="top"/>
                </w:tcPr>
                <w:p w14:paraId="1879BA70">
                  <w:pPr>
                    <w:autoSpaceDE w:val="0"/>
                    <w:autoSpaceDN w:val="0"/>
                    <w:jc w:val="center"/>
                    <w:rPr>
                      <w:rFonts w:hint="eastAsia" w:ascii="Times New Roman" w:hAnsi="Times New Roman" w:eastAsia="宋体" w:cs="Times New Roman"/>
                      <w:bCs/>
                      <w:snapToGrid w:val="0"/>
                      <w:sz w:val="21"/>
                      <w:szCs w:val="21"/>
                      <w:u w:val="none" w:color="auto"/>
                    </w:rPr>
                  </w:pPr>
                  <w:r>
                    <w:rPr>
                      <w:rFonts w:hint="eastAsia" w:ascii="Times New Roman" w:hAnsi="Times New Roman" w:eastAsia="宋体" w:cs="Times New Roman"/>
                      <w:bCs/>
                      <w:snapToGrid w:val="0"/>
                      <w:sz w:val="21"/>
                      <w:szCs w:val="21"/>
                      <w:u w:val="none" w:color="auto"/>
                      <w:lang w:val="en-US" w:eastAsia="zh-CN"/>
                    </w:rPr>
                    <w:t>弘力新能源（新乡）有限公司</w:t>
                  </w:r>
                </w:p>
              </w:tc>
              <w:tc>
                <w:tcPr>
                  <w:tcW w:w="594" w:type="pct"/>
                  <w:tcBorders>
                    <w:top w:val="single" w:color="auto" w:sz="4" w:space="0"/>
                    <w:tl2br w:val="nil"/>
                    <w:tr2bl w:val="nil"/>
                  </w:tcBorders>
                  <w:noWrap w:val="0"/>
                  <w:vAlign w:val="center"/>
                </w:tcPr>
                <w:p w14:paraId="2F16E6FD">
                  <w:pPr>
                    <w:autoSpaceDE w:val="0"/>
                    <w:autoSpaceDN w:val="0"/>
                    <w:jc w:val="center"/>
                    <w:rPr>
                      <w:bCs/>
                      <w:snapToGrid w:val="0"/>
                      <w:sz w:val="21"/>
                      <w:szCs w:val="21"/>
                      <w:u w:val="none" w:color="auto"/>
                    </w:rPr>
                  </w:pPr>
                  <w:r>
                    <w:rPr>
                      <w:bCs/>
                      <w:sz w:val="21"/>
                      <w:szCs w:val="21"/>
                      <w:u w:val="none" w:color="auto"/>
                    </w:rPr>
                    <w:t>一致</w:t>
                  </w:r>
                </w:p>
              </w:tc>
            </w:tr>
            <w:tr w14:paraId="4EC0125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3" w:type="pct"/>
                  <w:tcBorders>
                    <w:tl2br w:val="nil"/>
                    <w:tr2bl w:val="nil"/>
                  </w:tcBorders>
                  <w:noWrap w:val="0"/>
                  <w:vAlign w:val="center"/>
                </w:tcPr>
                <w:p w14:paraId="6F712AEE">
                  <w:pPr>
                    <w:autoSpaceDE w:val="0"/>
                    <w:autoSpaceDN w:val="0"/>
                    <w:jc w:val="center"/>
                    <w:rPr>
                      <w:bCs/>
                      <w:snapToGrid w:val="0"/>
                      <w:sz w:val="21"/>
                      <w:szCs w:val="21"/>
                      <w:u w:val="none" w:color="auto"/>
                    </w:rPr>
                  </w:pPr>
                  <w:r>
                    <w:rPr>
                      <w:bCs/>
                      <w:snapToGrid w:val="0"/>
                      <w:sz w:val="21"/>
                      <w:szCs w:val="21"/>
                      <w:u w:val="none" w:color="auto"/>
                    </w:rPr>
                    <w:t>建设地点</w:t>
                  </w:r>
                </w:p>
              </w:tc>
              <w:tc>
                <w:tcPr>
                  <w:tcW w:w="2028" w:type="pct"/>
                  <w:tcBorders>
                    <w:tl2br w:val="nil"/>
                    <w:tr2bl w:val="nil"/>
                  </w:tcBorders>
                  <w:noWrap w:val="0"/>
                  <w:vAlign w:val="center"/>
                </w:tcPr>
                <w:p w14:paraId="79F1F60A">
                  <w:pPr>
                    <w:autoSpaceDE w:val="0"/>
                    <w:autoSpaceDN w:val="0"/>
                    <w:jc w:val="center"/>
                    <w:rPr>
                      <w:rFonts w:hint="default" w:ascii="Times New Roman" w:hAnsi="Times New Roman" w:eastAsia="宋体" w:cs="Times New Roman"/>
                      <w:bCs/>
                      <w:snapToGrid w:val="0"/>
                      <w:sz w:val="21"/>
                      <w:szCs w:val="21"/>
                      <w:u w:val="none" w:color="auto"/>
                      <w:lang w:val="en-US" w:eastAsia="zh-CN"/>
                    </w:rPr>
                  </w:pPr>
                  <w:r>
                    <w:rPr>
                      <w:rFonts w:hint="eastAsia" w:ascii="Times New Roman" w:hAnsi="Times New Roman" w:eastAsia="宋体" w:cs="Times New Roman"/>
                      <w:bCs/>
                      <w:snapToGrid w:val="0"/>
                      <w:sz w:val="21"/>
                      <w:szCs w:val="21"/>
                      <w:u w:val="none" w:color="auto"/>
                      <w:lang w:val="en-US" w:eastAsia="zh-CN"/>
                    </w:rPr>
                    <w:t>新乡市新乡高新技术产业开发区新中大道与德源路交叉口西南角</w:t>
                  </w:r>
                </w:p>
              </w:tc>
              <w:tc>
                <w:tcPr>
                  <w:tcW w:w="1883" w:type="pct"/>
                  <w:tcBorders>
                    <w:tl2br w:val="nil"/>
                    <w:tr2bl w:val="nil"/>
                  </w:tcBorders>
                  <w:noWrap w:val="0"/>
                  <w:vAlign w:val="center"/>
                </w:tcPr>
                <w:p w14:paraId="4E560726">
                  <w:pPr>
                    <w:autoSpaceDE w:val="0"/>
                    <w:autoSpaceDN w:val="0"/>
                    <w:jc w:val="center"/>
                    <w:rPr>
                      <w:rFonts w:hint="eastAsia" w:ascii="Times New Roman" w:hAnsi="Times New Roman" w:eastAsia="宋体" w:cs="Times New Roman"/>
                      <w:bCs/>
                      <w:snapToGrid w:val="0"/>
                      <w:sz w:val="21"/>
                      <w:szCs w:val="21"/>
                      <w:u w:val="none" w:color="auto"/>
                    </w:rPr>
                  </w:pPr>
                  <w:r>
                    <w:rPr>
                      <w:rFonts w:hint="eastAsia" w:ascii="Times New Roman" w:hAnsi="Times New Roman" w:eastAsia="宋体" w:cs="Times New Roman"/>
                      <w:bCs/>
                      <w:snapToGrid w:val="0"/>
                      <w:sz w:val="21"/>
                      <w:szCs w:val="21"/>
                      <w:u w:val="none" w:color="auto"/>
                      <w:lang w:val="en-US" w:eastAsia="zh-CN"/>
                    </w:rPr>
                    <w:t>新乡市新乡高新技术产业开发区新中大道与德源路交叉口西南角</w:t>
                  </w:r>
                </w:p>
              </w:tc>
              <w:tc>
                <w:tcPr>
                  <w:tcW w:w="594" w:type="pct"/>
                  <w:tcBorders>
                    <w:tl2br w:val="nil"/>
                    <w:tr2bl w:val="nil"/>
                  </w:tcBorders>
                  <w:noWrap w:val="0"/>
                  <w:vAlign w:val="center"/>
                </w:tcPr>
                <w:p w14:paraId="4EE1FE7E">
                  <w:pPr>
                    <w:autoSpaceDE w:val="0"/>
                    <w:autoSpaceDN w:val="0"/>
                    <w:jc w:val="center"/>
                    <w:rPr>
                      <w:bCs/>
                      <w:snapToGrid w:val="0"/>
                      <w:sz w:val="21"/>
                      <w:szCs w:val="21"/>
                      <w:u w:val="none" w:color="auto"/>
                    </w:rPr>
                  </w:pPr>
                  <w:r>
                    <w:rPr>
                      <w:bCs/>
                      <w:sz w:val="21"/>
                      <w:szCs w:val="21"/>
                      <w:u w:val="none" w:color="auto"/>
                    </w:rPr>
                    <w:t>一致</w:t>
                  </w:r>
                </w:p>
              </w:tc>
            </w:tr>
            <w:tr w14:paraId="600FFA3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3" w:type="pct"/>
                  <w:tcBorders>
                    <w:tl2br w:val="nil"/>
                    <w:tr2bl w:val="nil"/>
                  </w:tcBorders>
                  <w:noWrap w:val="0"/>
                  <w:vAlign w:val="center"/>
                </w:tcPr>
                <w:p w14:paraId="4EB73B88">
                  <w:pPr>
                    <w:autoSpaceDE w:val="0"/>
                    <w:autoSpaceDN w:val="0"/>
                    <w:jc w:val="center"/>
                    <w:rPr>
                      <w:bCs/>
                      <w:snapToGrid w:val="0"/>
                      <w:sz w:val="21"/>
                      <w:szCs w:val="21"/>
                      <w:u w:val="none" w:color="auto"/>
                    </w:rPr>
                  </w:pPr>
                  <w:r>
                    <w:rPr>
                      <w:bCs/>
                      <w:snapToGrid w:val="0"/>
                      <w:sz w:val="21"/>
                      <w:szCs w:val="21"/>
                      <w:u w:val="none" w:color="auto"/>
                    </w:rPr>
                    <w:t>投资</w:t>
                  </w:r>
                </w:p>
              </w:tc>
              <w:tc>
                <w:tcPr>
                  <w:tcW w:w="2028" w:type="pct"/>
                  <w:tcBorders>
                    <w:tl2br w:val="nil"/>
                    <w:tr2bl w:val="nil"/>
                  </w:tcBorders>
                  <w:noWrap w:val="0"/>
                  <w:vAlign w:val="center"/>
                </w:tcPr>
                <w:p w14:paraId="43114EAC">
                  <w:pPr>
                    <w:autoSpaceDE w:val="0"/>
                    <w:autoSpaceDN w:val="0"/>
                    <w:jc w:val="center"/>
                    <w:rPr>
                      <w:rFonts w:hint="default" w:ascii="Times New Roman" w:hAnsi="Times New Roman" w:eastAsia="宋体" w:cs="Times New Roman"/>
                      <w:bCs/>
                      <w:snapToGrid w:val="0"/>
                      <w:sz w:val="21"/>
                      <w:szCs w:val="21"/>
                      <w:u w:val="none" w:color="auto"/>
                      <w:lang w:val="en-US" w:eastAsia="zh-CN"/>
                    </w:rPr>
                  </w:pPr>
                  <w:r>
                    <w:rPr>
                      <w:rFonts w:hint="eastAsia" w:ascii="Times New Roman" w:hAnsi="Times New Roman" w:eastAsia="宋体" w:cs="Times New Roman"/>
                      <w:bCs/>
                      <w:snapToGrid w:val="0"/>
                      <w:sz w:val="21"/>
                      <w:szCs w:val="21"/>
                      <w:u w:val="none" w:color="auto"/>
                      <w:lang w:val="en-US" w:eastAsia="zh-CN"/>
                    </w:rPr>
                    <w:t>10000万元</w:t>
                  </w:r>
                </w:p>
              </w:tc>
              <w:tc>
                <w:tcPr>
                  <w:tcW w:w="1883" w:type="pct"/>
                  <w:tcBorders>
                    <w:tl2br w:val="nil"/>
                    <w:tr2bl w:val="nil"/>
                  </w:tcBorders>
                  <w:noWrap w:val="0"/>
                  <w:vAlign w:val="center"/>
                </w:tcPr>
                <w:p w14:paraId="75D14352">
                  <w:pPr>
                    <w:autoSpaceDE w:val="0"/>
                    <w:autoSpaceDN w:val="0"/>
                    <w:jc w:val="center"/>
                    <w:rPr>
                      <w:rFonts w:hint="default" w:ascii="Times New Roman" w:hAnsi="Times New Roman" w:eastAsia="宋体" w:cs="Times New Roman"/>
                      <w:bCs/>
                      <w:snapToGrid w:val="0"/>
                      <w:sz w:val="21"/>
                      <w:szCs w:val="21"/>
                      <w:u w:val="none" w:color="auto"/>
                      <w:lang w:val="en-US" w:eastAsia="zh-CN"/>
                    </w:rPr>
                  </w:pPr>
                  <w:r>
                    <w:rPr>
                      <w:rFonts w:hint="eastAsia" w:ascii="Times New Roman" w:hAnsi="Times New Roman" w:eastAsia="宋体" w:cs="Times New Roman"/>
                      <w:bCs/>
                      <w:snapToGrid w:val="0"/>
                      <w:sz w:val="21"/>
                      <w:szCs w:val="21"/>
                      <w:u w:val="none" w:color="auto"/>
                      <w:lang w:val="en-US" w:eastAsia="zh-CN"/>
                    </w:rPr>
                    <w:t>10000万元</w:t>
                  </w:r>
                </w:p>
              </w:tc>
              <w:tc>
                <w:tcPr>
                  <w:tcW w:w="594" w:type="pct"/>
                  <w:tcBorders>
                    <w:tl2br w:val="nil"/>
                    <w:tr2bl w:val="nil"/>
                  </w:tcBorders>
                  <w:noWrap w:val="0"/>
                  <w:vAlign w:val="center"/>
                </w:tcPr>
                <w:p w14:paraId="35A997F1">
                  <w:pPr>
                    <w:autoSpaceDE w:val="0"/>
                    <w:autoSpaceDN w:val="0"/>
                    <w:jc w:val="center"/>
                    <w:rPr>
                      <w:bCs/>
                      <w:snapToGrid w:val="0"/>
                      <w:sz w:val="21"/>
                      <w:szCs w:val="21"/>
                      <w:u w:val="none" w:color="auto"/>
                    </w:rPr>
                  </w:pPr>
                  <w:r>
                    <w:rPr>
                      <w:bCs/>
                      <w:sz w:val="21"/>
                      <w:szCs w:val="21"/>
                      <w:u w:val="none" w:color="auto"/>
                    </w:rPr>
                    <w:t>一致</w:t>
                  </w:r>
                </w:p>
              </w:tc>
            </w:tr>
            <w:tr w14:paraId="7E6DCDD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3" w:type="pct"/>
                  <w:tcBorders>
                    <w:tl2br w:val="nil"/>
                    <w:tr2bl w:val="nil"/>
                  </w:tcBorders>
                  <w:noWrap w:val="0"/>
                  <w:vAlign w:val="center"/>
                </w:tcPr>
                <w:p w14:paraId="3651218E">
                  <w:pPr>
                    <w:autoSpaceDE w:val="0"/>
                    <w:autoSpaceDN w:val="0"/>
                    <w:jc w:val="center"/>
                    <w:rPr>
                      <w:bCs/>
                      <w:snapToGrid w:val="0"/>
                      <w:sz w:val="21"/>
                      <w:szCs w:val="21"/>
                      <w:u w:val="none" w:color="auto"/>
                    </w:rPr>
                  </w:pPr>
                  <w:r>
                    <w:rPr>
                      <w:bCs/>
                      <w:snapToGrid w:val="0"/>
                      <w:sz w:val="21"/>
                      <w:szCs w:val="21"/>
                      <w:u w:val="none" w:color="auto"/>
                    </w:rPr>
                    <w:t>建设性质</w:t>
                  </w:r>
                </w:p>
              </w:tc>
              <w:tc>
                <w:tcPr>
                  <w:tcW w:w="2028" w:type="pct"/>
                  <w:tcBorders>
                    <w:tl2br w:val="nil"/>
                    <w:tr2bl w:val="nil"/>
                  </w:tcBorders>
                  <w:noWrap w:val="0"/>
                  <w:vAlign w:val="center"/>
                </w:tcPr>
                <w:p w14:paraId="35E6DE09">
                  <w:pPr>
                    <w:autoSpaceDE w:val="0"/>
                    <w:autoSpaceDN w:val="0"/>
                    <w:jc w:val="center"/>
                    <w:rPr>
                      <w:rFonts w:hint="default" w:ascii="Times New Roman" w:hAnsi="Times New Roman" w:eastAsia="宋体" w:cs="Times New Roman"/>
                      <w:bCs/>
                      <w:snapToGrid w:val="0"/>
                      <w:sz w:val="21"/>
                      <w:szCs w:val="21"/>
                      <w:u w:val="none" w:color="auto"/>
                      <w:lang w:val="en-US" w:eastAsia="zh-CN"/>
                    </w:rPr>
                  </w:pPr>
                  <w:r>
                    <w:rPr>
                      <w:rFonts w:hint="eastAsia" w:ascii="Times New Roman" w:hAnsi="Times New Roman" w:eastAsia="宋体" w:cs="Times New Roman"/>
                      <w:bCs/>
                      <w:snapToGrid w:val="0"/>
                      <w:sz w:val="21"/>
                      <w:szCs w:val="21"/>
                      <w:u w:val="none" w:color="auto"/>
                      <w:lang w:val="en-US" w:eastAsia="zh-CN"/>
                    </w:rPr>
                    <w:t>改建</w:t>
                  </w:r>
                </w:p>
              </w:tc>
              <w:tc>
                <w:tcPr>
                  <w:tcW w:w="1883" w:type="pct"/>
                  <w:tcBorders>
                    <w:tl2br w:val="nil"/>
                    <w:tr2bl w:val="nil"/>
                  </w:tcBorders>
                  <w:noWrap w:val="0"/>
                  <w:vAlign w:val="center"/>
                </w:tcPr>
                <w:p w14:paraId="43DC6B7D">
                  <w:pPr>
                    <w:autoSpaceDE w:val="0"/>
                    <w:autoSpaceDN w:val="0"/>
                    <w:jc w:val="center"/>
                    <w:rPr>
                      <w:rFonts w:hint="default" w:ascii="Times New Roman" w:hAnsi="Times New Roman" w:eastAsia="宋体" w:cs="Times New Roman"/>
                      <w:bCs/>
                      <w:snapToGrid w:val="0"/>
                      <w:sz w:val="21"/>
                      <w:szCs w:val="21"/>
                      <w:u w:val="none" w:color="auto"/>
                      <w:lang w:val="en-US" w:eastAsia="zh-CN"/>
                    </w:rPr>
                  </w:pPr>
                  <w:r>
                    <w:rPr>
                      <w:rFonts w:hint="eastAsia" w:cs="Times New Roman"/>
                      <w:bCs/>
                      <w:snapToGrid w:val="0"/>
                      <w:sz w:val="21"/>
                      <w:szCs w:val="21"/>
                      <w:u w:val="none" w:color="auto"/>
                      <w:lang w:val="en-US" w:eastAsia="zh-CN"/>
                    </w:rPr>
                    <w:t>新</w:t>
                  </w:r>
                  <w:r>
                    <w:rPr>
                      <w:rFonts w:hint="eastAsia" w:ascii="Times New Roman" w:hAnsi="Times New Roman" w:eastAsia="宋体" w:cs="Times New Roman"/>
                      <w:bCs/>
                      <w:snapToGrid w:val="0"/>
                      <w:sz w:val="21"/>
                      <w:szCs w:val="21"/>
                      <w:u w:val="none" w:color="auto"/>
                      <w:lang w:val="en-US" w:eastAsia="zh-CN"/>
                    </w:rPr>
                    <w:t>建</w:t>
                  </w:r>
                </w:p>
              </w:tc>
              <w:tc>
                <w:tcPr>
                  <w:tcW w:w="594" w:type="pct"/>
                  <w:tcBorders>
                    <w:tl2br w:val="nil"/>
                    <w:tr2bl w:val="nil"/>
                  </w:tcBorders>
                  <w:noWrap w:val="0"/>
                  <w:vAlign w:val="center"/>
                </w:tcPr>
                <w:p w14:paraId="7C926D56">
                  <w:pPr>
                    <w:autoSpaceDE w:val="0"/>
                    <w:autoSpaceDN w:val="0"/>
                    <w:jc w:val="center"/>
                    <w:rPr>
                      <w:rFonts w:hint="default" w:eastAsia="宋体"/>
                      <w:b/>
                      <w:bCs/>
                      <w:snapToGrid w:val="0"/>
                      <w:sz w:val="21"/>
                      <w:szCs w:val="21"/>
                      <w:u w:val="none" w:color="auto"/>
                      <w:lang w:val="en-US" w:eastAsia="zh-CN"/>
                    </w:rPr>
                  </w:pPr>
                  <w:r>
                    <w:rPr>
                      <w:bCs/>
                      <w:sz w:val="21"/>
                      <w:szCs w:val="21"/>
                      <w:u w:val="none" w:color="auto"/>
                    </w:rPr>
                    <w:t>一致</w:t>
                  </w:r>
                </w:p>
              </w:tc>
            </w:tr>
            <w:tr w14:paraId="665C761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93" w:type="pct"/>
                  <w:tcBorders>
                    <w:tl2br w:val="nil"/>
                    <w:tr2bl w:val="nil"/>
                  </w:tcBorders>
                  <w:noWrap w:val="0"/>
                  <w:vAlign w:val="center"/>
                </w:tcPr>
                <w:p w14:paraId="5C3BD52A">
                  <w:pPr>
                    <w:autoSpaceDE w:val="0"/>
                    <w:autoSpaceDN w:val="0"/>
                    <w:jc w:val="center"/>
                    <w:rPr>
                      <w:bCs/>
                      <w:snapToGrid w:val="0"/>
                      <w:sz w:val="21"/>
                      <w:szCs w:val="21"/>
                      <w:u w:val="none" w:color="auto"/>
                    </w:rPr>
                  </w:pPr>
                  <w:r>
                    <w:rPr>
                      <w:bCs/>
                      <w:snapToGrid w:val="0"/>
                      <w:sz w:val="21"/>
                      <w:szCs w:val="21"/>
                      <w:u w:val="none" w:color="auto"/>
                    </w:rPr>
                    <w:t>建设内容</w:t>
                  </w:r>
                </w:p>
              </w:tc>
              <w:tc>
                <w:tcPr>
                  <w:tcW w:w="2028" w:type="pct"/>
                  <w:tcBorders>
                    <w:tl2br w:val="nil"/>
                    <w:tr2bl w:val="nil"/>
                  </w:tcBorders>
                  <w:noWrap w:val="0"/>
                  <w:vAlign w:val="top"/>
                </w:tcPr>
                <w:p w14:paraId="42BA9555">
                  <w:pPr>
                    <w:autoSpaceDE w:val="0"/>
                    <w:autoSpaceDN w:val="0"/>
                    <w:jc w:val="both"/>
                    <w:rPr>
                      <w:bCs/>
                      <w:snapToGrid w:val="0"/>
                      <w:sz w:val="21"/>
                      <w:szCs w:val="21"/>
                      <w:u w:val="none" w:color="auto"/>
                    </w:rPr>
                  </w:pPr>
                  <w:r>
                    <w:rPr>
                      <w:rFonts w:hint="eastAsia"/>
                      <w:bCs/>
                      <w:snapToGrid w:val="0"/>
                      <w:sz w:val="21"/>
                      <w:szCs w:val="21"/>
                      <w:u w:val="none" w:color="auto"/>
                    </w:rPr>
                    <w:t>项目依托公司现有厂房实施技术改造，购置正负极匀浆系统、涂布机、辊压机、卷绕机、化成分容设备、配套公用工程系统等810余台(套)高效节能型锂离子电池全自动生产线设备，形成年产6亿支锂离子电池的生产能力。覆盖锂离子电池极片制作、电芯卷绕、装配注液、封口清洗、化成分容、后段包装全生产流程及配套公用工程作业。项目核心围绕产品结构优化开展产线技术改造，通过工艺升级与设备更新，实现生产效能提升、能耗降低、产品品质优化，推动锂电产业提档升级。</w:t>
                  </w:r>
                </w:p>
              </w:tc>
              <w:tc>
                <w:tcPr>
                  <w:tcW w:w="1883" w:type="pct"/>
                  <w:tcBorders>
                    <w:tl2br w:val="nil"/>
                    <w:tr2bl w:val="nil"/>
                  </w:tcBorders>
                  <w:noWrap w:val="0"/>
                  <w:vAlign w:val="top"/>
                </w:tcPr>
                <w:p w14:paraId="3EB3AEF4">
                  <w:pPr>
                    <w:autoSpaceDE w:val="0"/>
                    <w:autoSpaceDN w:val="0"/>
                    <w:jc w:val="both"/>
                    <w:rPr>
                      <w:rFonts w:hint="eastAsia"/>
                      <w:bCs/>
                      <w:snapToGrid w:val="0"/>
                      <w:sz w:val="21"/>
                      <w:szCs w:val="21"/>
                      <w:u w:val="none" w:color="auto"/>
                    </w:rPr>
                  </w:pPr>
                  <w:r>
                    <w:rPr>
                      <w:rFonts w:hint="eastAsia"/>
                      <w:bCs/>
                      <w:snapToGrid w:val="0"/>
                      <w:sz w:val="21"/>
                      <w:szCs w:val="21"/>
                      <w:u w:val="none" w:color="auto"/>
                    </w:rPr>
                    <w:t>项目依托公司现有厂房实施技术改造，购置正负极匀浆系统、涂布机、辊压机、卷绕机、化成分容设备、配套公用工程系统等，形成年产6亿支锂离子电池的生产能力。</w:t>
                  </w:r>
                  <w:r>
                    <w:rPr>
                      <w:rFonts w:hint="eastAsia"/>
                      <w:bCs/>
                      <w:snapToGrid w:val="0"/>
                      <w:sz w:val="21"/>
                      <w:szCs w:val="21"/>
                      <w:u w:val="none" w:color="auto"/>
                      <w:lang w:val="en-US" w:eastAsia="zh-CN"/>
                    </w:rPr>
                    <w:t>主要生产工艺包含正负极制片、卷绕入壳、烘烤、装配、注液、封口清洗、化成、陈化分容、分选套膜等</w:t>
                  </w:r>
                  <w:r>
                    <w:rPr>
                      <w:rFonts w:hint="eastAsia"/>
                      <w:bCs/>
                      <w:snapToGrid w:val="0"/>
                      <w:sz w:val="21"/>
                      <w:szCs w:val="21"/>
                      <w:u w:val="none" w:color="auto"/>
                    </w:rPr>
                    <w:t>。</w:t>
                  </w:r>
                </w:p>
              </w:tc>
              <w:tc>
                <w:tcPr>
                  <w:tcW w:w="594" w:type="pct"/>
                  <w:tcBorders>
                    <w:tl2br w:val="nil"/>
                    <w:tr2bl w:val="nil"/>
                  </w:tcBorders>
                  <w:noWrap w:val="0"/>
                  <w:vAlign w:val="center"/>
                </w:tcPr>
                <w:p w14:paraId="78CF66B0">
                  <w:pPr>
                    <w:autoSpaceDE w:val="0"/>
                    <w:autoSpaceDN w:val="0"/>
                    <w:jc w:val="center"/>
                    <w:rPr>
                      <w:rFonts w:hint="default" w:eastAsia="宋体"/>
                      <w:bCs/>
                      <w:snapToGrid w:val="0"/>
                      <w:sz w:val="21"/>
                      <w:szCs w:val="21"/>
                      <w:u w:val="none" w:color="auto"/>
                      <w:lang w:val="en-US" w:eastAsia="zh-CN"/>
                    </w:rPr>
                  </w:pPr>
                  <w:r>
                    <w:rPr>
                      <w:rFonts w:hint="eastAsia"/>
                      <w:bCs/>
                      <w:snapToGrid w:val="0"/>
                      <w:sz w:val="21"/>
                      <w:szCs w:val="21"/>
                      <w:u w:val="none" w:color="auto"/>
                      <w:lang w:val="en-US" w:eastAsia="zh-CN"/>
                    </w:rPr>
                    <w:t>生产工艺细化，</w:t>
                  </w:r>
                  <w:r>
                    <w:rPr>
                      <w:rFonts w:hint="eastAsia" w:eastAsia="宋体"/>
                      <w:bCs/>
                      <w:snapToGrid w:val="0"/>
                      <w:sz w:val="21"/>
                      <w:szCs w:val="21"/>
                      <w:u w:val="none" w:color="auto"/>
                      <w:lang w:val="en-US" w:eastAsia="zh-CN"/>
                    </w:rPr>
                    <w:t>基本一致</w:t>
                  </w:r>
                </w:p>
              </w:tc>
            </w:tr>
          </w:tbl>
          <w:p w14:paraId="4E37E1A0">
            <w:pPr>
              <w:spacing w:line="440" w:lineRule="exact"/>
              <w:ind w:firstLine="480" w:firstLineChars="200"/>
              <w:textAlignment w:val="baseline"/>
              <w:rPr>
                <w:rFonts w:hint="eastAsia"/>
                <w:b w:val="0"/>
                <w:bCs w:val="0"/>
                <w:color w:val="000000"/>
                <w:sz w:val="24"/>
                <w:u w:val="none" w:color="auto"/>
                <w:lang w:val="en-US" w:eastAsia="zh-CN"/>
              </w:rPr>
            </w:pPr>
            <w:r>
              <w:rPr>
                <w:rFonts w:hint="eastAsia"/>
                <w:b w:val="0"/>
                <w:bCs w:val="0"/>
                <w:color w:val="000000"/>
                <w:sz w:val="24"/>
                <w:u w:val="none" w:color="auto"/>
                <w:lang w:val="en-US" w:eastAsia="zh-CN"/>
              </w:rPr>
              <w:t>备注：企业已于 2026 年 4 月 9 日完成弘力新能源（新乡）有限公司厂房提质改造建设项目备案，备案代码：2604-410771-04-01-863970，备案建设性质为新建。该项目建设内容：对厂区内 4 栋生产厂房实施提质改造，总建筑面积 154000㎡；拆除原有低速车辆生产线设备，开展车间装修翻新、消防设施升级、建筑结构合规改造，将原丁、戊类厂房改造提升为丙类标准厂房，改造内容仅为建筑载体升级，项目实施前厂区无锂离子电池相关生产设施及产能，不形成锂电生产能力。</w:t>
            </w:r>
          </w:p>
          <w:p w14:paraId="50882A7E">
            <w:pPr>
              <w:spacing w:line="440" w:lineRule="exact"/>
              <w:ind w:firstLine="480" w:firstLineChars="200"/>
              <w:textAlignment w:val="baseline"/>
              <w:rPr>
                <w:rFonts w:hint="eastAsia"/>
                <w:b w:val="0"/>
                <w:bCs w:val="0"/>
                <w:color w:val="000000"/>
                <w:sz w:val="24"/>
                <w:u w:val="none" w:color="auto"/>
                <w:lang w:val="en-US" w:eastAsia="zh-CN"/>
              </w:rPr>
            </w:pPr>
            <w:r>
              <w:rPr>
                <w:rFonts w:hint="eastAsia"/>
                <w:b w:val="0"/>
                <w:bCs w:val="0"/>
                <w:color w:val="000000"/>
                <w:sz w:val="24"/>
                <w:u w:val="none" w:color="auto"/>
                <w:lang w:val="en-US" w:eastAsia="zh-CN"/>
              </w:rPr>
              <w:t>上述厂房提质改造项目仅实施厂房建筑改造工程，不含锂离子电池生产工艺、生产设备及产能建设。依据《建设项目环境影响评价分类管理名录（2021 年版）》第五条及第 97 项相关规定，不涉及环境敏感区的标准厂房建设项目不纳入环评管理，因此该厂房提质改造项目无需开展环境影响评价。</w:t>
            </w:r>
          </w:p>
          <w:p w14:paraId="626C0FF0">
            <w:pPr>
              <w:spacing w:line="440" w:lineRule="exact"/>
              <w:ind w:firstLine="480" w:firstLineChars="200"/>
              <w:textAlignment w:val="baseline"/>
              <w:rPr>
                <w:rFonts w:hint="eastAsia"/>
                <w:b w:val="0"/>
                <w:bCs w:val="0"/>
                <w:color w:val="000000"/>
                <w:sz w:val="24"/>
                <w:u w:val="none" w:color="auto"/>
                <w:lang w:val="en-US" w:eastAsia="zh-CN"/>
              </w:rPr>
            </w:pPr>
            <w:r>
              <w:rPr>
                <w:rFonts w:hint="eastAsia"/>
                <w:b w:val="0"/>
                <w:bCs w:val="0"/>
                <w:color w:val="000000"/>
                <w:sz w:val="24"/>
                <w:u w:val="none" w:color="auto"/>
                <w:lang w:val="en-US" w:eastAsia="zh-CN"/>
              </w:rPr>
              <w:t>依据发改部门固定资产投资项目备案实操管理要求：同一宗土地、同一厂区范围内，不可重复以新建性质备案厂房土建类工程。先期备案项目仅解决厂房硬件条件，未配套任何锂电生产系统；本次拟建年产 6 亿只锂离子电池项目核心建设内容为新增锂离子电池全套生产工艺装置、公辅及环保设施，厂区内此前不存在同类锂电生产产能，本项目建成后首次形成锂离子电池生产能力。</w:t>
            </w:r>
          </w:p>
          <w:p w14:paraId="5AE9C914">
            <w:pPr>
              <w:spacing w:line="440" w:lineRule="exact"/>
              <w:ind w:firstLine="480" w:firstLineChars="200"/>
              <w:textAlignment w:val="baseline"/>
              <w:rPr>
                <w:rFonts w:hint="eastAsia"/>
                <w:b w:val="0"/>
                <w:bCs w:val="0"/>
                <w:color w:val="000000"/>
                <w:sz w:val="24"/>
                <w:u w:val="none" w:color="auto"/>
                <w:lang w:val="en-US" w:eastAsia="zh-CN"/>
              </w:rPr>
            </w:pPr>
            <w:r>
              <w:rPr>
                <w:rFonts w:hint="eastAsia"/>
                <w:b w:val="0"/>
                <w:bCs w:val="0"/>
                <w:color w:val="000000"/>
                <w:sz w:val="24"/>
                <w:u w:val="none" w:color="auto"/>
                <w:lang w:val="en-US" w:eastAsia="zh-CN"/>
              </w:rPr>
              <w:t>综合以上工程特征，本项目建设性质确定为新建</w:t>
            </w:r>
          </w:p>
          <w:p w14:paraId="793D27F5">
            <w:pPr>
              <w:spacing w:line="440" w:lineRule="exact"/>
              <w:ind w:firstLine="480" w:firstLineChars="200"/>
              <w:textAlignment w:val="baseline"/>
              <w:rPr>
                <w:rFonts w:hint="default"/>
                <w:b w:val="0"/>
                <w:bCs w:val="0"/>
                <w:color w:val="000000"/>
                <w:sz w:val="24"/>
                <w:u w:val="none" w:color="auto"/>
                <w:lang w:val="en-US" w:eastAsia="zh-CN"/>
              </w:rPr>
            </w:pPr>
            <w:r>
              <w:rPr>
                <w:rFonts w:hint="eastAsia"/>
                <w:b w:val="0"/>
                <w:bCs w:val="0"/>
                <w:color w:val="000000"/>
                <w:sz w:val="24"/>
                <w:u w:val="none" w:color="auto"/>
                <w:lang w:val="en-US" w:eastAsia="zh-CN"/>
              </w:rPr>
              <w:t>综上所述，本项目与备案基本一致。</w:t>
            </w:r>
          </w:p>
          <w:p w14:paraId="2840E50C">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u w:val="none" w:color="auto"/>
                <w:lang w:val="en-US" w:eastAsia="zh-CN"/>
              </w:rPr>
            </w:pPr>
            <w:r>
              <w:rPr>
                <w:rFonts w:hint="eastAsia" w:ascii="Times New Roman" w:hAnsi="Times New Roman" w:eastAsia="宋体" w:cs="Times New Roman"/>
                <w:b/>
                <w:bCs/>
                <w:sz w:val="24"/>
                <w:u w:val="none" w:color="auto"/>
                <w:lang w:val="en-US" w:eastAsia="zh-CN"/>
              </w:rPr>
              <w:t>3、“三线一单”符合性分析</w:t>
            </w:r>
          </w:p>
          <w:p w14:paraId="55C7F5D8">
            <w:pPr>
              <w:spacing w:line="440" w:lineRule="exact"/>
              <w:ind w:firstLine="480" w:firstLineChars="200"/>
              <w:textAlignment w:val="baseline"/>
              <w:rPr>
                <w:rFonts w:hint="eastAsia"/>
                <w:b w:val="0"/>
                <w:bCs w:val="0"/>
                <w:color w:val="000000"/>
                <w:sz w:val="24"/>
                <w:u w:val="none" w:color="auto"/>
              </w:rPr>
            </w:pPr>
            <w:r>
              <w:rPr>
                <w:rFonts w:hint="eastAsia"/>
                <w:b w:val="0"/>
                <w:bCs w:val="0"/>
                <w:color w:val="000000"/>
                <w:sz w:val="24"/>
                <w:u w:val="none" w:color="auto"/>
                <w:lang w:val="en-US" w:eastAsia="zh-CN"/>
              </w:rPr>
              <w:t>根据《关于以改善环境质量为核心加强环境影响评价管理的通知》（环评[2016]150号）要求，落实“生态保护红线、环境质量底线、资源利用上线和环境准入负面清单”（以下简称“三线一单”）约束，现分析如下：</w:t>
            </w:r>
          </w:p>
          <w:p w14:paraId="42CEFFBF">
            <w:pPr>
              <w:spacing w:line="440" w:lineRule="exact"/>
              <w:ind w:firstLine="482" w:firstLineChars="200"/>
              <w:textAlignment w:val="baseline"/>
              <w:rPr>
                <w:b/>
                <w:bCs/>
                <w:color w:val="000000"/>
                <w:sz w:val="24"/>
                <w:u w:val="none" w:color="auto"/>
              </w:rPr>
            </w:pPr>
            <w:r>
              <w:rPr>
                <w:rFonts w:hint="eastAsia"/>
                <w:b/>
                <w:bCs/>
                <w:color w:val="000000"/>
                <w:sz w:val="24"/>
                <w:u w:val="none" w:color="auto"/>
              </w:rPr>
              <w:t>（1）生态保护红线相符性分析</w:t>
            </w:r>
          </w:p>
          <w:p w14:paraId="6F5597FC">
            <w:pPr>
              <w:spacing w:line="440" w:lineRule="exact"/>
              <w:ind w:firstLine="480" w:firstLineChars="200"/>
              <w:textAlignment w:val="baseline"/>
              <w:rPr>
                <w:rFonts w:hint="default" w:eastAsia="宋体"/>
                <w:color w:val="000000"/>
                <w:sz w:val="24"/>
                <w:u w:val="none" w:color="auto"/>
                <w:lang w:val="en-US" w:eastAsia="zh-CN"/>
              </w:rPr>
            </w:pPr>
            <w:r>
              <w:rPr>
                <w:color w:val="000000"/>
                <w:sz w:val="24"/>
                <w:u w:val="none" w:color="auto"/>
              </w:rPr>
              <w:t>本项目位于</w:t>
            </w:r>
            <w:r>
              <w:rPr>
                <w:rFonts w:hint="eastAsia"/>
                <w:color w:val="000000"/>
                <w:sz w:val="24"/>
                <w:u w:val="none" w:color="auto"/>
              </w:rPr>
              <w:t>新乡市新乡高新技术产业开发区新中大道与德源路交叉口西南角，</w:t>
            </w:r>
            <w:r>
              <w:rPr>
                <w:rFonts w:hint="eastAsia"/>
                <w:color w:val="000000"/>
                <w:sz w:val="24"/>
                <w:u w:val="none" w:color="auto"/>
                <w:lang w:val="en-US" w:eastAsia="zh-CN"/>
              </w:rPr>
              <w:t>本项目利用现有车间进行建设，不新增占地。经查阅《河南省生态环境分区管控应用平台》，本项目属于重点管控单元，不涉及生态保护红线，见图1-1。</w:t>
            </w:r>
          </w:p>
          <w:p w14:paraId="2B3A734A">
            <w:pPr>
              <w:spacing w:line="440" w:lineRule="exact"/>
              <w:ind w:firstLine="482" w:firstLineChars="200"/>
              <w:textAlignment w:val="baseline"/>
              <w:rPr>
                <w:b/>
                <w:color w:val="000000"/>
                <w:sz w:val="24"/>
                <w:u w:val="none" w:color="auto"/>
              </w:rPr>
            </w:pPr>
            <w:r>
              <w:rPr>
                <w:rFonts w:hint="eastAsia"/>
                <w:b/>
                <w:color w:val="000000"/>
                <w:sz w:val="24"/>
                <w:u w:val="none" w:color="auto"/>
              </w:rPr>
              <w:t>（2）环境质量底线相符性分析</w:t>
            </w:r>
          </w:p>
          <w:p w14:paraId="65AE41A7">
            <w:pPr>
              <w:spacing w:line="440" w:lineRule="exact"/>
              <w:ind w:firstLine="480" w:firstLineChars="200"/>
              <w:textAlignment w:val="baseline"/>
              <w:rPr>
                <w:rFonts w:hint="default"/>
                <w:color w:val="000000" w:themeColor="text1"/>
                <w:sz w:val="24"/>
                <w:u w:val="none" w:color="auto"/>
                <w:lang w:val="en-US" w:eastAsia="zh-CN"/>
                <w14:textFill>
                  <w14:solidFill>
                    <w14:schemeClr w14:val="tx1"/>
                  </w14:solidFill>
                </w14:textFill>
              </w:rPr>
            </w:pPr>
            <w:r>
              <w:rPr>
                <w:rFonts w:hint="eastAsia"/>
                <w:color w:val="000000" w:themeColor="text1"/>
                <w:sz w:val="24"/>
                <w:u w:val="none" w:color="auto"/>
                <w14:textFill>
                  <w14:solidFill>
                    <w14:schemeClr w14:val="tx1"/>
                  </w14:solidFill>
                </w14:textFill>
              </w:rPr>
              <w:t>本项目厂址位于新乡市新乡高新技术产业开发区新中大道与德源路交叉口西南角，区域环境空气为二类功能区，正极配料，涂布烘干</w:t>
            </w:r>
            <w:r>
              <w:rPr>
                <w:rFonts w:hint="eastAsia"/>
                <w:color w:val="000000" w:themeColor="text1"/>
                <w:sz w:val="24"/>
                <w:u w:val="none" w:color="auto"/>
                <w:lang w:val="en-US" w:eastAsia="zh-CN"/>
                <w14:textFill>
                  <w14:solidFill>
                    <w14:schemeClr w14:val="tx1"/>
                  </w14:solidFill>
                </w14:textFill>
              </w:rPr>
              <w:t>废气</w:t>
            </w:r>
            <w:r>
              <w:rPr>
                <w:rFonts w:hint="eastAsia"/>
                <w:color w:val="000000" w:themeColor="text1"/>
                <w:sz w:val="24"/>
                <w:u w:val="none" w:color="auto"/>
                <w14:textFill>
                  <w14:solidFill>
                    <w14:schemeClr w14:val="tx1"/>
                  </w14:solidFill>
                </w14:textFill>
              </w:rPr>
              <w:t>经NMP高塔回收系统处理后，尾气经密闭管道通过一根1根</w:t>
            </w:r>
            <w:r>
              <w:rPr>
                <w:rFonts w:hint="eastAsia"/>
                <w:color w:val="000000" w:themeColor="text1"/>
                <w:sz w:val="24"/>
                <w:u w:val="none" w:color="auto"/>
                <w:lang w:val="en-US" w:eastAsia="zh-CN"/>
                <w14:textFill>
                  <w14:solidFill>
                    <w14:schemeClr w14:val="tx1"/>
                  </w14:solidFill>
                </w14:textFill>
              </w:rPr>
              <w:t>25</w:t>
            </w:r>
            <w:r>
              <w:rPr>
                <w:rFonts w:hint="eastAsia"/>
                <w:color w:val="000000" w:themeColor="text1"/>
                <w:sz w:val="24"/>
                <w:u w:val="none" w:color="auto"/>
                <w14:textFill>
                  <w14:solidFill>
                    <w14:schemeClr w14:val="tx1"/>
                  </w14:solidFill>
                </w14:textFill>
              </w:rPr>
              <w:t>m高排气筒（DA001）排放。注液工序抽真空尾气经收集系统收集后，由活性炭吸附脱附+催化燃烧装置治理后经1根</w:t>
            </w:r>
            <w:r>
              <w:rPr>
                <w:rFonts w:hint="eastAsia"/>
                <w:color w:val="000000" w:themeColor="text1"/>
                <w:sz w:val="24"/>
                <w:u w:val="none" w:color="auto"/>
                <w:lang w:val="en-US" w:eastAsia="zh-CN"/>
                <w14:textFill>
                  <w14:solidFill>
                    <w14:schemeClr w14:val="tx1"/>
                  </w14:solidFill>
                </w14:textFill>
              </w:rPr>
              <w:t>25</w:t>
            </w:r>
            <w:r>
              <w:rPr>
                <w:rFonts w:hint="eastAsia"/>
                <w:color w:val="000000" w:themeColor="text1"/>
                <w:sz w:val="24"/>
                <w:u w:val="none" w:color="auto"/>
                <w14:textFill>
                  <w14:solidFill>
                    <w14:schemeClr w14:val="tx1"/>
                  </w14:solidFill>
                </w14:textFill>
              </w:rPr>
              <w:t>m高排气筒（DA001）排放</w:t>
            </w:r>
            <w:r>
              <w:rPr>
                <w:rFonts w:hint="eastAsia"/>
                <w:color w:val="000000" w:themeColor="text1"/>
                <w:sz w:val="24"/>
                <w:u w:val="none" w:color="auto"/>
                <w:lang w:val="en-US" w:eastAsia="zh-CN"/>
                <w14:textFill>
                  <w14:solidFill>
                    <w14:schemeClr w14:val="tx1"/>
                  </w14:solidFill>
                </w14:textFill>
              </w:rPr>
              <w:t>；</w:t>
            </w:r>
            <w:r>
              <w:rPr>
                <w:rFonts w:hint="eastAsia"/>
                <w:color w:val="000000" w:themeColor="text1"/>
                <w:sz w:val="24"/>
                <w:u w:val="none" w:color="auto"/>
                <w14:textFill>
                  <w14:solidFill>
                    <w14:schemeClr w14:val="tx1"/>
                  </w14:solidFill>
                </w14:textFill>
              </w:rPr>
              <w:t>正负极配料、投料工序产生的颗粒物</w:t>
            </w:r>
            <w:r>
              <w:rPr>
                <w:rFonts w:hint="eastAsia"/>
                <w:color w:val="000000" w:themeColor="text1"/>
                <w:sz w:val="24"/>
                <w:u w:val="none" w:color="auto"/>
                <w:lang w:val="en-US" w:eastAsia="zh-CN"/>
                <w14:textFill>
                  <w14:solidFill>
                    <w14:schemeClr w14:val="tx1"/>
                  </w14:solidFill>
                </w14:textFill>
              </w:rPr>
              <w:t>分别经配套的滤芯除尘器处理，尾气经一根25m高排气筒（DA002）排放；污水处理站产生的恶臭气体经加盖收集后引入生物除臭池处理后通过一根15m高排气筒（DA003）排放。设备清洗废水、地面清洗废水经化学混凝沉淀池沉淀后与纯水制备浓水、反冲洗废水、电池清洗废水一并排入厂区污水处理站（处理能力：800t/d；处理工艺：“混凝沉淀+水解酸化（厌氧）+AO工艺”）后，经生产废水排放口（DW002）排入新乡市贾屯污水处理厂进一步处理；生活污水经化粪池处理后通过生活污水排放口排放（DW001）排入新乡市贾屯污水处理厂进一步处理。</w:t>
            </w:r>
          </w:p>
          <w:p w14:paraId="645B1BBE">
            <w:pPr>
              <w:spacing w:line="440" w:lineRule="exact"/>
              <w:ind w:firstLine="480" w:firstLineChars="200"/>
              <w:textAlignment w:val="baseline"/>
              <w:rPr>
                <w:color w:val="000000" w:themeColor="text1"/>
                <w:sz w:val="24"/>
                <w:u w:val="none" w:color="auto"/>
                <w14:textFill>
                  <w14:solidFill>
                    <w14:schemeClr w14:val="tx1"/>
                  </w14:solidFill>
                </w14:textFill>
              </w:rPr>
            </w:pPr>
            <w:r>
              <w:rPr>
                <w:rFonts w:hint="eastAsia"/>
                <w:color w:val="000000" w:themeColor="text1"/>
                <w:sz w:val="24"/>
                <w:u w:val="none" w:color="auto"/>
                <w:lang w:val="en-US" w:eastAsia="zh-CN"/>
                <w14:textFill>
                  <w14:solidFill>
                    <w14:schemeClr w14:val="tx1"/>
                  </w14:solidFill>
                </w14:textFill>
              </w:rPr>
              <w:t>本项目建成后，废气、废水、噪声都能够实现达标排放，固废均进行了无害化</w:t>
            </w:r>
            <w:r>
              <w:rPr>
                <w:color w:val="000000" w:themeColor="text1"/>
                <w:sz w:val="24"/>
                <w:u w:val="none" w:color="auto"/>
                <w14:textFill>
                  <w14:solidFill>
                    <w14:schemeClr w14:val="tx1"/>
                  </w14:solidFill>
                </w14:textFill>
              </w:rPr>
              <w:t>处置或资源化利用。本项目</w:t>
            </w:r>
            <w:r>
              <w:rPr>
                <w:rFonts w:hint="eastAsia"/>
                <w:color w:val="000000" w:themeColor="text1"/>
                <w:sz w:val="24"/>
                <w:u w:val="none" w:color="auto"/>
                <w14:textFill>
                  <w14:solidFill>
                    <w14:schemeClr w14:val="tx1"/>
                  </w14:solidFill>
                </w14:textFill>
              </w:rPr>
              <w:t>的建设</w:t>
            </w:r>
            <w:r>
              <w:rPr>
                <w:color w:val="000000" w:themeColor="text1"/>
                <w:sz w:val="24"/>
                <w:u w:val="none" w:color="auto"/>
                <w14:textFill>
                  <w14:solidFill>
                    <w14:schemeClr w14:val="tx1"/>
                  </w14:solidFill>
                </w14:textFill>
              </w:rPr>
              <w:t>不会对区域环境质量底线造成冲击，满足环境质量底线的要求。</w:t>
            </w:r>
          </w:p>
          <w:p w14:paraId="18AEBE6F">
            <w:pPr>
              <w:spacing w:line="440" w:lineRule="exact"/>
              <w:ind w:firstLine="482" w:firstLineChars="200"/>
              <w:textAlignment w:val="baseline"/>
              <w:rPr>
                <w:b/>
                <w:color w:val="000000"/>
                <w:sz w:val="24"/>
                <w:u w:val="none" w:color="auto"/>
              </w:rPr>
            </w:pPr>
            <w:r>
              <w:rPr>
                <w:rFonts w:hint="eastAsia"/>
                <w:b/>
                <w:color w:val="000000"/>
                <w:sz w:val="24"/>
                <w:u w:val="none" w:color="auto"/>
              </w:rPr>
              <w:t>（3）资源利用上线相符性分析</w:t>
            </w:r>
          </w:p>
          <w:p w14:paraId="6975F834">
            <w:pPr>
              <w:spacing w:line="440" w:lineRule="exact"/>
              <w:ind w:firstLine="480" w:firstLineChars="200"/>
              <w:textAlignment w:val="baseline"/>
              <w:rPr>
                <w:rFonts w:ascii="宋体" w:hAnsi="宋体"/>
                <w:color w:val="000000"/>
                <w:u w:val="none" w:color="auto"/>
              </w:rPr>
            </w:pPr>
            <w:r>
              <w:rPr>
                <w:rFonts w:ascii="宋体" w:hAnsi="宋体"/>
                <w:color w:val="000000"/>
                <w:sz w:val="24"/>
                <w:u w:val="none" w:color="auto"/>
              </w:rPr>
              <w:t>本项目</w:t>
            </w:r>
            <w:r>
              <w:rPr>
                <w:rFonts w:hint="eastAsia" w:ascii="宋体" w:hAnsi="宋体"/>
                <w:color w:val="000000"/>
                <w:sz w:val="24"/>
                <w:u w:val="none" w:color="auto"/>
              </w:rPr>
              <w:t>属于</w:t>
            </w:r>
            <w:r>
              <w:rPr>
                <w:rFonts w:hint="eastAsia" w:ascii="宋体" w:hAnsi="宋体"/>
                <w:color w:val="000000"/>
                <w:sz w:val="24"/>
                <w:u w:val="none" w:color="auto"/>
                <w:lang w:val="en-US" w:eastAsia="zh-CN"/>
              </w:rPr>
              <w:t>锂离子电池制造</w:t>
            </w:r>
            <w:r>
              <w:rPr>
                <w:rFonts w:hint="eastAsia" w:ascii="宋体" w:hAnsi="宋体"/>
                <w:color w:val="000000"/>
                <w:sz w:val="24"/>
                <w:u w:val="none" w:color="auto"/>
              </w:rPr>
              <w:t>。</w:t>
            </w:r>
            <w:r>
              <w:rPr>
                <w:rFonts w:hint="eastAsia" w:ascii="宋体" w:hAnsi="宋体"/>
                <w:sz w:val="24"/>
                <w:u w:val="none" w:color="auto"/>
              </w:rPr>
              <w:t>本项目水资源使用量少，不属于高耗水工业行业。本项目</w:t>
            </w:r>
            <w:r>
              <w:rPr>
                <w:rFonts w:hint="eastAsia" w:ascii="宋体" w:hAnsi="宋体"/>
                <w:sz w:val="24"/>
                <w:u w:val="none" w:color="auto"/>
                <w:lang w:val="en-US" w:eastAsia="zh-CN"/>
              </w:rPr>
              <w:t>利用</w:t>
            </w:r>
            <w:r>
              <w:rPr>
                <w:rFonts w:hint="eastAsia" w:ascii="宋体" w:hAnsi="宋体"/>
                <w:sz w:val="24"/>
                <w:u w:val="none" w:color="auto"/>
              </w:rPr>
              <w:t>现有厂房</w:t>
            </w:r>
            <w:r>
              <w:rPr>
                <w:rFonts w:hint="eastAsia" w:ascii="宋体" w:hAnsi="宋体"/>
                <w:sz w:val="24"/>
                <w:u w:val="none" w:color="auto"/>
                <w:lang w:val="en-US" w:eastAsia="zh-CN"/>
              </w:rPr>
              <w:t>进行建设</w:t>
            </w:r>
            <w:r>
              <w:rPr>
                <w:rFonts w:hint="eastAsia" w:ascii="宋体" w:hAnsi="宋体"/>
                <w:sz w:val="24"/>
                <w:u w:val="none" w:color="auto"/>
              </w:rPr>
              <w:t>，对土地资源影响较小。营</w:t>
            </w:r>
            <w:r>
              <w:rPr>
                <w:rFonts w:hint="eastAsia" w:ascii="宋体" w:hAnsi="宋体"/>
                <w:color w:val="000000"/>
                <w:sz w:val="24"/>
                <w:u w:val="none" w:color="auto"/>
              </w:rPr>
              <w:t>运期通过内部管理、设备选择、原辅材料的选用和管理、废物回收利用、污染治理等多方面采取合理可行的防治措施，以“节能、降耗、减污”为目标，有效地控制污染，实现废物资源化。故本项目不会对区域资源利用造成负面影响。</w:t>
            </w:r>
            <w:r>
              <w:rPr>
                <w:rFonts w:ascii="宋体" w:hAnsi="宋体"/>
                <w:color w:val="000000"/>
                <w:sz w:val="24"/>
                <w:u w:val="none" w:color="auto"/>
              </w:rPr>
              <w:t>项目的水、气等资源利用不会突破区域的资源利用</w:t>
            </w:r>
            <w:r>
              <w:rPr>
                <w:rFonts w:hint="eastAsia" w:ascii="宋体" w:hAnsi="宋体"/>
                <w:color w:val="000000"/>
                <w:sz w:val="24"/>
                <w:u w:val="none" w:color="auto"/>
                <w:lang w:val="en-US" w:eastAsia="zh-CN"/>
              </w:rPr>
              <w:t>上线</w:t>
            </w:r>
            <w:r>
              <w:rPr>
                <w:rFonts w:ascii="宋体" w:hAnsi="宋体"/>
                <w:color w:val="000000"/>
                <w:sz w:val="24"/>
                <w:u w:val="none" w:color="auto"/>
              </w:rPr>
              <w:t>。</w:t>
            </w:r>
          </w:p>
          <w:p w14:paraId="3E7F10BA">
            <w:pPr>
              <w:spacing w:line="440" w:lineRule="exact"/>
              <w:ind w:firstLine="482" w:firstLineChars="200"/>
              <w:textAlignment w:val="baseline"/>
              <w:rPr>
                <w:b/>
                <w:bCs/>
                <w:color w:val="000000"/>
                <w:sz w:val="24"/>
                <w:u w:val="none" w:color="auto"/>
              </w:rPr>
            </w:pPr>
            <w:r>
              <w:rPr>
                <w:rFonts w:hint="eastAsia"/>
                <w:b/>
                <w:bCs/>
                <w:color w:val="000000"/>
                <w:sz w:val="24"/>
                <w:u w:val="none" w:color="auto"/>
              </w:rPr>
              <w:t>（4）生态环境准入清单</w:t>
            </w:r>
          </w:p>
          <w:p w14:paraId="6675CD16">
            <w:pPr>
              <w:spacing w:line="440" w:lineRule="exact"/>
              <w:ind w:firstLine="480" w:firstLineChars="200"/>
              <w:textAlignment w:val="baseline"/>
              <w:rPr>
                <w:rFonts w:hint="default" w:ascii="Times New Roman" w:hAnsi="Times New Roman" w:eastAsia="宋体" w:cs="Times New Roman"/>
                <w:sz w:val="24"/>
                <w:szCs w:val="24"/>
                <w:u w:val="none" w:color="auto"/>
                <w:lang w:val="en-US" w:eastAsia="zh-CN"/>
              </w:rPr>
            </w:pPr>
            <w:r>
              <w:rPr>
                <w:rFonts w:hint="default" w:ascii="Times New Roman" w:hAnsi="Times New Roman" w:eastAsia="宋体" w:cs="Times New Roman"/>
                <w:color w:val="000000" w:themeColor="text1"/>
                <w:sz w:val="24"/>
                <w:u w:val="none" w:color="auto"/>
                <w14:textFill>
                  <w14:solidFill>
                    <w14:schemeClr w14:val="tx1"/>
                  </w14:solidFill>
                </w14:textFill>
              </w:rPr>
              <w:t>本项目厂址位于</w:t>
            </w:r>
            <w:r>
              <w:rPr>
                <w:rFonts w:hint="eastAsia"/>
                <w:color w:val="000000" w:themeColor="text1"/>
                <w:sz w:val="24"/>
                <w:u w:val="none" w:color="auto"/>
                <w14:textFill>
                  <w14:solidFill>
                    <w14:schemeClr w14:val="tx1"/>
                  </w14:solidFill>
                </w14:textFill>
              </w:rPr>
              <w:t>新乡市新乡高新技术产业开发区新中大道与德源路交叉口西南角</w:t>
            </w:r>
            <w:r>
              <w:rPr>
                <w:rFonts w:hint="default" w:ascii="Times New Roman" w:hAnsi="Times New Roman" w:eastAsia="宋体" w:cs="Times New Roman"/>
                <w:sz w:val="24"/>
                <w:szCs w:val="24"/>
                <w:u w:val="none" w:color="auto"/>
                <w:lang w:val="en-US" w:eastAsia="zh-CN"/>
              </w:rPr>
              <w:t>，根据《新乡市“三线一单”生态环境准入清单》（2023年版）可知，本项目属于重点管控单元，本项目位于重点管控单元，单元名称：新乡高新技术产业开发区，单元编码：ZH41070220003，本项目所在河南省三线一单综合信息平台查询如下：</w:t>
            </w:r>
          </w:p>
          <w:p w14:paraId="46BB99AB">
            <w:pPr>
              <w:spacing w:line="440" w:lineRule="exact"/>
              <w:ind w:firstLine="480" w:firstLineChars="200"/>
              <w:textAlignment w:val="baseline"/>
              <w:rPr>
                <w:rFonts w:hint="default" w:ascii="Times New Roman" w:hAnsi="Times New Roman" w:eastAsia="宋体" w:cs="Times New Roman"/>
                <w:sz w:val="24"/>
                <w:szCs w:val="24"/>
                <w:u w:val="none" w:color="auto"/>
                <w:lang w:val="en-US" w:eastAsia="zh-CN"/>
              </w:rPr>
            </w:pPr>
          </w:p>
          <w:p w14:paraId="4A5F55D3">
            <w:pPr>
              <w:spacing w:line="440" w:lineRule="exact"/>
              <w:ind w:firstLine="480" w:firstLineChars="200"/>
              <w:textAlignment w:val="baseline"/>
              <w:rPr>
                <w:rFonts w:hint="default" w:ascii="Times New Roman" w:hAnsi="Times New Roman" w:eastAsia="宋体" w:cs="Times New Roman"/>
                <w:sz w:val="24"/>
                <w:szCs w:val="24"/>
                <w:u w:val="none" w:color="auto"/>
                <w:lang w:val="en-US" w:eastAsia="zh-CN"/>
              </w:rPr>
            </w:pPr>
          </w:p>
          <w:p w14:paraId="38F4B05F">
            <w:pPr>
              <w:spacing w:line="440" w:lineRule="exact"/>
              <w:ind w:firstLine="480" w:firstLineChars="200"/>
              <w:textAlignment w:val="baseline"/>
              <w:rPr>
                <w:rFonts w:hint="default" w:ascii="Times New Roman" w:hAnsi="Times New Roman" w:eastAsia="宋体" w:cs="Times New Roman"/>
                <w:sz w:val="24"/>
                <w:szCs w:val="24"/>
                <w:u w:val="none" w:color="auto"/>
                <w:lang w:val="en-US" w:eastAsia="zh-CN"/>
              </w:rPr>
            </w:pPr>
          </w:p>
          <w:p w14:paraId="4EAB43D6">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default" w:ascii="Times New Roman" w:hAnsi="Times New Roman" w:eastAsia="宋体" w:cs="Times New Roman"/>
                <w:sz w:val="24"/>
                <w:u w:val="none" w:color="auto"/>
                <w:lang w:val="en-US" w:eastAsia="zh-CN"/>
              </w:rPr>
            </w:pPr>
            <w:r>
              <w:rPr>
                <w:u w:val="none" w:color="auto"/>
              </w:rPr>
              <w:drawing>
                <wp:anchor distT="0" distB="0" distL="114300" distR="114300" simplePos="0" relativeHeight="251662336" behindDoc="0" locked="0" layoutInCell="1" allowOverlap="1">
                  <wp:simplePos x="0" y="0"/>
                  <wp:positionH relativeFrom="column">
                    <wp:posOffset>50165</wp:posOffset>
                  </wp:positionH>
                  <wp:positionV relativeFrom="paragraph">
                    <wp:posOffset>5080</wp:posOffset>
                  </wp:positionV>
                  <wp:extent cx="4676140" cy="2301875"/>
                  <wp:effectExtent l="0" t="0" r="10160" b="3175"/>
                  <wp:wrapNone/>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pic:cNvPicPr>
                            <a:picLocks noChangeAspect="1"/>
                          </pic:cNvPicPr>
                        </pic:nvPicPr>
                        <pic:blipFill>
                          <a:blip r:embed="rId27"/>
                          <a:stretch>
                            <a:fillRect/>
                          </a:stretch>
                        </pic:blipFill>
                        <pic:spPr>
                          <a:xfrm>
                            <a:off x="0" y="0"/>
                            <a:ext cx="4676140" cy="2301875"/>
                          </a:xfrm>
                          <a:prstGeom prst="rect">
                            <a:avLst/>
                          </a:prstGeom>
                          <a:noFill/>
                          <a:ln>
                            <a:noFill/>
                          </a:ln>
                        </pic:spPr>
                      </pic:pic>
                    </a:graphicData>
                  </a:graphic>
                </wp:anchor>
              </w:drawing>
            </w:r>
          </w:p>
          <w:p w14:paraId="4AFEE570">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default" w:ascii="Times New Roman" w:hAnsi="Times New Roman" w:eastAsia="宋体" w:cs="Times New Roman"/>
                <w:sz w:val="24"/>
                <w:u w:val="none" w:color="auto"/>
                <w:lang w:val="en-US" w:eastAsia="zh-CN"/>
              </w:rPr>
            </w:pPr>
          </w:p>
          <w:p w14:paraId="37B1022D">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default" w:ascii="Times New Roman" w:hAnsi="Times New Roman" w:eastAsia="宋体" w:cs="Times New Roman"/>
                <w:sz w:val="24"/>
                <w:u w:val="none" w:color="auto"/>
                <w:lang w:val="en-US" w:eastAsia="zh-CN"/>
              </w:rPr>
            </w:pPr>
          </w:p>
          <w:p w14:paraId="6FC74DEF">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default" w:ascii="Times New Roman" w:hAnsi="Times New Roman" w:eastAsia="宋体" w:cs="Times New Roman"/>
                <w:sz w:val="24"/>
                <w:u w:val="none" w:color="auto"/>
                <w:lang w:val="en-US" w:eastAsia="zh-CN"/>
              </w:rPr>
            </w:pPr>
          </w:p>
          <w:p w14:paraId="7A733E5A">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default" w:ascii="Times New Roman" w:hAnsi="Times New Roman" w:eastAsia="宋体" w:cs="Times New Roman"/>
                <w:sz w:val="24"/>
                <w:u w:val="none" w:color="auto"/>
                <w:lang w:val="en-US" w:eastAsia="zh-CN"/>
              </w:rPr>
            </w:pPr>
          </w:p>
          <w:p w14:paraId="023B3970">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default" w:ascii="Times New Roman" w:hAnsi="Times New Roman" w:eastAsia="宋体" w:cs="Times New Roman"/>
                <w:sz w:val="24"/>
                <w:u w:val="none" w:color="auto"/>
                <w:lang w:val="en-US" w:eastAsia="zh-CN"/>
              </w:rPr>
            </w:pPr>
            <w:r>
              <w:rPr>
                <w:sz w:val="24"/>
                <w:u w:val="none" w:color="auto"/>
              </w:rPr>
              <mc:AlternateContent>
                <mc:Choice Requires="wps">
                  <w:drawing>
                    <wp:anchor distT="0" distB="0" distL="114300" distR="114300" simplePos="0" relativeHeight="251663360" behindDoc="0" locked="0" layoutInCell="1" allowOverlap="1">
                      <wp:simplePos x="0" y="0"/>
                      <wp:positionH relativeFrom="column">
                        <wp:posOffset>2321560</wp:posOffset>
                      </wp:positionH>
                      <wp:positionV relativeFrom="paragraph">
                        <wp:posOffset>54610</wp:posOffset>
                      </wp:positionV>
                      <wp:extent cx="914400" cy="267970"/>
                      <wp:effectExtent l="6350" t="6350" r="12700" b="87630"/>
                      <wp:wrapNone/>
                      <wp:docPr id="49" name="矩形标注 49"/>
                      <wp:cNvGraphicFramePr/>
                      <a:graphic xmlns:a="http://schemas.openxmlformats.org/drawingml/2006/main">
                        <a:graphicData uri="http://schemas.microsoft.com/office/word/2010/wordprocessingShape">
                          <wps:wsp>
                            <wps:cNvSpPr/>
                            <wps:spPr>
                              <a:xfrm>
                                <a:off x="4370705" y="8322310"/>
                                <a:ext cx="914400" cy="267970"/>
                              </a:xfrm>
                              <a:prstGeom prst="wedgeRectCallout">
                                <a:avLst>
                                  <a:gd name="adj1" fmla="val -46458"/>
                                  <a:gd name="adj2" fmla="val 80425"/>
                                </a:avLst>
                              </a:prstGeom>
                              <a:noFill/>
                              <a:ln w="1270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A828C61">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82.8pt;margin-top:4.3pt;height:21.1pt;width:72pt;z-index:251663360;v-text-anchor:middle;mso-width-relative:page;mso-height-relative:page;" filled="f" stroked="t" coordsize="21600,21600" o:gfxdata="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q+L5e1wAAAAgBAAAPAAAAAAAAAAEAIAAAACIAAABkcnMvZG93bnJldi54&#10;bWxQSwECFAAUAAAACACHTuJAkqc48KYCAAAwBQAADgAAAAAAAAABACAAAAAmAQAAZHJzL2Uyb0Rv&#10;Yy54bWxQSwUGAAAAAAYABgBZAQAAPgYAAAAA&#10;" adj="765,28172">
                      <v:fill on="f" focussize="0,0"/>
                      <v:stroke weight="1pt" color="#000000 [3213]" joinstyle="round"/>
                      <v:imagedata o:title=""/>
                      <o:lock v:ext="edit" aspectratio="f"/>
                      <v:textbox>
                        <w:txbxContent>
                          <w:p w14:paraId="7A828C61">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本项目位置</w:t>
                            </w:r>
                          </w:p>
                        </w:txbxContent>
                      </v:textbox>
                    </v:shape>
                  </w:pict>
                </mc:Fallback>
              </mc:AlternateContent>
            </w:r>
          </w:p>
          <w:p w14:paraId="30D884FB">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default" w:ascii="Times New Roman" w:hAnsi="Times New Roman" w:eastAsia="宋体" w:cs="Times New Roman"/>
                <w:sz w:val="24"/>
                <w:u w:val="none" w:color="auto"/>
                <w:lang w:val="en-US" w:eastAsia="zh-CN"/>
              </w:rPr>
            </w:pPr>
          </w:p>
          <w:p w14:paraId="01F42A98">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default" w:ascii="Times New Roman" w:hAnsi="Times New Roman" w:eastAsia="宋体" w:cs="Times New Roman"/>
                <w:sz w:val="24"/>
                <w:u w:val="none" w:color="auto"/>
                <w:lang w:val="en-US" w:eastAsia="zh-CN"/>
              </w:rPr>
            </w:pPr>
          </w:p>
          <w:p w14:paraId="43FB7CA8">
            <w:pPr>
              <w:keepNext w:val="0"/>
              <w:keepLines w:val="0"/>
              <w:pageBreakBefore w:val="0"/>
              <w:widowControl w:val="0"/>
              <w:kinsoku/>
              <w:wordWrap/>
              <w:overflowPunct/>
              <w:topLinePunct w:val="0"/>
              <w:autoSpaceDE w:val="0"/>
              <w:autoSpaceDN w:val="0"/>
              <w:bidi w:val="0"/>
              <w:adjustRightInd w:val="0"/>
              <w:snapToGrid w:val="0"/>
              <w:spacing w:line="440" w:lineRule="exact"/>
              <w:ind w:firstLine="482" w:firstLineChars="200"/>
              <w:textAlignment w:val="auto"/>
              <w:rPr>
                <w:rFonts w:hint="default" w:ascii="Times New Roman" w:hAnsi="Times New Roman" w:eastAsia="宋体" w:cs="Times New Roman"/>
                <w:b/>
                <w:bCs/>
                <w:sz w:val="24"/>
                <w:u w:val="none" w:color="auto"/>
                <w:lang w:val="en-US" w:eastAsia="zh-CN"/>
              </w:rPr>
            </w:pPr>
            <w:r>
              <w:rPr>
                <w:rFonts w:hint="eastAsia" w:ascii="Times New Roman" w:hAnsi="Times New Roman" w:eastAsia="宋体" w:cs="Times New Roman"/>
                <w:b/>
                <w:bCs/>
                <w:sz w:val="24"/>
                <w:u w:val="none" w:color="auto"/>
                <w:lang w:val="en-US" w:eastAsia="zh-CN"/>
              </w:rPr>
              <w:t>图1-1    河南省生态环境分区管控应用平台研判分析图</w:t>
            </w:r>
          </w:p>
          <w:p w14:paraId="0762FD2A">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textAlignment w:val="auto"/>
              <w:rPr>
                <w:rFonts w:hint="default" w:ascii="Times New Roman" w:hAnsi="Times New Roman" w:eastAsia="宋体" w:cs="Times New Roman"/>
                <w:sz w:val="24"/>
                <w:u w:val="none" w:color="auto"/>
                <w:lang w:val="en-US" w:eastAsia="zh-CN"/>
              </w:rPr>
            </w:pPr>
            <w:r>
              <w:rPr>
                <w:rFonts w:hint="default" w:ascii="Times New Roman" w:hAnsi="Times New Roman" w:eastAsia="宋体" w:cs="Times New Roman"/>
                <w:sz w:val="24"/>
                <w:u w:val="none" w:color="auto"/>
                <w:lang w:val="en-US" w:eastAsia="zh-CN"/>
              </w:rPr>
              <w:t>本项目与《新乡市“三线一单”生态环境准入清单》（2023年版）以下简称《清单》中的相关内容对比一致性分析见下表。</w:t>
            </w:r>
          </w:p>
          <w:p w14:paraId="374A1465">
            <w:pPr>
              <w:autoSpaceDE w:val="0"/>
              <w:autoSpaceDN w:val="0"/>
              <w:spacing w:line="440" w:lineRule="exact"/>
              <w:jc w:val="center"/>
              <w:rPr>
                <w:rFonts w:hint="default" w:eastAsia="宋体"/>
                <w:b/>
                <w:snapToGrid w:val="0"/>
                <w:sz w:val="24"/>
                <w:u w:val="none" w:color="auto"/>
                <w:lang w:val="en-US" w:eastAsia="zh-CN"/>
              </w:rPr>
            </w:pPr>
            <w:r>
              <w:rPr>
                <w:b/>
                <w:snapToGrid w:val="0"/>
                <w:sz w:val="24"/>
                <w:u w:val="none" w:color="auto"/>
              </w:rPr>
              <w:t>表</w:t>
            </w:r>
            <w:r>
              <w:rPr>
                <w:rFonts w:hint="eastAsia"/>
                <w:b/>
                <w:snapToGrid w:val="0"/>
                <w:sz w:val="24"/>
                <w:u w:val="none" w:color="auto"/>
              </w:rPr>
              <w:t>1-</w:t>
            </w:r>
            <w:r>
              <w:rPr>
                <w:rFonts w:hint="eastAsia"/>
                <w:b/>
                <w:snapToGrid w:val="0"/>
                <w:sz w:val="24"/>
                <w:u w:val="none" w:color="auto"/>
                <w:lang w:val="en-US" w:eastAsia="zh-CN"/>
              </w:rPr>
              <w:t>7</w:t>
            </w:r>
            <w:r>
              <w:rPr>
                <w:rFonts w:hint="eastAsia"/>
                <w:b/>
                <w:snapToGrid w:val="0"/>
                <w:sz w:val="24"/>
                <w:u w:val="none" w:color="auto"/>
              </w:rPr>
              <w:t xml:space="preserve">  </w:t>
            </w:r>
            <w:r>
              <w:rPr>
                <w:rFonts w:hint="eastAsia"/>
                <w:b/>
                <w:snapToGrid w:val="0"/>
                <w:sz w:val="24"/>
                <w:u w:val="none" w:color="auto"/>
                <w:lang w:val="en-US" w:eastAsia="zh-CN"/>
              </w:rPr>
              <w:t xml:space="preserve">  本</w:t>
            </w:r>
            <w:r>
              <w:rPr>
                <w:b/>
                <w:snapToGrid w:val="0"/>
                <w:sz w:val="24"/>
                <w:u w:val="none" w:color="auto"/>
              </w:rPr>
              <w:t>项目</w:t>
            </w:r>
            <w:r>
              <w:rPr>
                <w:rFonts w:hint="eastAsia"/>
                <w:b/>
                <w:snapToGrid w:val="0"/>
                <w:sz w:val="24"/>
                <w:u w:val="none" w:color="auto"/>
                <w:lang w:eastAsia="zh-CN"/>
              </w:rPr>
              <w:t>《</w:t>
            </w:r>
            <w:r>
              <w:rPr>
                <w:rFonts w:hint="eastAsia"/>
                <w:b/>
                <w:snapToGrid w:val="0"/>
                <w:sz w:val="24"/>
                <w:u w:val="none" w:color="auto"/>
                <w:lang w:val="en-US" w:eastAsia="zh-CN"/>
              </w:rPr>
              <w:t>生态环境准入清单</w:t>
            </w:r>
            <w:r>
              <w:rPr>
                <w:rFonts w:hint="eastAsia"/>
                <w:b/>
                <w:snapToGrid w:val="0"/>
                <w:sz w:val="24"/>
                <w:u w:val="none" w:color="auto"/>
                <w:lang w:eastAsia="zh-CN"/>
              </w:rPr>
              <w:t>》</w:t>
            </w:r>
            <w:r>
              <w:rPr>
                <w:rFonts w:hint="eastAsia"/>
                <w:b/>
                <w:snapToGrid w:val="0"/>
                <w:sz w:val="24"/>
                <w:u w:val="none" w:color="auto"/>
                <w:lang w:val="en-US" w:eastAsia="zh-CN"/>
              </w:rPr>
              <w:t>对比分析一览表</w:t>
            </w:r>
          </w:p>
          <w:tbl>
            <w:tblPr>
              <w:tblStyle w:val="32"/>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269"/>
              <w:gridCol w:w="2398"/>
              <w:gridCol w:w="2473"/>
              <w:gridCol w:w="692"/>
            </w:tblGrid>
            <w:tr w14:paraId="2F58BA3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tcBorders>
                    <w:bottom w:val="single" w:color="000000" w:sz="8" w:space="0"/>
                    <w:tl2br w:val="nil"/>
                    <w:tr2bl w:val="nil"/>
                  </w:tcBorders>
                  <w:vAlign w:val="center"/>
                </w:tcPr>
                <w:p w14:paraId="0434311A">
                  <w:pPr>
                    <w:adjustRightInd w:val="0"/>
                    <w:snapToGrid w:val="0"/>
                    <w:jc w:val="center"/>
                    <w:textAlignment w:val="baseline"/>
                    <w:rPr>
                      <w:b/>
                      <w:color w:val="000000"/>
                      <w:szCs w:val="21"/>
                      <w:u w:val="none" w:color="auto"/>
                    </w:rPr>
                  </w:pPr>
                  <w:r>
                    <w:rPr>
                      <w:rFonts w:hAnsi="宋体"/>
                      <w:b/>
                      <w:color w:val="000000"/>
                      <w:szCs w:val="21"/>
                      <w:u w:val="none" w:color="auto"/>
                    </w:rPr>
                    <w:t>要求名称</w:t>
                  </w:r>
                </w:p>
              </w:tc>
              <w:tc>
                <w:tcPr>
                  <w:tcW w:w="2398" w:type="pct"/>
                  <w:gridSpan w:val="2"/>
                  <w:tcBorders>
                    <w:bottom w:val="single" w:color="000000" w:sz="8" w:space="0"/>
                    <w:tl2br w:val="nil"/>
                    <w:tr2bl w:val="nil"/>
                  </w:tcBorders>
                  <w:vAlign w:val="center"/>
                </w:tcPr>
                <w:p w14:paraId="3237E6CB">
                  <w:pPr>
                    <w:adjustRightInd w:val="0"/>
                    <w:snapToGrid w:val="0"/>
                    <w:jc w:val="center"/>
                    <w:textAlignment w:val="baseline"/>
                    <w:rPr>
                      <w:b/>
                      <w:color w:val="000000"/>
                      <w:szCs w:val="21"/>
                      <w:u w:val="none" w:color="auto"/>
                    </w:rPr>
                  </w:pPr>
                  <w:r>
                    <w:rPr>
                      <w:rFonts w:hAnsi="宋体"/>
                      <w:b/>
                      <w:color w:val="000000"/>
                      <w:szCs w:val="21"/>
                      <w:u w:val="none" w:color="auto"/>
                    </w:rPr>
                    <w:t>具体管控要求</w:t>
                  </w:r>
                </w:p>
              </w:tc>
              <w:tc>
                <w:tcPr>
                  <w:tcW w:w="1617" w:type="pct"/>
                  <w:tcBorders>
                    <w:bottom w:val="single" w:color="000000" w:sz="8" w:space="0"/>
                    <w:tl2br w:val="nil"/>
                    <w:tr2bl w:val="nil"/>
                  </w:tcBorders>
                  <w:vAlign w:val="center"/>
                </w:tcPr>
                <w:p w14:paraId="5B67DE90">
                  <w:pPr>
                    <w:adjustRightInd w:val="0"/>
                    <w:snapToGrid w:val="0"/>
                    <w:jc w:val="center"/>
                    <w:textAlignment w:val="baseline"/>
                    <w:rPr>
                      <w:b/>
                      <w:color w:val="000000"/>
                      <w:szCs w:val="21"/>
                      <w:u w:val="none" w:color="auto"/>
                    </w:rPr>
                  </w:pPr>
                  <w:r>
                    <w:rPr>
                      <w:rFonts w:hAnsi="宋体"/>
                      <w:b/>
                      <w:color w:val="000000"/>
                      <w:szCs w:val="21"/>
                      <w:u w:val="none" w:color="auto"/>
                    </w:rPr>
                    <w:t>本项目情况</w:t>
                  </w:r>
                </w:p>
              </w:tc>
              <w:tc>
                <w:tcPr>
                  <w:tcW w:w="452" w:type="pct"/>
                  <w:tcBorders>
                    <w:bottom w:val="single" w:color="000000" w:sz="8" w:space="0"/>
                    <w:tl2br w:val="nil"/>
                    <w:tr2bl w:val="nil"/>
                  </w:tcBorders>
                  <w:vAlign w:val="center"/>
                </w:tcPr>
                <w:p w14:paraId="583BC008">
                  <w:pPr>
                    <w:adjustRightInd w:val="0"/>
                    <w:snapToGrid w:val="0"/>
                    <w:jc w:val="center"/>
                    <w:textAlignment w:val="baseline"/>
                    <w:rPr>
                      <w:b/>
                      <w:color w:val="000000"/>
                      <w:szCs w:val="21"/>
                      <w:u w:val="none" w:color="auto"/>
                    </w:rPr>
                  </w:pPr>
                  <w:r>
                    <w:rPr>
                      <w:rFonts w:hAnsi="宋体"/>
                      <w:b/>
                      <w:color w:val="000000"/>
                      <w:szCs w:val="21"/>
                      <w:u w:val="none" w:color="auto"/>
                    </w:rPr>
                    <w:t>相符性</w:t>
                  </w:r>
                </w:p>
              </w:tc>
            </w:tr>
            <w:tr w14:paraId="411C881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5"/>
                  <w:tcBorders>
                    <w:top w:val="single" w:color="000000" w:sz="8" w:space="0"/>
                    <w:tl2br w:val="nil"/>
                    <w:tr2bl w:val="nil"/>
                  </w:tcBorders>
                  <w:vAlign w:val="center"/>
                </w:tcPr>
                <w:p w14:paraId="68A5D460">
                  <w:pPr>
                    <w:adjustRightInd w:val="0"/>
                    <w:snapToGrid w:val="0"/>
                    <w:jc w:val="center"/>
                    <w:textAlignment w:val="baseline"/>
                    <w:rPr>
                      <w:rFonts w:hAnsi="宋体"/>
                      <w:b/>
                      <w:color w:val="000000"/>
                      <w:szCs w:val="21"/>
                      <w:u w:val="none" w:color="auto"/>
                    </w:rPr>
                  </w:pPr>
                  <w:r>
                    <w:rPr>
                      <w:rFonts w:hint="eastAsia"/>
                      <w:b/>
                      <w:color w:val="000000"/>
                      <w:szCs w:val="21"/>
                      <w:u w:val="none" w:color="auto"/>
                    </w:rPr>
                    <w:t>新乡市生态环境总体准入要求</w:t>
                  </w:r>
                </w:p>
              </w:tc>
            </w:tr>
            <w:tr w14:paraId="030C555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tcBorders>
                    <w:tl2br w:val="nil"/>
                    <w:tr2bl w:val="nil"/>
                  </w:tcBorders>
                  <w:vAlign w:val="center"/>
                </w:tcPr>
                <w:p w14:paraId="66F77E1A">
                  <w:pPr>
                    <w:adjustRightInd w:val="0"/>
                    <w:snapToGrid w:val="0"/>
                    <w:jc w:val="center"/>
                    <w:textAlignment w:val="baseline"/>
                    <w:rPr>
                      <w:rFonts w:hAnsi="宋体"/>
                      <w:color w:val="000000"/>
                      <w:szCs w:val="21"/>
                      <w:u w:val="none" w:color="auto"/>
                    </w:rPr>
                  </w:pPr>
                  <w:r>
                    <w:rPr>
                      <w:rFonts w:hint="eastAsia" w:hAnsi="宋体"/>
                      <w:color w:val="000000"/>
                      <w:szCs w:val="21"/>
                      <w:u w:val="none" w:color="auto"/>
                    </w:rPr>
                    <w:t>空间布局约束</w:t>
                  </w:r>
                </w:p>
              </w:tc>
              <w:tc>
                <w:tcPr>
                  <w:tcW w:w="2398" w:type="pct"/>
                  <w:gridSpan w:val="2"/>
                  <w:tcBorders>
                    <w:tl2br w:val="nil"/>
                    <w:tr2bl w:val="nil"/>
                  </w:tcBorders>
                  <w:vAlign w:val="center"/>
                </w:tcPr>
                <w:p w14:paraId="61E73C24">
                  <w:pPr>
                    <w:adjustRightInd w:val="0"/>
                    <w:snapToGrid w:val="0"/>
                    <w:jc w:val="left"/>
                    <w:textAlignment w:val="baseline"/>
                    <w:rPr>
                      <w:rFonts w:hAnsi="宋体"/>
                      <w:color w:val="000000"/>
                      <w:szCs w:val="21"/>
                      <w:u w:val="none" w:color="auto"/>
                    </w:rPr>
                  </w:pPr>
                  <w:r>
                    <w:rPr>
                      <w:rFonts w:hint="eastAsia" w:hAnsi="宋体"/>
                      <w:color w:val="000000"/>
                      <w:szCs w:val="21"/>
                      <w:u w:val="none" w:color="auto"/>
                    </w:rPr>
                    <w:t>1.严格控制新建、扩建钢铁冶炼、水泥、有色金属冶炼、平板玻璃、化工、建筑陶瓷、耐火材料、砖瓦、矿山开采等行业的</w:t>
                  </w:r>
                  <w:bookmarkStart w:id="6" w:name="OLE_LINK19"/>
                  <w:bookmarkStart w:id="7" w:name="OLE_LINK18"/>
                  <w:r>
                    <w:rPr>
                      <w:rFonts w:hint="eastAsia" w:hAnsi="宋体"/>
                      <w:color w:val="000000"/>
                      <w:szCs w:val="21"/>
                      <w:u w:val="none" w:color="auto"/>
                    </w:rPr>
                    <w:t>高排放、高污染项目</w:t>
                  </w:r>
                  <w:bookmarkEnd w:id="6"/>
                  <w:bookmarkEnd w:id="7"/>
                  <w:r>
                    <w:rPr>
                      <w:rFonts w:hint="eastAsia" w:hAnsi="宋体"/>
                      <w:color w:val="000000"/>
                      <w:szCs w:val="21"/>
                      <w:u w:val="none" w:color="auto"/>
                    </w:rPr>
                    <w:t>，促进传统煤化工、水泥行业绿色转型、智能升级。</w:t>
                  </w:r>
                </w:p>
                <w:p w14:paraId="4B5EB99F">
                  <w:pPr>
                    <w:adjustRightInd w:val="0"/>
                    <w:snapToGrid w:val="0"/>
                    <w:jc w:val="left"/>
                    <w:textAlignment w:val="baseline"/>
                    <w:rPr>
                      <w:color w:val="000000"/>
                      <w:szCs w:val="21"/>
                      <w:u w:val="none" w:color="auto"/>
                    </w:rPr>
                  </w:pPr>
                  <w:r>
                    <w:rPr>
                      <w:rFonts w:hint="eastAsia" w:hAnsi="宋体"/>
                      <w:color w:val="000000"/>
                      <w:szCs w:val="21"/>
                      <w:u w:val="none" w:color="auto"/>
                    </w:rPr>
                    <w:t>2.按照各园区建设发展规划，培育和建设关联企业高度集中的产业基地，积极推行区域、规划环境影响评价，对搬迁升级改造石化、化工、建材、有色等项目的环境影响评价，应满足区域、规划环评要求。鼓励支持水泥等重点行业进行产能置换、装备大型改造、重组整合。</w:t>
                  </w:r>
                </w:p>
              </w:tc>
              <w:tc>
                <w:tcPr>
                  <w:tcW w:w="1617" w:type="pct"/>
                  <w:tcBorders>
                    <w:tl2br w:val="nil"/>
                    <w:tr2bl w:val="nil"/>
                  </w:tcBorders>
                  <w:vAlign w:val="center"/>
                </w:tcPr>
                <w:p w14:paraId="7ECFD2BB">
                  <w:pPr>
                    <w:adjustRightInd w:val="0"/>
                    <w:snapToGrid w:val="0"/>
                    <w:jc w:val="both"/>
                    <w:textAlignment w:val="baseline"/>
                    <w:rPr>
                      <w:rFonts w:hAnsi="宋体"/>
                      <w:color w:val="000000"/>
                      <w:szCs w:val="21"/>
                      <w:u w:val="none" w:color="auto"/>
                    </w:rPr>
                  </w:pPr>
                  <w:r>
                    <w:rPr>
                      <w:rFonts w:hint="eastAsia"/>
                      <w:color w:val="000000"/>
                      <w:szCs w:val="21"/>
                      <w:u w:val="none" w:color="auto"/>
                    </w:rPr>
                    <w:t>1.本项目</w:t>
                  </w:r>
                  <w:r>
                    <w:rPr>
                      <w:rFonts w:hAnsiTheme="minorEastAsia" w:eastAsiaTheme="minorEastAsia"/>
                      <w:szCs w:val="21"/>
                      <w:u w:val="none" w:color="auto"/>
                    </w:rPr>
                    <w:t>为</w:t>
                  </w:r>
                  <w:r>
                    <w:rPr>
                      <w:rFonts w:hint="eastAsia" w:hAnsiTheme="minorEastAsia" w:eastAsiaTheme="minorEastAsia"/>
                      <w:szCs w:val="21"/>
                      <w:u w:val="none" w:color="auto"/>
                      <w:lang w:val="en-US" w:eastAsia="zh-CN"/>
                    </w:rPr>
                    <w:t>锂离子电池制造</w:t>
                  </w:r>
                  <w:r>
                    <w:rPr>
                      <w:rFonts w:hint="eastAsia"/>
                      <w:color w:val="000000"/>
                      <w:szCs w:val="21"/>
                      <w:u w:val="none" w:color="auto"/>
                    </w:rPr>
                    <w:t>，不属于钢铁冶炼、水泥等</w:t>
                  </w:r>
                  <w:r>
                    <w:rPr>
                      <w:rFonts w:hint="eastAsia" w:hAnsi="宋体"/>
                      <w:color w:val="000000"/>
                      <w:szCs w:val="21"/>
                      <w:u w:val="none" w:color="auto"/>
                    </w:rPr>
                    <w:t>高排放、高污染项目。</w:t>
                  </w:r>
                </w:p>
                <w:p w14:paraId="31C836FE">
                  <w:pPr>
                    <w:adjustRightInd w:val="0"/>
                    <w:snapToGrid w:val="0"/>
                    <w:jc w:val="both"/>
                    <w:textAlignment w:val="baseline"/>
                    <w:rPr>
                      <w:color w:val="000000"/>
                      <w:szCs w:val="21"/>
                      <w:u w:val="none" w:color="auto"/>
                    </w:rPr>
                  </w:pPr>
                  <w:r>
                    <w:rPr>
                      <w:rFonts w:hint="eastAsia" w:hAnsi="宋体"/>
                      <w:color w:val="000000"/>
                      <w:szCs w:val="21"/>
                      <w:u w:val="none" w:color="auto"/>
                    </w:rPr>
                    <w:t>2.本项目符合规划要求。</w:t>
                  </w:r>
                </w:p>
              </w:tc>
              <w:tc>
                <w:tcPr>
                  <w:tcW w:w="452" w:type="pct"/>
                  <w:tcBorders>
                    <w:tl2br w:val="nil"/>
                    <w:tr2bl w:val="nil"/>
                  </w:tcBorders>
                  <w:vAlign w:val="center"/>
                </w:tcPr>
                <w:p w14:paraId="6E2BCB1A">
                  <w:pPr>
                    <w:adjustRightInd w:val="0"/>
                    <w:snapToGrid w:val="0"/>
                    <w:jc w:val="center"/>
                    <w:textAlignment w:val="baseline"/>
                    <w:rPr>
                      <w:color w:val="000000"/>
                      <w:szCs w:val="21"/>
                      <w:u w:val="none" w:color="auto"/>
                    </w:rPr>
                  </w:pPr>
                  <w:r>
                    <w:rPr>
                      <w:rFonts w:hint="eastAsia" w:hAnsi="宋体"/>
                      <w:color w:val="000000"/>
                      <w:szCs w:val="21"/>
                      <w:u w:val="none" w:color="auto"/>
                    </w:rPr>
                    <w:t>符合</w:t>
                  </w:r>
                </w:p>
              </w:tc>
            </w:tr>
            <w:tr w14:paraId="1E32806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tcBorders>
                    <w:tl2br w:val="nil"/>
                    <w:tr2bl w:val="nil"/>
                  </w:tcBorders>
                  <w:vAlign w:val="center"/>
                </w:tcPr>
                <w:p w14:paraId="3994F89E">
                  <w:pPr>
                    <w:adjustRightInd w:val="0"/>
                    <w:snapToGrid w:val="0"/>
                    <w:jc w:val="center"/>
                    <w:textAlignment w:val="baseline"/>
                    <w:rPr>
                      <w:rFonts w:hAnsi="宋体"/>
                      <w:color w:val="000000"/>
                      <w:szCs w:val="21"/>
                      <w:u w:val="none" w:color="auto"/>
                    </w:rPr>
                  </w:pPr>
                  <w:r>
                    <w:rPr>
                      <w:rFonts w:hint="eastAsia" w:hAnsi="宋体"/>
                      <w:color w:val="000000"/>
                      <w:szCs w:val="21"/>
                      <w:u w:val="none" w:color="auto"/>
                    </w:rPr>
                    <w:t>污染物排放管控</w:t>
                  </w:r>
                </w:p>
              </w:tc>
              <w:tc>
                <w:tcPr>
                  <w:tcW w:w="2398" w:type="pct"/>
                  <w:gridSpan w:val="2"/>
                  <w:tcBorders>
                    <w:tl2br w:val="nil"/>
                    <w:tr2bl w:val="nil"/>
                  </w:tcBorders>
                  <w:vAlign w:val="center"/>
                </w:tcPr>
                <w:p w14:paraId="0D29B829">
                  <w:pPr>
                    <w:adjustRightInd w:val="0"/>
                    <w:snapToGrid w:val="0"/>
                    <w:jc w:val="left"/>
                    <w:textAlignment w:val="baseline"/>
                    <w:rPr>
                      <w:rFonts w:hAnsi="宋体"/>
                      <w:color w:val="000000"/>
                      <w:szCs w:val="21"/>
                      <w:u w:val="none" w:color="auto"/>
                    </w:rPr>
                  </w:pPr>
                  <w:r>
                    <w:rPr>
                      <w:rFonts w:hint="eastAsia" w:hAnsi="宋体"/>
                      <w:color w:val="000000"/>
                      <w:szCs w:val="21"/>
                      <w:u w:val="none" w:color="auto"/>
                    </w:rPr>
                    <w:t>1.新、改、扩建项目主要污染物排放要求满足当地总量减排要求。</w:t>
                  </w:r>
                </w:p>
                <w:p w14:paraId="5E74597E">
                  <w:pPr>
                    <w:adjustRightInd w:val="0"/>
                    <w:snapToGrid w:val="0"/>
                    <w:jc w:val="left"/>
                    <w:textAlignment w:val="baseline"/>
                    <w:rPr>
                      <w:rFonts w:hAnsi="宋体"/>
                      <w:color w:val="000000"/>
                      <w:szCs w:val="21"/>
                      <w:u w:val="none" w:color="auto"/>
                    </w:rPr>
                  </w:pPr>
                  <w:r>
                    <w:rPr>
                      <w:rFonts w:hint="eastAsia" w:hAnsi="宋体"/>
                      <w:color w:val="000000"/>
                      <w:szCs w:val="21"/>
                      <w:u w:val="none" w:color="auto"/>
                    </w:rPr>
                    <w:t>2.严控新增重金属污染物排放量，在重有色金属冶炼业（铜、铅锌、镍、钴、锡、锑和汞冶炼等）、铅蓄电池制造业、皮革及其制品业（皮革鞣制加工等）、化学原料及化学制品制造业（电石法聚氯乙烯行业、铬盐行业等）、电镀行业等重点行业实施重点重金属减量替代。新、改、扩建涉重金属重点行业建设项目应遵循重点重金属污染物排放“减量替代”原则，应符合《新乡市“十四五”重金属污染防控工作方案》相关要求。</w:t>
                  </w:r>
                </w:p>
                <w:p w14:paraId="4F9F8AA6">
                  <w:pPr>
                    <w:adjustRightInd w:val="0"/>
                    <w:snapToGrid w:val="0"/>
                    <w:jc w:val="left"/>
                    <w:textAlignment w:val="baseline"/>
                    <w:rPr>
                      <w:rFonts w:hAnsi="宋体"/>
                      <w:color w:val="000000"/>
                      <w:szCs w:val="21"/>
                      <w:u w:val="none" w:color="auto"/>
                    </w:rPr>
                  </w:pPr>
                  <w:r>
                    <w:rPr>
                      <w:rFonts w:hint="eastAsia" w:hAnsi="宋体"/>
                      <w:color w:val="000000"/>
                      <w:szCs w:val="21"/>
                      <w:u w:val="none" w:color="auto"/>
                    </w:rPr>
                    <w:t>3.国家、省绩效分级重点行业以及涉及锅炉炉窑的其他行业，新建、扩建项目污染物排放限值、污染治理措施、无组织排放控制水平、运输方式等达到A级绩效水平，改建项目污染物排放限值、污染治理措施、无组织排放控制水平、运输方式等达到B级以上绩效水平。</w:t>
                  </w:r>
                </w:p>
              </w:tc>
              <w:tc>
                <w:tcPr>
                  <w:tcW w:w="1617" w:type="pct"/>
                  <w:tcBorders>
                    <w:tl2br w:val="nil"/>
                    <w:tr2bl w:val="nil"/>
                  </w:tcBorders>
                  <w:vAlign w:val="center"/>
                </w:tcPr>
                <w:p w14:paraId="51266D80">
                  <w:pPr>
                    <w:adjustRightInd w:val="0"/>
                    <w:snapToGrid w:val="0"/>
                    <w:jc w:val="both"/>
                    <w:textAlignment w:val="baseline"/>
                    <w:rPr>
                      <w:color w:val="000000"/>
                      <w:szCs w:val="21"/>
                      <w:u w:val="none" w:color="auto"/>
                    </w:rPr>
                  </w:pPr>
                  <w:r>
                    <w:rPr>
                      <w:rFonts w:hint="eastAsia"/>
                      <w:color w:val="000000"/>
                      <w:szCs w:val="21"/>
                      <w:u w:val="none" w:color="auto"/>
                    </w:rPr>
                    <w:t>1.本项目</w:t>
                  </w:r>
                  <w:r>
                    <w:rPr>
                      <w:rFonts w:hint="eastAsia"/>
                      <w:color w:val="000000"/>
                      <w:szCs w:val="21"/>
                      <w:u w:val="none" w:color="auto"/>
                      <w:lang w:val="en-US" w:eastAsia="zh-CN"/>
                    </w:rPr>
                    <w:t>满足当地总量减排要求</w:t>
                  </w:r>
                  <w:r>
                    <w:rPr>
                      <w:rFonts w:hint="eastAsia"/>
                      <w:color w:val="000000"/>
                      <w:szCs w:val="21"/>
                      <w:u w:val="none" w:color="auto"/>
                    </w:rPr>
                    <w:t>。</w:t>
                  </w:r>
                </w:p>
                <w:p w14:paraId="33450CC8">
                  <w:pPr>
                    <w:adjustRightInd w:val="0"/>
                    <w:snapToGrid w:val="0"/>
                    <w:jc w:val="both"/>
                    <w:textAlignment w:val="baseline"/>
                    <w:rPr>
                      <w:rFonts w:hint="eastAsia" w:hAnsi="宋体"/>
                      <w:color w:val="000000"/>
                      <w:szCs w:val="21"/>
                      <w:u w:val="none" w:color="auto"/>
                      <w:lang w:eastAsia="zh-CN"/>
                    </w:rPr>
                  </w:pPr>
                  <w:r>
                    <w:rPr>
                      <w:rFonts w:hint="eastAsia"/>
                      <w:color w:val="000000"/>
                      <w:szCs w:val="21"/>
                      <w:u w:val="none" w:color="auto"/>
                    </w:rPr>
                    <w:t>2.本项目</w:t>
                  </w:r>
                  <w:r>
                    <w:rPr>
                      <w:rFonts w:hint="eastAsia"/>
                      <w:color w:val="000000"/>
                      <w:szCs w:val="21"/>
                      <w:u w:val="none" w:color="auto"/>
                      <w:lang w:val="en-US" w:eastAsia="zh-CN"/>
                    </w:rPr>
                    <w:t>属于锂离子电池制造业，不属于重点行业，不需</w:t>
                  </w:r>
                  <w:r>
                    <w:rPr>
                      <w:rFonts w:hint="eastAsia" w:hAnsi="宋体"/>
                      <w:color w:val="000000"/>
                      <w:szCs w:val="21"/>
                      <w:u w:val="none" w:color="auto"/>
                    </w:rPr>
                    <w:t>实施重点重金属减量替代</w:t>
                  </w:r>
                  <w:r>
                    <w:rPr>
                      <w:rFonts w:hint="eastAsia" w:hAnsi="宋体"/>
                      <w:color w:val="000000"/>
                      <w:szCs w:val="21"/>
                      <w:u w:val="none" w:color="auto"/>
                      <w:lang w:eastAsia="zh-CN"/>
                    </w:rPr>
                    <w:t>。</w:t>
                  </w:r>
                </w:p>
                <w:p w14:paraId="4A19730C">
                  <w:pPr>
                    <w:adjustRightInd w:val="0"/>
                    <w:snapToGrid w:val="0"/>
                    <w:jc w:val="both"/>
                    <w:textAlignment w:val="baseline"/>
                    <w:rPr>
                      <w:color w:val="000000"/>
                      <w:szCs w:val="21"/>
                      <w:u w:val="none" w:color="auto"/>
                    </w:rPr>
                  </w:pPr>
                  <w:r>
                    <w:rPr>
                      <w:rFonts w:hint="eastAsia"/>
                      <w:color w:val="000000"/>
                      <w:szCs w:val="21"/>
                      <w:u w:val="none" w:color="auto"/>
                    </w:rPr>
                    <w:t>3.本项目</w:t>
                  </w:r>
                  <w:r>
                    <w:rPr>
                      <w:rFonts w:hint="default"/>
                      <w:color w:val="000000"/>
                      <w:szCs w:val="21"/>
                      <w:u w:val="none" w:color="auto"/>
                    </w:rPr>
                    <w:t>按照《河南省重污染天气</w:t>
                  </w:r>
                  <w:r>
                    <w:rPr>
                      <w:rFonts w:hint="eastAsia"/>
                      <w:color w:val="000000"/>
                      <w:szCs w:val="21"/>
                      <w:u w:val="none" w:color="auto"/>
                      <w:lang w:val="en-US" w:eastAsia="zh-CN"/>
                    </w:rPr>
                    <w:t>重点</w:t>
                  </w:r>
                  <w:r>
                    <w:rPr>
                      <w:rFonts w:hint="default"/>
                      <w:color w:val="000000"/>
                      <w:szCs w:val="21"/>
                      <w:u w:val="none" w:color="auto"/>
                    </w:rPr>
                    <w:t>行业应急减排措施制定技术指南》（20</w:t>
                  </w:r>
                  <w:r>
                    <w:rPr>
                      <w:rFonts w:hint="eastAsia"/>
                      <w:color w:val="000000"/>
                      <w:szCs w:val="21"/>
                      <w:u w:val="none" w:color="auto"/>
                      <w:lang w:val="en-US" w:eastAsia="zh-CN"/>
                    </w:rPr>
                    <w:t>24</w:t>
                  </w:r>
                  <w:r>
                    <w:rPr>
                      <w:rFonts w:hint="default"/>
                      <w:color w:val="000000"/>
                      <w:szCs w:val="21"/>
                      <w:u w:val="none" w:color="auto"/>
                    </w:rPr>
                    <w:t>年修订版）中</w:t>
                  </w:r>
                  <w:r>
                    <w:rPr>
                      <w:rFonts w:hint="eastAsia"/>
                      <w:color w:val="000000"/>
                      <w:szCs w:val="21"/>
                      <w:u w:val="none" w:color="auto"/>
                      <w:lang w:val="en-US" w:eastAsia="zh-CN"/>
                    </w:rPr>
                    <w:t>电池制造</w:t>
                  </w:r>
                  <w:r>
                    <w:rPr>
                      <w:rFonts w:hint="default"/>
                      <w:color w:val="000000"/>
                      <w:szCs w:val="21"/>
                      <w:u w:val="none" w:color="auto"/>
                      <w:lang w:val="en-US" w:eastAsia="zh-CN"/>
                    </w:rPr>
                    <w:t>企业绩效</w:t>
                  </w:r>
                  <w:r>
                    <w:rPr>
                      <w:rFonts w:hint="eastAsia"/>
                      <w:color w:val="000000"/>
                      <w:szCs w:val="21"/>
                      <w:u w:val="none" w:color="auto"/>
                      <w:lang w:val="en-US" w:eastAsia="zh-CN"/>
                    </w:rPr>
                    <w:t>分级A级</w:t>
                  </w:r>
                  <w:r>
                    <w:rPr>
                      <w:rFonts w:hint="default"/>
                      <w:color w:val="000000"/>
                      <w:szCs w:val="21"/>
                      <w:u w:val="none" w:color="auto"/>
                      <w:lang w:val="en-US" w:eastAsia="zh-CN"/>
                    </w:rPr>
                    <w:t>指标</w:t>
                  </w:r>
                  <w:r>
                    <w:rPr>
                      <w:rFonts w:hint="eastAsia"/>
                      <w:color w:val="000000"/>
                      <w:szCs w:val="21"/>
                      <w:u w:val="none" w:color="auto"/>
                      <w:lang w:val="en-US" w:eastAsia="zh-CN"/>
                    </w:rPr>
                    <w:t>建设。</w:t>
                  </w:r>
                </w:p>
              </w:tc>
              <w:tc>
                <w:tcPr>
                  <w:tcW w:w="452" w:type="pct"/>
                  <w:tcBorders>
                    <w:tl2br w:val="nil"/>
                    <w:tr2bl w:val="nil"/>
                  </w:tcBorders>
                  <w:vAlign w:val="center"/>
                </w:tcPr>
                <w:p w14:paraId="67E4D620">
                  <w:pPr>
                    <w:adjustRightInd w:val="0"/>
                    <w:snapToGrid w:val="0"/>
                    <w:jc w:val="center"/>
                    <w:textAlignment w:val="baseline"/>
                    <w:rPr>
                      <w:rFonts w:hAnsi="宋体"/>
                      <w:color w:val="000000"/>
                      <w:szCs w:val="21"/>
                      <w:u w:val="none" w:color="auto"/>
                    </w:rPr>
                  </w:pPr>
                  <w:r>
                    <w:rPr>
                      <w:rFonts w:hint="eastAsia" w:hAnsi="宋体"/>
                      <w:color w:val="000000"/>
                      <w:szCs w:val="21"/>
                      <w:u w:val="none" w:color="auto"/>
                    </w:rPr>
                    <w:t>符合</w:t>
                  </w:r>
                </w:p>
              </w:tc>
            </w:tr>
            <w:tr w14:paraId="6B170F3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tcBorders>
                    <w:tl2br w:val="nil"/>
                    <w:tr2bl w:val="nil"/>
                  </w:tcBorders>
                  <w:vAlign w:val="center"/>
                </w:tcPr>
                <w:p w14:paraId="15E33665">
                  <w:pPr>
                    <w:adjustRightInd w:val="0"/>
                    <w:snapToGrid w:val="0"/>
                    <w:jc w:val="center"/>
                    <w:textAlignment w:val="baseline"/>
                    <w:rPr>
                      <w:rFonts w:hAnsi="宋体"/>
                      <w:color w:val="000000"/>
                      <w:szCs w:val="21"/>
                      <w:u w:val="none" w:color="auto"/>
                    </w:rPr>
                  </w:pPr>
                  <w:r>
                    <w:rPr>
                      <w:rFonts w:hint="eastAsia" w:hAnsi="宋体"/>
                      <w:color w:val="000000"/>
                      <w:szCs w:val="21"/>
                      <w:u w:val="none" w:color="auto"/>
                    </w:rPr>
                    <w:t>环境风险防控</w:t>
                  </w:r>
                </w:p>
              </w:tc>
              <w:tc>
                <w:tcPr>
                  <w:tcW w:w="2398" w:type="pct"/>
                  <w:gridSpan w:val="2"/>
                  <w:tcBorders>
                    <w:tl2br w:val="nil"/>
                    <w:tr2bl w:val="nil"/>
                  </w:tcBorders>
                  <w:vAlign w:val="center"/>
                </w:tcPr>
                <w:p w14:paraId="2916627E">
                  <w:pPr>
                    <w:adjustRightInd w:val="0"/>
                    <w:snapToGrid w:val="0"/>
                    <w:jc w:val="left"/>
                    <w:textAlignment w:val="baseline"/>
                    <w:rPr>
                      <w:rFonts w:hAnsi="宋体"/>
                      <w:color w:val="000000"/>
                      <w:szCs w:val="21"/>
                      <w:u w:val="none" w:color="auto"/>
                    </w:rPr>
                  </w:pPr>
                  <w:r>
                    <w:rPr>
                      <w:rFonts w:hint="eastAsia" w:hAnsi="宋体"/>
                      <w:color w:val="000000"/>
                      <w:szCs w:val="21"/>
                      <w:u w:val="none" w:color="auto"/>
                    </w:rPr>
                    <w:t>1.地下水漏斗区、重金属污染区、生态严重退化区等区域：探索开展耕地轮作休耕试点；实行休耕补贴，引导农民自愿将重度污染耕地退出农业生产。</w:t>
                  </w:r>
                </w:p>
              </w:tc>
              <w:tc>
                <w:tcPr>
                  <w:tcW w:w="1617" w:type="pct"/>
                  <w:tcBorders>
                    <w:tl2br w:val="nil"/>
                    <w:tr2bl w:val="nil"/>
                  </w:tcBorders>
                  <w:vAlign w:val="center"/>
                </w:tcPr>
                <w:p w14:paraId="670DB01C">
                  <w:pPr>
                    <w:adjustRightInd w:val="0"/>
                    <w:snapToGrid w:val="0"/>
                    <w:jc w:val="left"/>
                    <w:textAlignment w:val="baseline"/>
                    <w:rPr>
                      <w:color w:val="000000"/>
                      <w:szCs w:val="21"/>
                      <w:u w:val="none" w:color="auto"/>
                    </w:rPr>
                  </w:pPr>
                  <w:r>
                    <w:rPr>
                      <w:rFonts w:hint="eastAsia"/>
                      <w:color w:val="000000"/>
                      <w:szCs w:val="21"/>
                      <w:u w:val="none" w:color="auto"/>
                    </w:rPr>
                    <w:t>1.本项目不涉及。</w:t>
                  </w:r>
                </w:p>
              </w:tc>
              <w:tc>
                <w:tcPr>
                  <w:tcW w:w="452" w:type="pct"/>
                  <w:tcBorders>
                    <w:tl2br w:val="nil"/>
                    <w:tr2bl w:val="nil"/>
                  </w:tcBorders>
                  <w:vAlign w:val="center"/>
                </w:tcPr>
                <w:p w14:paraId="6D714317">
                  <w:pPr>
                    <w:adjustRightInd w:val="0"/>
                    <w:snapToGrid w:val="0"/>
                    <w:jc w:val="center"/>
                    <w:textAlignment w:val="baseline"/>
                    <w:rPr>
                      <w:rFonts w:hAnsi="宋体"/>
                      <w:color w:val="000000"/>
                      <w:szCs w:val="21"/>
                      <w:u w:val="none" w:color="auto"/>
                    </w:rPr>
                  </w:pPr>
                  <w:r>
                    <w:rPr>
                      <w:rFonts w:hint="eastAsia" w:hAnsi="宋体"/>
                      <w:color w:val="000000"/>
                      <w:szCs w:val="21"/>
                      <w:u w:val="none" w:color="auto"/>
                    </w:rPr>
                    <w:t>不涉及</w:t>
                  </w:r>
                </w:p>
              </w:tc>
            </w:tr>
            <w:tr w14:paraId="46FCC3C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tcBorders>
                    <w:tl2br w:val="nil"/>
                    <w:tr2bl w:val="nil"/>
                  </w:tcBorders>
                  <w:vAlign w:val="center"/>
                </w:tcPr>
                <w:p w14:paraId="69DF8593">
                  <w:pPr>
                    <w:adjustRightInd w:val="0"/>
                    <w:snapToGrid w:val="0"/>
                    <w:jc w:val="center"/>
                    <w:textAlignment w:val="baseline"/>
                    <w:rPr>
                      <w:rFonts w:hAnsi="宋体"/>
                      <w:color w:val="000000"/>
                      <w:szCs w:val="21"/>
                      <w:u w:val="none" w:color="auto"/>
                    </w:rPr>
                  </w:pPr>
                  <w:r>
                    <w:rPr>
                      <w:rFonts w:hint="eastAsia" w:hAnsi="宋体"/>
                      <w:color w:val="000000"/>
                      <w:szCs w:val="21"/>
                      <w:u w:val="none" w:color="auto"/>
                    </w:rPr>
                    <w:t>资源开发效率要求</w:t>
                  </w:r>
                </w:p>
              </w:tc>
              <w:tc>
                <w:tcPr>
                  <w:tcW w:w="2398" w:type="pct"/>
                  <w:gridSpan w:val="2"/>
                  <w:tcBorders>
                    <w:tl2br w:val="nil"/>
                    <w:tr2bl w:val="nil"/>
                  </w:tcBorders>
                  <w:vAlign w:val="center"/>
                </w:tcPr>
                <w:p w14:paraId="7EF43421">
                  <w:pPr>
                    <w:adjustRightInd w:val="0"/>
                    <w:snapToGrid w:val="0"/>
                    <w:jc w:val="left"/>
                    <w:textAlignment w:val="baseline"/>
                    <w:rPr>
                      <w:rFonts w:hAnsi="宋体"/>
                      <w:color w:val="000000"/>
                      <w:szCs w:val="21"/>
                      <w:u w:val="none" w:color="auto"/>
                    </w:rPr>
                  </w:pPr>
                  <w:r>
                    <w:rPr>
                      <w:rFonts w:hint="eastAsia" w:hAnsi="宋体"/>
                      <w:color w:val="000000"/>
                      <w:szCs w:val="21"/>
                      <w:u w:val="none" w:color="auto"/>
                    </w:rPr>
                    <w:t>1.开展高耗水工业行业节水技术改造，大力推广工业水循环利用，推进节水型企业、节水型工业园区建设。</w:t>
                  </w:r>
                </w:p>
                <w:p w14:paraId="48151F7B">
                  <w:pPr>
                    <w:adjustRightInd w:val="0"/>
                    <w:snapToGrid w:val="0"/>
                    <w:jc w:val="left"/>
                    <w:textAlignment w:val="baseline"/>
                    <w:rPr>
                      <w:rFonts w:hAnsi="宋体"/>
                      <w:color w:val="000000"/>
                      <w:szCs w:val="21"/>
                      <w:u w:val="none" w:color="auto"/>
                    </w:rPr>
                  </w:pPr>
                  <w:r>
                    <w:rPr>
                      <w:rFonts w:hint="eastAsia" w:hAnsi="宋体"/>
                      <w:color w:val="000000"/>
                      <w:szCs w:val="21"/>
                      <w:u w:val="none" w:color="auto"/>
                    </w:rPr>
                    <w:t>2.禁燃区内禁止新建、扩建燃用高污染燃料的锅炉、炉窑、炉灶等燃烧设施，已建成的应当由所在辖区限期责令拆除或改用清洁能源；禁止加工、销售各类高污染燃料。</w:t>
                  </w:r>
                </w:p>
              </w:tc>
              <w:tc>
                <w:tcPr>
                  <w:tcW w:w="1617" w:type="pct"/>
                  <w:tcBorders>
                    <w:tl2br w:val="nil"/>
                    <w:tr2bl w:val="nil"/>
                  </w:tcBorders>
                  <w:vAlign w:val="center"/>
                </w:tcPr>
                <w:p w14:paraId="6B3B25F7">
                  <w:pPr>
                    <w:adjustRightInd w:val="0"/>
                    <w:snapToGrid w:val="0"/>
                    <w:jc w:val="both"/>
                    <w:textAlignment w:val="baseline"/>
                    <w:rPr>
                      <w:color w:val="000000"/>
                      <w:szCs w:val="21"/>
                      <w:u w:val="none" w:color="auto"/>
                    </w:rPr>
                  </w:pPr>
                  <w:r>
                    <w:rPr>
                      <w:rFonts w:hint="eastAsia"/>
                      <w:color w:val="000000"/>
                      <w:szCs w:val="21"/>
                      <w:u w:val="none" w:color="auto"/>
                    </w:rPr>
                    <w:t>1.本项目不属于高耗水项目。</w:t>
                  </w:r>
                </w:p>
                <w:p w14:paraId="2855C97D">
                  <w:pPr>
                    <w:adjustRightInd w:val="0"/>
                    <w:snapToGrid w:val="0"/>
                    <w:jc w:val="both"/>
                    <w:textAlignment w:val="baseline"/>
                    <w:rPr>
                      <w:color w:val="000000"/>
                      <w:szCs w:val="21"/>
                      <w:u w:val="none" w:color="auto"/>
                    </w:rPr>
                  </w:pPr>
                  <w:r>
                    <w:rPr>
                      <w:rFonts w:hint="eastAsia"/>
                      <w:color w:val="000000"/>
                      <w:szCs w:val="21"/>
                      <w:u w:val="none" w:color="auto"/>
                    </w:rPr>
                    <w:t>2.本项目不涉及锅炉。</w:t>
                  </w:r>
                </w:p>
              </w:tc>
              <w:tc>
                <w:tcPr>
                  <w:tcW w:w="452" w:type="pct"/>
                  <w:tcBorders>
                    <w:tl2br w:val="nil"/>
                    <w:tr2bl w:val="nil"/>
                  </w:tcBorders>
                  <w:vAlign w:val="center"/>
                </w:tcPr>
                <w:p w14:paraId="06CFAE38">
                  <w:pPr>
                    <w:adjustRightInd w:val="0"/>
                    <w:snapToGrid w:val="0"/>
                    <w:jc w:val="center"/>
                    <w:textAlignment w:val="baseline"/>
                    <w:rPr>
                      <w:rFonts w:hAnsi="宋体"/>
                      <w:color w:val="000000"/>
                      <w:szCs w:val="21"/>
                      <w:u w:val="none" w:color="auto"/>
                    </w:rPr>
                  </w:pPr>
                  <w:r>
                    <w:rPr>
                      <w:rFonts w:hint="eastAsia" w:hAnsi="宋体"/>
                      <w:color w:val="000000"/>
                      <w:szCs w:val="21"/>
                      <w:u w:val="none" w:color="auto"/>
                    </w:rPr>
                    <w:t>不涉及</w:t>
                  </w:r>
                </w:p>
              </w:tc>
            </w:tr>
            <w:tr w14:paraId="2FDF32F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5"/>
                  <w:tcBorders>
                    <w:tl2br w:val="nil"/>
                    <w:tr2bl w:val="nil"/>
                  </w:tcBorders>
                  <w:vAlign w:val="center"/>
                </w:tcPr>
                <w:p w14:paraId="7E979662">
                  <w:pPr>
                    <w:adjustRightInd w:val="0"/>
                    <w:snapToGrid w:val="0"/>
                    <w:jc w:val="center"/>
                    <w:textAlignment w:val="baseline"/>
                    <w:rPr>
                      <w:rFonts w:hint="default" w:hAnsi="宋体" w:eastAsia="宋体"/>
                      <w:color w:val="000000"/>
                      <w:szCs w:val="21"/>
                      <w:u w:val="none" w:color="auto"/>
                      <w:lang w:val="en-US" w:eastAsia="zh-CN"/>
                    </w:rPr>
                  </w:pPr>
                  <w:r>
                    <w:rPr>
                      <w:rFonts w:hint="eastAsia" w:hAnsi="宋体"/>
                      <w:color w:val="000000"/>
                      <w:szCs w:val="21"/>
                      <w:u w:val="none" w:color="auto"/>
                      <w:lang w:val="en-US" w:eastAsia="zh-CN"/>
                    </w:rPr>
                    <w:t>新乡高新技术产业开发区</w:t>
                  </w:r>
                </w:p>
              </w:tc>
            </w:tr>
            <w:tr w14:paraId="10A5DD4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vMerge w:val="restart"/>
                  <w:tcBorders>
                    <w:tl2br w:val="nil"/>
                    <w:tr2bl w:val="nil"/>
                  </w:tcBorders>
                  <w:vAlign w:val="center"/>
                </w:tcPr>
                <w:p w14:paraId="5DECA40D">
                  <w:pPr>
                    <w:adjustRightInd w:val="0"/>
                    <w:snapToGrid w:val="0"/>
                    <w:jc w:val="center"/>
                    <w:textAlignment w:val="baseline"/>
                    <w:rPr>
                      <w:rFonts w:hint="default" w:hAnsi="宋体" w:eastAsia="宋体"/>
                      <w:bCs/>
                      <w:color w:val="000000"/>
                      <w:szCs w:val="21"/>
                      <w:u w:val="none" w:color="auto"/>
                      <w:lang w:val="en-US" w:eastAsia="zh-CN"/>
                    </w:rPr>
                  </w:pPr>
                  <w:r>
                    <w:rPr>
                      <w:rFonts w:hint="eastAsia" w:hAnsi="宋体"/>
                      <w:bCs/>
                      <w:color w:val="000000"/>
                      <w:szCs w:val="21"/>
                      <w:u w:val="none" w:color="auto"/>
                    </w:rPr>
                    <w:t>ZH41070220003 -重点管控单元</w:t>
                  </w:r>
                  <w:r>
                    <w:rPr>
                      <w:rFonts w:hint="eastAsia" w:hAnsi="宋体"/>
                      <w:bCs/>
                      <w:color w:val="000000"/>
                      <w:szCs w:val="21"/>
                      <w:u w:val="none" w:color="auto"/>
                      <w:lang w:val="en-US" w:eastAsia="zh-CN"/>
                    </w:rPr>
                    <w:t>3</w:t>
                  </w:r>
                  <w:r>
                    <w:rPr>
                      <w:rFonts w:hint="eastAsia" w:hAnsi="宋体"/>
                      <w:bCs/>
                      <w:color w:val="000000"/>
                      <w:szCs w:val="21"/>
                      <w:u w:val="none" w:color="auto"/>
                    </w:rPr>
                    <w:t>-</w:t>
                  </w:r>
                  <w:r>
                    <w:rPr>
                      <w:rFonts w:hint="eastAsia" w:hAnsi="宋体"/>
                      <w:bCs/>
                      <w:color w:val="000000"/>
                      <w:szCs w:val="21"/>
                      <w:u w:val="none" w:color="auto"/>
                      <w:lang w:val="en-US" w:eastAsia="zh-CN"/>
                    </w:rPr>
                    <w:t>新乡高新技术产业开发区</w:t>
                  </w:r>
                </w:p>
              </w:tc>
              <w:tc>
                <w:tcPr>
                  <w:tcW w:w="830" w:type="pct"/>
                  <w:tcBorders>
                    <w:tl2br w:val="nil"/>
                    <w:tr2bl w:val="nil"/>
                  </w:tcBorders>
                  <w:vAlign w:val="center"/>
                </w:tcPr>
                <w:p w14:paraId="375C6597">
                  <w:pPr>
                    <w:pStyle w:val="78"/>
                    <w:adjustRightInd w:val="0"/>
                    <w:snapToGrid w:val="0"/>
                    <w:jc w:val="center"/>
                    <w:rPr>
                      <w:rFonts w:hAnsi="宋体" w:eastAsia="宋体"/>
                      <w:snapToGrid/>
                      <w:kern w:val="2"/>
                      <w:sz w:val="21"/>
                      <w:szCs w:val="21"/>
                      <w:u w:val="none" w:color="auto"/>
                    </w:rPr>
                  </w:pPr>
                  <w:r>
                    <w:rPr>
                      <w:rFonts w:hAnsi="宋体" w:eastAsia="宋体"/>
                      <w:snapToGrid/>
                      <w:kern w:val="2"/>
                      <w:sz w:val="21"/>
                      <w:szCs w:val="21"/>
                      <w:u w:val="none" w:color="auto"/>
                    </w:rPr>
                    <w:t>空间布局约束</w:t>
                  </w:r>
                </w:p>
              </w:tc>
              <w:tc>
                <w:tcPr>
                  <w:tcW w:w="1568" w:type="pct"/>
                  <w:tcBorders>
                    <w:tl2br w:val="nil"/>
                    <w:tr2bl w:val="nil"/>
                  </w:tcBorders>
                </w:tcPr>
                <w:p w14:paraId="5C41DBE9">
                  <w:pPr>
                    <w:pStyle w:val="78"/>
                    <w:keepNext w:val="0"/>
                    <w:keepLines w:val="0"/>
                    <w:pageBreakBefore w:val="0"/>
                    <w:numPr>
                      <w:ilvl w:val="0"/>
                      <w:numId w:val="8"/>
                    </w:numPr>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 xml:space="preserve">禁止新建及新增铸造产能。 </w:t>
                  </w:r>
                </w:p>
                <w:p w14:paraId="052521EE">
                  <w:pPr>
                    <w:pStyle w:val="78"/>
                    <w:keepNext w:val="0"/>
                    <w:keepLines w:val="0"/>
                    <w:pageBreakBefore w:val="0"/>
                    <w:numPr>
                      <w:ilvl w:val="0"/>
                      <w:numId w:val="8"/>
                    </w:numPr>
                    <w:kinsoku/>
                    <w:overflowPunct/>
                    <w:topLinePunct w:val="0"/>
                    <w:autoSpaceDE/>
                    <w:autoSpaceDN/>
                    <w:bidi w:val="0"/>
                    <w:adjustRightInd w:val="0"/>
                    <w:snapToGrid w:val="0"/>
                    <w:spacing w:line="240" w:lineRule="auto"/>
                    <w:ind w:left="0" w:leftChars="0" w:firstLine="0" w:firstLineChars="0"/>
                    <w:jc w:val="left"/>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园区规划主导产业为装备制造、生物技术和医药、电子信息，鼓励与主导产业配套的项目入驻。</w:t>
                  </w:r>
                </w:p>
                <w:p w14:paraId="200FE7CA">
                  <w:pPr>
                    <w:pStyle w:val="78"/>
                    <w:keepNext w:val="0"/>
                    <w:keepLines w:val="0"/>
                    <w:pageBreakBefore w:val="0"/>
                    <w:numPr>
                      <w:ilvl w:val="0"/>
                      <w:numId w:val="8"/>
                    </w:numPr>
                    <w:kinsoku/>
                    <w:overflowPunct/>
                    <w:topLinePunct w:val="0"/>
                    <w:autoSpaceDE/>
                    <w:autoSpaceDN/>
                    <w:bidi w:val="0"/>
                    <w:adjustRightInd w:val="0"/>
                    <w:snapToGrid w:val="0"/>
                    <w:spacing w:line="240" w:lineRule="auto"/>
                    <w:ind w:left="0" w:leftChars="0" w:firstLine="0" w:firstLineChars="0"/>
                    <w:jc w:val="left"/>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入驻项目应符合园区规划或规划环评的要求。</w:t>
                  </w:r>
                </w:p>
                <w:p w14:paraId="46BF2E25">
                  <w:pPr>
                    <w:numPr>
                      <w:ilvl w:val="0"/>
                      <w:numId w:val="8"/>
                    </w:numPr>
                    <w:adjustRightInd w:val="0"/>
                    <w:snapToGrid w:val="0"/>
                    <w:ind w:left="0" w:leftChars="0" w:firstLine="0" w:firstLineChars="0"/>
                    <w:jc w:val="both"/>
                    <w:textAlignment w:val="baseline"/>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严格控制新、改、扩建“两高”项目建设。</w:t>
                  </w:r>
                </w:p>
                <w:p w14:paraId="1B76E4C4">
                  <w:pPr>
                    <w:numPr>
                      <w:ilvl w:val="0"/>
                      <w:numId w:val="0"/>
                    </w:numPr>
                    <w:adjustRightInd w:val="0"/>
                    <w:snapToGrid w:val="0"/>
                    <w:ind w:leftChars="0"/>
                    <w:jc w:val="both"/>
                    <w:textAlignment w:val="baseline"/>
                    <w:rPr>
                      <w:rFonts w:hAnsi="宋体"/>
                      <w:color w:val="000000"/>
                      <w:szCs w:val="21"/>
                      <w:u w:val="none" w:color="auto"/>
                    </w:rPr>
                  </w:pPr>
                  <w:r>
                    <w:rPr>
                      <w:rFonts w:hint="default" w:ascii="Times New Roman" w:hAnsi="Times New Roman" w:eastAsia="宋体" w:cs="Times New Roman"/>
                      <w:color w:val="auto"/>
                      <w:sz w:val="21"/>
                      <w:szCs w:val="21"/>
                      <w:u w:val="none" w:color="auto"/>
                    </w:rPr>
                    <w:t>5、严格控制新建、扩建高排放、高污染项目，包括钢铁、水泥、有色、平板玻璃、建筑陶瓷等行业及其他排放重金属、持久性有机污染物的工业项目等。</w:t>
                  </w:r>
                </w:p>
              </w:tc>
              <w:tc>
                <w:tcPr>
                  <w:tcW w:w="1617" w:type="pct"/>
                  <w:tcBorders>
                    <w:tl2br w:val="nil"/>
                    <w:tr2bl w:val="nil"/>
                  </w:tcBorders>
                  <w:vAlign w:val="center"/>
                </w:tcPr>
                <w:p w14:paraId="6302F9F1">
                  <w:pPr>
                    <w:pStyle w:val="78"/>
                    <w:keepNext w:val="0"/>
                    <w:keepLines w:val="0"/>
                    <w:pageBreakBefore w:val="0"/>
                    <w:kinsoku/>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u w:val="none" w:color="auto"/>
                      <w:lang w:val="en-US"/>
                    </w:rPr>
                  </w:pPr>
                  <w:r>
                    <w:rPr>
                      <w:rFonts w:hint="default" w:ascii="Times New Roman" w:hAnsi="Times New Roman" w:eastAsia="宋体" w:cs="Times New Roman"/>
                      <w:color w:val="000000"/>
                      <w:kern w:val="0"/>
                      <w:sz w:val="21"/>
                      <w:szCs w:val="21"/>
                      <w:u w:val="none" w:color="auto"/>
                    </w:rPr>
                    <w:t>1、</w:t>
                  </w:r>
                  <w:r>
                    <w:rPr>
                      <w:rFonts w:hint="eastAsia" w:ascii="Times New Roman" w:hAnsi="Times New Roman"/>
                      <w:sz w:val="21"/>
                      <w:szCs w:val="21"/>
                      <w:u w:val="none" w:color="auto"/>
                      <w:lang w:eastAsia="zh-CN"/>
                    </w:rPr>
                    <w:t>本项目</w:t>
                  </w:r>
                  <w:r>
                    <w:rPr>
                      <w:rFonts w:hint="eastAsia" w:ascii="Times New Roman" w:hAnsi="Times New Roman"/>
                      <w:snapToGrid w:val="0"/>
                      <w:sz w:val="21"/>
                      <w:szCs w:val="21"/>
                      <w:u w:val="none" w:color="auto"/>
                      <w:lang w:val="en-US" w:eastAsia="zh-CN"/>
                    </w:rPr>
                    <w:t>不属于新增铸造产能项目</w:t>
                  </w:r>
                  <w:r>
                    <w:rPr>
                      <w:rFonts w:hint="default" w:ascii="Times New Roman" w:hAnsi="Times New Roman" w:eastAsia="宋体" w:cs="Times New Roman"/>
                      <w:color w:val="auto"/>
                      <w:sz w:val="21"/>
                      <w:szCs w:val="21"/>
                      <w:u w:val="none" w:color="auto"/>
                      <w:lang w:val="en-US" w:eastAsia="zh-CN"/>
                    </w:rPr>
                    <w:t>。</w:t>
                  </w:r>
                </w:p>
                <w:p w14:paraId="4A41368B">
                  <w:pPr>
                    <w:pStyle w:val="78"/>
                    <w:keepNext w:val="0"/>
                    <w:keepLines w:val="0"/>
                    <w:pageBreakBefore w:val="0"/>
                    <w:kinsoku/>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val="en-US" w:eastAsia="zh-CN"/>
                    </w:rPr>
                    <w:t>2、本项目</w:t>
                  </w:r>
                  <w:r>
                    <w:rPr>
                      <w:rFonts w:hint="eastAsia" w:ascii="Times New Roman" w:hAnsi="Times New Roman" w:eastAsia="宋体" w:cs="Times New Roman"/>
                      <w:color w:val="auto"/>
                      <w:sz w:val="21"/>
                      <w:szCs w:val="21"/>
                      <w:u w:val="none" w:color="auto"/>
                      <w:lang w:val="en-US" w:eastAsia="zh-CN"/>
                    </w:rPr>
                    <w:t>为</w:t>
                  </w:r>
                  <w:r>
                    <w:rPr>
                      <w:rFonts w:hint="eastAsia"/>
                      <w:bCs/>
                      <w:color w:val="000000"/>
                      <w:sz w:val="21"/>
                      <w:szCs w:val="21"/>
                      <w:u w:val="none" w:color="auto"/>
                      <w:lang w:val="en-US" w:eastAsia="zh-CN"/>
                    </w:rPr>
                    <w:t>锂离子电池制造，</w:t>
                  </w:r>
                  <w:r>
                    <w:rPr>
                      <w:rFonts w:hint="eastAsia" w:ascii="Times New Roman" w:hAnsi="Times New Roman" w:eastAsia="宋体" w:cs="Times New Roman"/>
                      <w:color w:val="auto"/>
                      <w:sz w:val="21"/>
                      <w:szCs w:val="21"/>
                      <w:u w:val="none" w:color="auto"/>
                      <w:lang w:val="en-US" w:eastAsia="zh-CN"/>
                    </w:rPr>
                    <w:t>与主导产业不冲突</w:t>
                  </w:r>
                  <w:r>
                    <w:rPr>
                      <w:rFonts w:hint="default" w:ascii="Times New Roman" w:hAnsi="Times New Roman" w:eastAsia="宋体" w:cs="Times New Roman"/>
                      <w:color w:val="auto"/>
                      <w:sz w:val="21"/>
                      <w:szCs w:val="21"/>
                      <w:u w:val="none" w:color="auto"/>
                      <w:lang w:val="en-US" w:eastAsia="zh-CN"/>
                    </w:rPr>
                    <w:t>。</w:t>
                  </w:r>
                </w:p>
                <w:p w14:paraId="09AE7181">
                  <w:pPr>
                    <w:pStyle w:val="78"/>
                    <w:keepNext w:val="0"/>
                    <w:keepLines w:val="0"/>
                    <w:pageBreakBefore w:val="0"/>
                    <w:kinsoku/>
                    <w:overflowPunct/>
                    <w:topLinePunct w:val="0"/>
                    <w:autoSpaceDE/>
                    <w:autoSpaceDN/>
                    <w:bidi w:val="0"/>
                    <w:adjustRightInd w:val="0"/>
                    <w:snapToGrid w:val="0"/>
                    <w:spacing w:line="240" w:lineRule="auto"/>
                    <w:ind w:firstLine="0" w:firstLineChars="0"/>
                    <w:jc w:val="both"/>
                    <w:rPr>
                      <w:rFonts w:hint="eastAsia" w:ascii="Times New Roman" w:hAnsi="Times New Roman" w:eastAsia="宋体" w:cs="Times New Roman"/>
                      <w:snapToGrid w:val="0"/>
                      <w:color w:val="000000"/>
                      <w:sz w:val="21"/>
                      <w:szCs w:val="21"/>
                      <w:u w:val="none" w:color="auto"/>
                      <w:lang w:eastAsia="zh-CN"/>
                    </w:rPr>
                  </w:pPr>
                  <w:r>
                    <w:rPr>
                      <w:rFonts w:hint="default" w:ascii="Times New Roman" w:hAnsi="Times New Roman" w:eastAsia="宋体" w:cs="Times New Roman"/>
                      <w:color w:val="auto"/>
                      <w:sz w:val="21"/>
                      <w:szCs w:val="21"/>
                      <w:u w:val="none" w:color="auto"/>
                      <w:lang w:val="en-US" w:eastAsia="zh-CN"/>
                    </w:rPr>
                    <w:t>3、本项目</w:t>
                  </w:r>
                  <w:r>
                    <w:rPr>
                      <w:rFonts w:hint="eastAsia" w:ascii="Times New Roman" w:hAnsi="Times New Roman" w:eastAsia="宋体" w:cs="Times New Roman"/>
                      <w:snapToGrid w:val="0"/>
                      <w:color w:val="000000"/>
                      <w:sz w:val="21"/>
                      <w:szCs w:val="21"/>
                      <w:u w:val="none" w:color="auto"/>
                      <w:lang w:eastAsia="zh-CN"/>
                    </w:rPr>
                    <w:t>符合新乡高新技术产业集聚区规划和规划环评的要求。</w:t>
                  </w:r>
                </w:p>
                <w:p w14:paraId="67F1D86E">
                  <w:pPr>
                    <w:pStyle w:val="78"/>
                    <w:keepNext w:val="0"/>
                    <w:keepLines w:val="0"/>
                    <w:pageBreakBefore w:val="0"/>
                    <w:kinsoku/>
                    <w:overflowPunct/>
                    <w:topLinePunct w:val="0"/>
                    <w:autoSpaceDE/>
                    <w:autoSpaceDN/>
                    <w:bidi w:val="0"/>
                    <w:adjustRightInd w:val="0"/>
                    <w:snapToGrid w:val="0"/>
                    <w:spacing w:line="240" w:lineRule="auto"/>
                    <w:ind w:firstLine="0" w:firstLineChars="0"/>
                    <w:jc w:val="both"/>
                    <w:rPr>
                      <w:rFonts w:hint="eastAsia" w:ascii="Times New Roman" w:hAnsi="Times New Roman" w:eastAsia="宋体" w:cs="Times New Roman"/>
                      <w:snapToGrid w:val="0"/>
                      <w:color w:val="000000"/>
                      <w:sz w:val="21"/>
                      <w:szCs w:val="21"/>
                      <w:u w:val="none" w:color="auto"/>
                      <w:lang w:val="en-US" w:eastAsia="zh-CN"/>
                    </w:rPr>
                  </w:pPr>
                  <w:r>
                    <w:rPr>
                      <w:rFonts w:hint="eastAsia" w:ascii="Times New Roman" w:hAnsi="Times New Roman" w:eastAsia="宋体" w:cs="Times New Roman"/>
                      <w:snapToGrid w:val="0"/>
                      <w:color w:val="000000"/>
                      <w:sz w:val="21"/>
                      <w:szCs w:val="21"/>
                      <w:u w:val="none" w:color="auto"/>
                      <w:lang w:val="en-US" w:eastAsia="zh-CN"/>
                    </w:rPr>
                    <w:t>4、本项目不属于“两高”项目。</w:t>
                  </w:r>
                </w:p>
                <w:p w14:paraId="692FFBDE">
                  <w:pPr>
                    <w:adjustRightInd w:val="0"/>
                    <w:snapToGrid w:val="0"/>
                    <w:jc w:val="both"/>
                    <w:textAlignment w:val="baseline"/>
                    <w:rPr>
                      <w:rFonts w:hAnsi="宋体"/>
                      <w:color w:val="000000"/>
                      <w:szCs w:val="21"/>
                      <w:u w:val="none" w:color="auto"/>
                    </w:rPr>
                  </w:pPr>
                  <w:r>
                    <w:rPr>
                      <w:rFonts w:hint="eastAsia" w:ascii="Times New Roman" w:hAnsi="Times New Roman" w:eastAsia="宋体" w:cs="Times New Roman"/>
                      <w:snapToGrid w:val="0"/>
                      <w:color w:val="000000"/>
                      <w:sz w:val="21"/>
                      <w:szCs w:val="21"/>
                      <w:u w:val="none" w:color="auto"/>
                      <w:lang w:val="en-US" w:eastAsia="zh-CN"/>
                    </w:rPr>
                    <w:t>5、本项目不属于高排放、高污染项目。</w:t>
                  </w:r>
                </w:p>
              </w:tc>
              <w:tc>
                <w:tcPr>
                  <w:tcW w:w="452" w:type="pct"/>
                  <w:tcBorders>
                    <w:tl2br w:val="nil"/>
                    <w:tr2bl w:val="nil"/>
                  </w:tcBorders>
                  <w:vAlign w:val="center"/>
                </w:tcPr>
                <w:p w14:paraId="40D3E358">
                  <w:pPr>
                    <w:adjustRightInd w:val="0"/>
                    <w:snapToGrid w:val="0"/>
                    <w:jc w:val="center"/>
                    <w:textAlignment w:val="baseline"/>
                    <w:rPr>
                      <w:color w:val="000000"/>
                      <w:szCs w:val="21"/>
                      <w:u w:val="none" w:color="auto"/>
                    </w:rPr>
                  </w:pPr>
                  <w:r>
                    <w:rPr>
                      <w:rFonts w:hAnsi="宋体"/>
                      <w:color w:val="000000"/>
                      <w:szCs w:val="21"/>
                      <w:u w:val="none" w:color="auto"/>
                    </w:rPr>
                    <w:t>符合</w:t>
                  </w:r>
                </w:p>
              </w:tc>
            </w:tr>
            <w:tr w14:paraId="31A7220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vMerge w:val="continue"/>
                  <w:tcBorders>
                    <w:tl2br w:val="nil"/>
                    <w:tr2bl w:val="nil"/>
                  </w:tcBorders>
                  <w:vAlign w:val="center"/>
                </w:tcPr>
                <w:p w14:paraId="6F3F61C4">
                  <w:pPr>
                    <w:adjustRightInd w:val="0"/>
                    <w:snapToGrid w:val="0"/>
                    <w:jc w:val="center"/>
                    <w:textAlignment w:val="baseline"/>
                    <w:rPr>
                      <w:bCs/>
                      <w:color w:val="000000"/>
                      <w:szCs w:val="21"/>
                      <w:u w:val="none" w:color="auto"/>
                    </w:rPr>
                  </w:pPr>
                </w:p>
              </w:tc>
              <w:tc>
                <w:tcPr>
                  <w:tcW w:w="830" w:type="pct"/>
                  <w:tcBorders>
                    <w:tl2br w:val="nil"/>
                    <w:tr2bl w:val="nil"/>
                  </w:tcBorders>
                  <w:vAlign w:val="center"/>
                </w:tcPr>
                <w:p w14:paraId="7D02CD62">
                  <w:pPr>
                    <w:pStyle w:val="78"/>
                    <w:adjustRightInd w:val="0"/>
                    <w:snapToGrid w:val="0"/>
                    <w:jc w:val="center"/>
                    <w:rPr>
                      <w:rFonts w:hAnsi="宋体" w:eastAsia="宋体"/>
                      <w:snapToGrid/>
                      <w:kern w:val="2"/>
                      <w:sz w:val="21"/>
                      <w:szCs w:val="21"/>
                      <w:u w:val="none" w:color="auto"/>
                    </w:rPr>
                  </w:pPr>
                  <w:r>
                    <w:rPr>
                      <w:rFonts w:hAnsi="宋体" w:eastAsia="宋体"/>
                      <w:snapToGrid/>
                      <w:kern w:val="2"/>
                      <w:sz w:val="21"/>
                      <w:szCs w:val="21"/>
                      <w:u w:val="none" w:color="auto"/>
                    </w:rPr>
                    <w:t>污染物排放管控</w:t>
                  </w:r>
                </w:p>
              </w:tc>
              <w:tc>
                <w:tcPr>
                  <w:tcW w:w="1568" w:type="pct"/>
                  <w:tcBorders>
                    <w:tl2br w:val="nil"/>
                    <w:tr2bl w:val="nil"/>
                  </w:tcBorders>
                  <w:vAlign w:val="center"/>
                </w:tcPr>
                <w:p w14:paraId="7052984B">
                  <w:pPr>
                    <w:pStyle w:val="78"/>
                    <w:keepNext w:val="0"/>
                    <w:keepLines w:val="0"/>
                    <w:pageBreakBefore w:val="0"/>
                    <w:numPr>
                      <w:ilvl w:val="0"/>
                      <w:numId w:val="9"/>
                    </w:numPr>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二氧化硫、氮氧化物、颗粒物、VOCs全面执行大气污染物特别排放限值。</w:t>
                  </w:r>
                </w:p>
                <w:p w14:paraId="6061EB76">
                  <w:pPr>
                    <w:pStyle w:val="78"/>
                    <w:keepNext w:val="0"/>
                    <w:keepLines w:val="0"/>
                    <w:pageBreakBefore w:val="0"/>
                    <w:numPr>
                      <w:ilvl w:val="0"/>
                      <w:numId w:val="9"/>
                    </w:numPr>
                    <w:kinsoku/>
                    <w:overflowPunct/>
                    <w:topLinePunct w:val="0"/>
                    <w:autoSpaceDE/>
                    <w:autoSpaceDN/>
                    <w:bidi w:val="0"/>
                    <w:adjustRightInd w:val="0"/>
                    <w:snapToGrid w:val="0"/>
                    <w:spacing w:line="240" w:lineRule="auto"/>
                    <w:ind w:left="0" w:leftChars="0" w:firstLine="0" w:firstLineChars="0"/>
                    <w:jc w:val="both"/>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污水处理厂逐步实施技改，出水执行《城镇污水处理厂污染物排放标准》表1一级A标准及属地管理要求。</w:t>
                  </w:r>
                </w:p>
                <w:p w14:paraId="6EC4A093">
                  <w:pPr>
                    <w:pStyle w:val="78"/>
                    <w:keepNext w:val="0"/>
                    <w:keepLines w:val="0"/>
                    <w:pageBreakBefore w:val="0"/>
                    <w:numPr>
                      <w:ilvl w:val="0"/>
                      <w:numId w:val="9"/>
                    </w:numPr>
                    <w:kinsoku/>
                    <w:overflowPunct/>
                    <w:topLinePunct w:val="0"/>
                    <w:autoSpaceDE/>
                    <w:autoSpaceDN/>
                    <w:bidi w:val="0"/>
                    <w:adjustRightInd w:val="0"/>
                    <w:snapToGrid w:val="0"/>
                    <w:spacing w:line="240" w:lineRule="auto"/>
                    <w:ind w:left="0" w:leftChars="0" w:firstLine="0" w:firstLineChars="0"/>
                    <w:jc w:val="both"/>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新建耗煤项目还应严格按规定采取煤炭消费减量替代措施，不得使用高污染燃料作为煤炭减量替代措施。</w:t>
                  </w:r>
                </w:p>
                <w:p w14:paraId="3EE3D8B9">
                  <w:pPr>
                    <w:pStyle w:val="78"/>
                    <w:keepNext w:val="0"/>
                    <w:keepLines w:val="0"/>
                    <w:pageBreakBefore w:val="0"/>
                    <w:numPr>
                      <w:ilvl w:val="0"/>
                      <w:numId w:val="9"/>
                    </w:numPr>
                    <w:kinsoku/>
                    <w:overflowPunct/>
                    <w:topLinePunct w:val="0"/>
                    <w:autoSpaceDE/>
                    <w:autoSpaceDN/>
                    <w:bidi w:val="0"/>
                    <w:adjustRightInd w:val="0"/>
                    <w:snapToGrid w:val="0"/>
                    <w:spacing w:line="240" w:lineRule="auto"/>
                    <w:ind w:left="0" w:leftChars="0" w:firstLine="0" w:firstLineChars="0"/>
                    <w:jc w:val="both"/>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已出台超低排放要求的行业建设项目应满足超低排放要求。</w:t>
                  </w:r>
                </w:p>
                <w:p w14:paraId="337B91F1">
                  <w:pPr>
                    <w:pStyle w:val="78"/>
                    <w:keepNext w:val="0"/>
                    <w:keepLines w:val="0"/>
                    <w:pageBreakBefore w:val="0"/>
                    <w:numPr>
                      <w:ilvl w:val="0"/>
                      <w:numId w:val="0"/>
                    </w:numPr>
                    <w:kinsoku/>
                    <w:overflowPunct/>
                    <w:topLinePunct w:val="0"/>
                    <w:autoSpaceDE/>
                    <w:autoSpaceDN/>
                    <w:bidi w:val="0"/>
                    <w:adjustRightInd w:val="0"/>
                    <w:snapToGrid w:val="0"/>
                    <w:spacing w:line="240" w:lineRule="auto"/>
                    <w:ind w:leftChars="0"/>
                    <w:jc w:val="both"/>
                    <w:rPr>
                      <w:rFonts w:hAnsi="宋体"/>
                      <w:color w:val="000000"/>
                      <w:szCs w:val="21"/>
                      <w:u w:val="none" w:color="auto"/>
                    </w:rPr>
                  </w:pPr>
                  <w:r>
                    <w:rPr>
                      <w:rFonts w:hint="default" w:ascii="Times New Roman" w:hAnsi="Times New Roman" w:eastAsia="宋体" w:cs="Times New Roman"/>
                      <w:color w:val="auto"/>
                      <w:sz w:val="21"/>
                      <w:szCs w:val="21"/>
                      <w:u w:val="none" w:color="auto"/>
                    </w:rPr>
                    <w:t>5、严格控制生产和使用高VOCs含量溶剂型涂料、油墨、胶黏剂、清洗剂等建设项目。 6、严格落实《制药建设项目环境影响评价文件审批原则》、《河南省电镀建设项目环境影响评价文件审查审批原则》相关要求。</w:t>
                  </w:r>
                </w:p>
              </w:tc>
              <w:tc>
                <w:tcPr>
                  <w:tcW w:w="1617" w:type="pct"/>
                  <w:tcBorders>
                    <w:tl2br w:val="nil"/>
                    <w:tr2bl w:val="nil"/>
                  </w:tcBorders>
                  <w:vAlign w:val="center"/>
                </w:tcPr>
                <w:p w14:paraId="36201953">
                  <w:pPr>
                    <w:keepNext w:val="0"/>
                    <w:keepLines w:val="0"/>
                    <w:pageBreakBefore w:val="0"/>
                    <w:widowControl/>
                    <w:kinsoku/>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sz w:val="21"/>
                      <w:szCs w:val="21"/>
                      <w:u w:val="none" w:color="auto"/>
                    </w:rPr>
                  </w:pPr>
                  <w:r>
                    <w:rPr>
                      <w:rFonts w:hint="eastAsia" w:hAnsi="宋体" w:eastAsia="宋体"/>
                      <w:color w:val="000000"/>
                      <w:szCs w:val="21"/>
                      <w:u w:val="none" w:color="auto"/>
                      <w:lang w:val="en-US" w:eastAsia="zh-CN"/>
                    </w:rPr>
                    <w:t>1、</w:t>
                  </w:r>
                  <w:r>
                    <w:rPr>
                      <w:rFonts w:hint="eastAsia" w:ascii="Times New Roman" w:hAnsi="Times New Roman"/>
                      <w:sz w:val="21"/>
                      <w:szCs w:val="21"/>
                      <w:u w:val="none" w:color="auto"/>
                      <w:lang w:eastAsia="zh-CN"/>
                    </w:rPr>
                    <w:t>本项目污染物颗粒物、</w:t>
                  </w:r>
                  <w:r>
                    <w:rPr>
                      <w:rFonts w:hint="eastAsia" w:ascii="Times New Roman" w:hAnsi="Times New Roman"/>
                      <w:sz w:val="21"/>
                      <w:szCs w:val="21"/>
                      <w:u w:val="none" w:color="auto"/>
                      <w:lang w:eastAsia="zh-CN" w:bidi="ar"/>
                    </w:rPr>
                    <w:t>V</w:t>
                  </w:r>
                  <w:r>
                    <w:rPr>
                      <w:rFonts w:ascii="Times New Roman" w:hAnsi="Times New Roman"/>
                      <w:sz w:val="21"/>
                      <w:szCs w:val="21"/>
                      <w:u w:val="none" w:color="auto"/>
                      <w:lang w:eastAsia="zh-CN" w:bidi="ar"/>
                    </w:rPr>
                    <w:t>OCs</w:t>
                  </w:r>
                  <w:r>
                    <w:rPr>
                      <w:rFonts w:hint="eastAsia" w:ascii="Times New Roman" w:hAnsi="Times New Roman"/>
                      <w:sz w:val="21"/>
                      <w:szCs w:val="21"/>
                      <w:u w:val="none" w:color="auto"/>
                      <w:lang w:eastAsia="zh-CN" w:bidi="ar"/>
                    </w:rPr>
                    <w:t>执行大气污染物特别排放限值。</w:t>
                  </w:r>
                </w:p>
                <w:p w14:paraId="73EDFAEF">
                  <w:pPr>
                    <w:adjustRightInd w:val="0"/>
                    <w:snapToGrid w:val="0"/>
                    <w:jc w:val="both"/>
                    <w:textAlignment w:val="baseline"/>
                    <w:rPr>
                      <w:rFonts w:hint="eastAsia" w:hAnsi="宋体" w:eastAsia="宋体"/>
                      <w:color w:val="000000"/>
                      <w:szCs w:val="21"/>
                      <w:u w:val="none" w:color="auto"/>
                      <w:lang w:val="en-US" w:eastAsia="zh-CN"/>
                    </w:rPr>
                  </w:pPr>
                  <w:r>
                    <w:rPr>
                      <w:rFonts w:hint="eastAsia" w:ascii="Times New Roman" w:hAnsi="Times New Roman" w:eastAsia="宋体" w:cs="Times New Roman"/>
                      <w:kern w:val="2"/>
                      <w:sz w:val="21"/>
                      <w:szCs w:val="21"/>
                      <w:u w:val="none" w:color="auto"/>
                      <w:lang w:val="en-US" w:eastAsia="zh-CN" w:bidi="ar-SA"/>
                    </w:rPr>
                    <w:t>2、生活污水经化粪池处理后通过生活污水排放口（DW001）排入新乡市贾屯污水处理厂进一步处理。设备清洗废水、地面清洗废水经混凝沉淀池预处理后与</w:t>
                  </w:r>
                  <w:r>
                    <w:rPr>
                      <w:rFonts w:hint="eastAsia" w:cs="Times New Roman"/>
                      <w:kern w:val="2"/>
                      <w:sz w:val="21"/>
                      <w:szCs w:val="21"/>
                      <w:u w:val="none" w:color="auto"/>
                      <w:lang w:val="en-US" w:eastAsia="zh-CN" w:bidi="ar-SA"/>
                    </w:rPr>
                    <w:t>纯水</w:t>
                  </w:r>
                  <w:r>
                    <w:rPr>
                      <w:rFonts w:hint="eastAsia" w:ascii="Times New Roman" w:hAnsi="Times New Roman" w:eastAsia="宋体" w:cs="Times New Roman"/>
                      <w:kern w:val="2"/>
                      <w:sz w:val="21"/>
                      <w:szCs w:val="21"/>
                      <w:u w:val="none" w:color="auto"/>
                      <w:lang w:val="en-US" w:eastAsia="zh-CN" w:bidi="ar-SA"/>
                    </w:rPr>
                    <w:t>制备浓水、反冲洗废水、电池清洗废水一并排入厂区污水处理站（处理能力：800t/d；处理工艺：“混凝沉淀+水解酸化+AO工艺”）后，经生产废水排放口（DW002）排入新乡市贾屯污水处理厂进一步处理</w:t>
                  </w:r>
                  <w:r>
                    <w:rPr>
                      <w:rFonts w:hint="eastAsia" w:cs="Times New Roman"/>
                      <w:kern w:val="2"/>
                      <w:sz w:val="21"/>
                      <w:szCs w:val="21"/>
                      <w:u w:val="none" w:color="auto"/>
                      <w:lang w:val="en-US" w:eastAsia="zh-CN" w:bidi="ar-SA"/>
                    </w:rPr>
                    <w:t>，</w:t>
                  </w:r>
                  <w:r>
                    <w:rPr>
                      <w:rFonts w:hint="eastAsia" w:hAnsi="宋体" w:eastAsia="宋体"/>
                      <w:color w:val="000000" w:themeColor="text1"/>
                      <w:szCs w:val="21"/>
                      <w:u w:val="none" w:color="auto"/>
                      <w:lang w:val="en-US" w:eastAsia="zh-CN"/>
                      <w14:textFill>
                        <w14:solidFill>
                          <w14:schemeClr w14:val="tx1"/>
                        </w14:solidFill>
                      </w14:textFill>
                    </w:rPr>
                    <w:t>出水能</w:t>
                  </w:r>
                  <w:r>
                    <w:rPr>
                      <w:rFonts w:hint="eastAsia" w:hAnsi="宋体" w:eastAsia="宋体"/>
                      <w:color w:val="000000"/>
                      <w:szCs w:val="21"/>
                      <w:u w:val="none" w:color="auto"/>
                      <w:lang w:val="en-US" w:eastAsia="zh-CN"/>
                    </w:rPr>
                    <w:t>够满足《城镇污水处理厂污染物排放标准》表1一级A标准及属地管理要求。</w:t>
                  </w:r>
                </w:p>
                <w:p w14:paraId="4DDA3916">
                  <w:pPr>
                    <w:keepNext w:val="0"/>
                    <w:keepLines w:val="0"/>
                    <w:pageBreakBefore w:val="0"/>
                    <w:widowControl/>
                    <w:kinsoku/>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sz w:val="21"/>
                      <w:szCs w:val="21"/>
                      <w:u w:val="none" w:color="auto"/>
                    </w:rPr>
                  </w:pPr>
                  <w:r>
                    <w:rPr>
                      <w:rFonts w:hint="eastAsia" w:ascii="Times New Roman" w:hAnsi="宋体" w:eastAsia="宋体" w:cs="Times New Roman"/>
                      <w:b w:val="0"/>
                      <w:bCs w:val="0"/>
                      <w:color w:val="000000"/>
                      <w:kern w:val="2"/>
                      <w:sz w:val="21"/>
                      <w:szCs w:val="21"/>
                      <w:u w:val="none" w:color="auto"/>
                      <w:lang w:val="en-US" w:eastAsia="zh-CN" w:bidi="ar-SA"/>
                    </w:rPr>
                    <w:t>3、</w:t>
                  </w:r>
                  <w:r>
                    <w:rPr>
                      <w:rFonts w:hint="default" w:ascii="Times New Roman" w:hAnsi="Times New Roman" w:eastAsia="宋体" w:cs="Times New Roman"/>
                      <w:sz w:val="21"/>
                      <w:szCs w:val="21"/>
                      <w:u w:val="none" w:color="auto"/>
                    </w:rPr>
                    <w:t>本项目不属于新建耗煤项目。</w:t>
                  </w:r>
                </w:p>
                <w:p w14:paraId="2EDDBEAC">
                  <w:pPr>
                    <w:keepNext w:val="0"/>
                    <w:keepLines w:val="0"/>
                    <w:pageBreakBefore w:val="0"/>
                    <w:widowControl/>
                    <w:kinsoku/>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4、本项目</w:t>
                  </w:r>
                  <w:r>
                    <w:rPr>
                      <w:rFonts w:hint="eastAsia" w:ascii="Times New Roman" w:hAnsi="Times New Roman" w:eastAsia="宋体" w:cs="Times New Roman"/>
                      <w:sz w:val="21"/>
                      <w:szCs w:val="21"/>
                      <w:u w:val="none" w:color="auto"/>
                      <w:lang w:val="en-US" w:eastAsia="zh-CN"/>
                    </w:rPr>
                    <w:t>所用</w:t>
                  </w:r>
                  <w:r>
                    <w:rPr>
                      <w:rFonts w:hint="eastAsia" w:cs="Times New Roman"/>
                      <w:sz w:val="21"/>
                      <w:szCs w:val="21"/>
                      <w:u w:val="none" w:color="auto"/>
                      <w:lang w:val="en-US" w:eastAsia="zh-CN"/>
                    </w:rPr>
                    <w:t>电解液</w:t>
                  </w:r>
                  <w:r>
                    <w:rPr>
                      <w:rFonts w:hint="eastAsia" w:ascii="Times New Roman" w:hAnsi="Times New Roman" w:eastAsia="宋体" w:cs="Times New Roman"/>
                      <w:sz w:val="21"/>
                      <w:szCs w:val="21"/>
                      <w:u w:val="none" w:color="auto"/>
                      <w:lang w:val="en-US" w:eastAsia="zh-CN"/>
                    </w:rPr>
                    <w:t>属于低</w:t>
                  </w:r>
                  <w:r>
                    <w:rPr>
                      <w:rFonts w:hint="default" w:ascii="Times New Roman" w:hAnsi="Times New Roman" w:eastAsia="宋体" w:cs="Times New Roman"/>
                      <w:color w:val="auto"/>
                      <w:sz w:val="21"/>
                      <w:szCs w:val="21"/>
                      <w:u w:val="none" w:color="auto"/>
                    </w:rPr>
                    <w:t>VOCs含量</w:t>
                  </w:r>
                  <w:r>
                    <w:rPr>
                      <w:rFonts w:hint="eastAsia" w:ascii="Times New Roman" w:hAnsi="Times New Roman" w:eastAsia="宋体" w:cs="Times New Roman"/>
                      <w:color w:val="auto"/>
                      <w:sz w:val="21"/>
                      <w:szCs w:val="21"/>
                      <w:u w:val="none" w:color="auto"/>
                      <w:lang w:eastAsia="zh-CN"/>
                    </w:rPr>
                    <w:t>原料</w:t>
                  </w:r>
                  <w:r>
                    <w:rPr>
                      <w:rFonts w:hint="default" w:ascii="Times New Roman" w:hAnsi="Times New Roman" w:eastAsia="宋体" w:cs="Times New Roman"/>
                      <w:sz w:val="21"/>
                      <w:szCs w:val="21"/>
                      <w:u w:val="none" w:color="auto"/>
                      <w:lang w:eastAsia="zh-CN"/>
                    </w:rPr>
                    <w:t>。</w:t>
                  </w:r>
                </w:p>
                <w:p w14:paraId="038E64FA">
                  <w:pPr>
                    <w:pStyle w:val="5"/>
                    <w:keepNext/>
                    <w:keepLines w:val="0"/>
                    <w:pageBreakBefore w:val="0"/>
                    <w:widowControl w:val="0"/>
                    <w:kinsoku/>
                    <w:wordWrap/>
                    <w:overflowPunct w:val="0"/>
                    <w:topLinePunct w:val="0"/>
                    <w:autoSpaceDE/>
                    <w:autoSpaceDN/>
                    <w:bidi w:val="0"/>
                    <w:adjustRightInd/>
                    <w:snapToGrid w:val="0"/>
                    <w:spacing w:before="0" w:after="0" w:line="240" w:lineRule="auto"/>
                    <w:ind w:left="0" w:firstLine="0"/>
                    <w:jc w:val="both"/>
                    <w:textAlignment w:val="auto"/>
                    <w:rPr>
                      <w:rFonts w:hint="default"/>
                      <w:u w:val="none" w:color="auto"/>
                      <w:lang w:val="en-US" w:eastAsia="zh-CN"/>
                    </w:rPr>
                  </w:pPr>
                  <w:r>
                    <w:rPr>
                      <w:rFonts w:hint="default" w:ascii="Times New Roman" w:hAnsi="Times New Roman" w:eastAsia="宋体" w:cs="Times New Roman"/>
                      <w:sz w:val="21"/>
                      <w:szCs w:val="21"/>
                      <w:u w:val="none" w:color="auto"/>
                    </w:rPr>
                    <w:t>5</w:t>
                  </w:r>
                  <w:r>
                    <w:rPr>
                      <w:rFonts w:hint="default" w:ascii="Times New Roman" w:hAnsi="宋体" w:eastAsia="宋体" w:cs="Times New Roman"/>
                      <w:b w:val="0"/>
                      <w:bCs w:val="0"/>
                      <w:color w:val="000000"/>
                      <w:kern w:val="2"/>
                      <w:sz w:val="21"/>
                      <w:szCs w:val="21"/>
                      <w:u w:val="none" w:color="auto"/>
                      <w:lang w:val="en-US" w:eastAsia="zh-CN" w:bidi="ar-SA"/>
                    </w:rPr>
                    <w:t>、</w:t>
                  </w:r>
                  <w:r>
                    <w:rPr>
                      <w:rFonts w:hint="default" w:ascii="Times New Roman" w:hAnsi="Times New Roman" w:eastAsia="宋体" w:cs="Times New Roman"/>
                      <w:b w:val="0"/>
                      <w:bCs w:val="0"/>
                      <w:color w:val="auto"/>
                      <w:kern w:val="2"/>
                      <w:sz w:val="21"/>
                      <w:szCs w:val="21"/>
                      <w:u w:val="none" w:color="auto"/>
                      <w:lang w:val="en-US" w:eastAsia="zh-CN" w:bidi="ar-SA"/>
                    </w:rPr>
                    <w:t>本项目</w:t>
                  </w:r>
                  <w:r>
                    <w:rPr>
                      <w:rFonts w:hint="eastAsia" w:ascii="Times New Roman" w:hAnsi="Times New Roman" w:eastAsia="宋体" w:cs="Times New Roman"/>
                      <w:b w:val="0"/>
                      <w:bCs w:val="0"/>
                      <w:color w:val="auto"/>
                      <w:kern w:val="2"/>
                      <w:sz w:val="21"/>
                      <w:szCs w:val="21"/>
                      <w:u w:val="none" w:color="auto"/>
                      <w:lang w:val="en-US" w:eastAsia="zh-CN" w:bidi="ar-SA"/>
                    </w:rPr>
                    <w:t>为锂离子电池制造项目，不属于制药和电镀项目。</w:t>
                  </w:r>
                </w:p>
              </w:tc>
              <w:tc>
                <w:tcPr>
                  <w:tcW w:w="452" w:type="pct"/>
                  <w:tcBorders>
                    <w:tl2br w:val="nil"/>
                    <w:tr2bl w:val="nil"/>
                  </w:tcBorders>
                  <w:vAlign w:val="center"/>
                </w:tcPr>
                <w:p w14:paraId="18EB1543">
                  <w:pPr>
                    <w:adjustRightInd w:val="0"/>
                    <w:snapToGrid w:val="0"/>
                    <w:jc w:val="center"/>
                    <w:textAlignment w:val="baseline"/>
                    <w:rPr>
                      <w:color w:val="000000"/>
                      <w:szCs w:val="21"/>
                      <w:u w:val="none" w:color="auto"/>
                    </w:rPr>
                  </w:pPr>
                  <w:r>
                    <w:rPr>
                      <w:rFonts w:hint="eastAsia"/>
                      <w:color w:val="000000"/>
                      <w:szCs w:val="21"/>
                      <w:u w:val="none" w:color="auto"/>
                    </w:rPr>
                    <w:t>符合</w:t>
                  </w:r>
                </w:p>
              </w:tc>
            </w:tr>
            <w:tr w14:paraId="64EC962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vMerge w:val="continue"/>
                  <w:tcBorders>
                    <w:tl2br w:val="nil"/>
                    <w:tr2bl w:val="nil"/>
                  </w:tcBorders>
                  <w:vAlign w:val="center"/>
                </w:tcPr>
                <w:p w14:paraId="7BAFE58B">
                  <w:pPr>
                    <w:adjustRightInd w:val="0"/>
                    <w:snapToGrid w:val="0"/>
                    <w:jc w:val="center"/>
                    <w:textAlignment w:val="baseline"/>
                    <w:rPr>
                      <w:bCs/>
                      <w:color w:val="000000"/>
                      <w:szCs w:val="21"/>
                      <w:u w:val="none" w:color="auto"/>
                    </w:rPr>
                  </w:pPr>
                </w:p>
              </w:tc>
              <w:tc>
                <w:tcPr>
                  <w:tcW w:w="830" w:type="pct"/>
                  <w:tcBorders>
                    <w:tl2br w:val="nil"/>
                    <w:tr2bl w:val="nil"/>
                  </w:tcBorders>
                  <w:vAlign w:val="center"/>
                </w:tcPr>
                <w:p w14:paraId="41F99DAD">
                  <w:pPr>
                    <w:pStyle w:val="78"/>
                    <w:adjustRightInd w:val="0"/>
                    <w:snapToGrid w:val="0"/>
                    <w:jc w:val="center"/>
                    <w:rPr>
                      <w:rFonts w:hAnsi="宋体" w:eastAsia="宋体"/>
                      <w:snapToGrid/>
                      <w:kern w:val="2"/>
                      <w:sz w:val="21"/>
                      <w:szCs w:val="21"/>
                      <w:u w:val="none" w:color="auto"/>
                    </w:rPr>
                  </w:pPr>
                  <w:r>
                    <w:rPr>
                      <w:rFonts w:hAnsi="宋体" w:eastAsia="宋体"/>
                      <w:snapToGrid/>
                      <w:kern w:val="2"/>
                      <w:sz w:val="21"/>
                      <w:szCs w:val="21"/>
                      <w:u w:val="none" w:color="auto"/>
                    </w:rPr>
                    <w:t>环境风险防控</w:t>
                  </w:r>
                </w:p>
              </w:tc>
              <w:tc>
                <w:tcPr>
                  <w:tcW w:w="1568" w:type="pct"/>
                  <w:tcBorders>
                    <w:tl2br w:val="nil"/>
                    <w:tr2bl w:val="nil"/>
                  </w:tcBorders>
                  <w:vAlign w:val="center"/>
                </w:tcPr>
                <w:p w14:paraId="677A5ED9">
                  <w:pPr>
                    <w:pStyle w:val="78"/>
                    <w:keepNext w:val="0"/>
                    <w:keepLines w:val="0"/>
                    <w:pageBreakBefore w:val="0"/>
                    <w:numPr>
                      <w:ilvl w:val="0"/>
                      <w:numId w:val="10"/>
                    </w:numPr>
                    <w:kinsoku/>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 xml:space="preserve">建立健全集聚区环境风险管理体系。加快环境风险预警体系建设，健全环境风险单位信息库，严格危险化学品管理； </w:t>
                  </w:r>
                </w:p>
                <w:p w14:paraId="04BC1593">
                  <w:pPr>
                    <w:numPr>
                      <w:ilvl w:val="0"/>
                      <w:numId w:val="0"/>
                    </w:numPr>
                    <w:adjustRightInd w:val="0"/>
                    <w:snapToGrid w:val="0"/>
                    <w:ind w:leftChars="0"/>
                    <w:jc w:val="both"/>
                    <w:textAlignment w:val="baseline"/>
                    <w:rPr>
                      <w:rFonts w:hint="eastAsia" w:eastAsia="宋体"/>
                      <w:color w:val="000000"/>
                      <w:szCs w:val="21"/>
                      <w:u w:val="none" w:color="auto"/>
                    </w:rPr>
                  </w:pPr>
                  <w:r>
                    <w:rPr>
                      <w:rFonts w:hint="default" w:ascii="Times New Roman" w:hAnsi="Times New Roman" w:eastAsia="宋体" w:cs="Times New Roman"/>
                      <w:color w:val="auto"/>
                      <w:sz w:val="21"/>
                      <w:szCs w:val="21"/>
                      <w:u w:val="none" w:color="auto"/>
                    </w:rPr>
                    <w:t>2、规范产业集聚区建设，对涉重行业企业加强管理，建立土壤和地下水污染隐患排查治理制度、风险防控体系和长效监管机制。</w:t>
                  </w:r>
                </w:p>
              </w:tc>
              <w:tc>
                <w:tcPr>
                  <w:tcW w:w="1617" w:type="pct"/>
                  <w:tcBorders>
                    <w:tl2br w:val="nil"/>
                    <w:tr2bl w:val="nil"/>
                  </w:tcBorders>
                  <w:vAlign w:val="center"/>
                </w:tcPr>
                <w:p w14:paraId="34FDD333">
                  <w:pPr>
                    <w:pStyle w:val="29"/>
                    <w:keepNext w:val="0"/>
                    <w:keepLines w:val="0"/>
                    <w:pageBreakBefore w:val="0"/>
                    <w:kinsoku/>
                    <w:overflowPunct/>
                    <w:topLinePunct w:val="0"/>
                    <w:autoSpaceDE/>
                    <w:autoSpaceDN/>
                    <w:bidi w:val="0"/>
                    <w:adjustRightInd w:val="0"/>
                    <w:snapToGrid w:val="0"/>
                    <w:spacing w:before="0" w:beforeAutospacing="0" w:after="0" w:afterAutospacing="0" w:line="240" w:lineRule="auto"/>
                    <w:ind w:firstLine="0" w:firstLineChars="0"/>
                    <w:jc w:val="both"/>
                    <w:rPr>
                      <w:rFonts w:hint="eastAsia" w:ascii="Times New Roman" w:hAnsi="Times New Roman"/>
                      <w:sz w:val="21"/>
                      <w:szCs w:val="21"/>
                      <w:u w:val="none" w:color="auto"/>
                    </w:rPr>
                  </w:pPr>
                  <w:r>
                    <w:rPr>
                      <w:rFonts w:hint="eastAsia" w:ascii="Times New Roman" w:hAnsi="Times New Roman" w:eastAsia="宋体" w:cs="Times New Roman"/>
                      <w:snapToGrid w:val="0"/>
                      <w:color w:val="000000"/>
                      <w:sz w:val="21"/>
                      <w:szCs w:val="21"/>
                      <w:u w:val="none" w:color="auto"/>
                      <w:lang w:val="en-US" w:eastAsia="zh-CN"/>
                    </w:rPr>
                    <w:t>1、</w:t>
                  </w:r>
                  <w:r>
                    <w:rPr>
                      <w:rFonts w:hint="eastAsia" w:ascii="Times New Roman" w:hAnsi="Times New Roman"/>
                      <w:sz w:val="21"/>
                      <w:szCs w:val="21"/>
                      <w:u w:val="none" w:color="auto"/>
                    </w:rPr>
                    <w:t>本项目建设完成后按照环保要求建立环境风险管理体系。</w:t>
                  </w:r>
                </w:p>
                <w:p w14:paraId="267B010E">
                  <w:pPr>
                    <w:adjustRightInd w:val="0"/>
                    <w:snapToGrid w:val="0"/>
                    <w:jc w:val="both"/>
                    <w:textAlignment w:val="baseline"/>
                    <w:rPr>
                      <w:rFonts w:hint="default" w:hAnsi="宋体"/>
                      <w:color w:val="000000"/>
                      <w:szCs w:val="21"/>
                      <w:u w:val="none" w:color="auto"/>
                      <w:lang w:val="en-US" w:eastAsia="zh-CN"/>
                    </w:rPr>
                  </w:pPr>
                  <w:r>
                    <w:rPr>
                      <w:rFonts w:hint="eastAsia" w:ascii="Times New Roman" w:hAnsi="Times New Roman" w:eastAsia="宋体"/>
                      <w:sz w:val="21"/>
                      <w:szCs w:val="21"/>
                      <w:u w:val="none" w:color="auto"/>
                      <w:lang w:val="en-US" w:eastAsia="zh-CN"/>
                    </w:rPr>
                    <w:t>2、</w:t>
                  </w:r>
                  <w:r>
                    <w:rPr>
                      <w:rFonts w:hint="eastAsia" w:ascii="Times New Roman" w:hAnsi="Times New Roman"/>
                      <w:sz w:val="21"/>
                      <w:szCs w:val="21"/>
                      <w:u w:val="none" w:color="auto"/>
                    </w:rPr>
                    <w:t>本项目不属于涉重行业项目</w:t>
                  </w:r>
                  <w:r>
                    <w:rPr>
                      <w:rFonts w:hint="default" w:ascii="Times New Roman" w:hAnsi="Times New Roman" w:eastAsia="宋体" w:cs="Times New Roman"/>
                      <w:snapToGrid w:val="0"/>
                      <w:color w:val="000000"/>
                      <w:sz w:val="21"/>
                      <w:szCs w:val="21"/>
                      <w:u w:val="none" w:color="auto"/>
                    </w:rPr>
                    <w:t>。</w:t>
                  </w:r>
                </w:p>
              </w:tc>
              <w:tc>
                <w:tcPr>
                  <w:tcW w:w="452" w:type="pct"/>
                  <w:tcBorders>
                    <w:tl2br w:val="nil"/>
                    <w:tr2bl w:val="nil"/>
                  </w:tcBorders>
                  <w:vAlign w:val="center"/>
                </w:tcPr>
                <w:p w14:paraId="6E3178AC">
                  <w:pPr>
                    <w:adjustRightInd w:val="0"/>
                    <w:snapToGrid w:val="0"/>
                    <w:jc w:val="center"/>
                    <w:textAlignment w:val="baseline"/>
                    <w:rPr>
                      <w:color w:val="000000"/>
                      <w:szCs w:val="21"/>
                      <w:u w:val="none" w:color="auto"/>
                    </w:rPr>
                  </w:pPr>
                  <w:r>
                    <w:rPr>
                      <w:rFonts w:hint="eastAsia"/>
                      <w:color w:val="000000"/>
                      <w:szCs w:val="21"/>
                      <w:u w:val="none" w:color="auto"/>
                    </w:rPr>
                    <w:t>不涉及</w:t>
                  </w:r>
                </w:p>
              </w:tc>
            </w:tr>
            <w:tr w14:paraId="6A1B0CC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 w:type="pct"/>
                  <w:vMerge w:val="continue"/>
                  <w:tcBorders>
                    <w:tl2br w:val="nil"/>
                    <w:tr2bl w:val="nil"/>
                  </w:tcBorders>
                  <w:vAlign w:val="center"/>
                </w:tcPr>
                <w:p w14:paraId="72FB0ADD">
                  <w:pPr>
                    <w:adjustRightInd w:val="0"/>
                    <w:snapToGrid w:val="0"/>
                    <w:jc w:val="center"/>
                    <w:textAlignment w:val="baseline"/>
                    <w:rPr>
                      <w:bCs/>
                      <w:color w:val="000000"/>
                      <w:szCs w:val="21"/>
                      <w:u w:val="none" w:color="auto"/>
                    </w:rPr>
                  </w:pPr>
                </w:p>
              </w:tc>
              <w:tc>
                <w:tcPr>
                  <w:tcW w:w="830" w:type="pct"/>
                  <w:tcBorders>
                    <w:tl2br w:val="nil"/>
                    <w:tr2bl w:val="nil"/>
                  </w:tcBorders>
                  <w:vAlign w:val="center"/>
                </w:tcPr>
                <w:p w14:paraId="6CA38AF9">
                  <w:pPr>
                    <w:pStyle w:val="78"/>
                    <w:adjustRightInd w:val="0"/>
                    <w:snapToGrid w:val="0"/>
                    <w:jc w:val="center"/>
                    <w:rPr>
                      <w:rFonts w:hAnsi="宋体" w:eastAsia="宋体"/>
                      <w:snapToGrid/>
                      <w:kern w:val="2"/>
                      <w:sz w:val="21"/>
                      <w:szCs w:val="21"/>
                      <w:u w:val="none" w:color="auto"/>
                    </w:rPr>
                  </w:pPr>
                  <w:r>
                    <w:rPr>
                      <w:rFonts w:hint="eastAsia" w:hAnsi="宋体" w:eastAsia="宋体"/>
                      <w:snapToGrid/>
                      <w:kern w:val="2"/>
                      <w:sz w:val="21"/>
                      <w:szCs w:val="21"/>
                      <w:u w:val="none" w:color="auto"/>
                    </w:rPr>
                    <w:t>资源利用效率要求</w:t>
                  </w:r>
                </w:p>
              </w:tc>
              <w:tc>
                <w:tcPr>
                  <w:tcW w:w="1568" w:type="pct"/>
                  <w:tcBorders>
                    <w:tl2br w:val="nil"/>
                    <w:tr2bl w:val="nil"/>
                  </w:tcBorders>
                  <w:vAlign w:val="center"/>
                </w:tcPr>
                <w:p w14:paraId="7CB090C1">
                  <w:pPr>
                    <w:adjustRightInd w:val="0"/>
                    <w:snapToGrid w:val="0"/>
                    <w:jc w:val="both"/>
                    <w:textAlignment w:val="baseline"/>
                    <w:rPr>
                      <w:rFonts w:hint="eastAsia" w:eastAsia="宋体"/>
                      <w:color w:val="000000"/>
                      <w:szCs w:val="21"/>
                      <w:u w:val="none" w:color="auto"/>
                    </w:rPr>
                  </w:pPr>
                  <w:r>
                    <w:rPr>
                      <w:rFonts w:hint="default" w:ascii="Times New Roman" w:hAnsi="Times New Roman" w:eastAsia="宋体" w:cs="Times New Roman"/>
                      <w:color w:val="auto"/>
                      <w:sz w:val="21"/>
                      <w:szCs w:val="21"/>
                      <w:u w:val="none" w:color="auto"/>
                    </w:rPr>
                    <w:t>进一步优化能源结构，加快集聚区集中供热、供气及配套管网建设。不得新改扩建分散燃煤设施。</w:t>
                  </w:r>
                </w:p>
              </w:tc>
              <w:tc>
                <w:tcPr>
                  <w:tcW w:w="1617" w:type="pct"/>
                  <w:tcBorders>
                    <w:tl2br w:val="nil"/>
                    <w:tr2bl w:val="nil"/>
                  </w:tcBorders>
                  <w:vAlign w:val="center"/>
                </w:tcPr>
                <w:p w14:paraId="2BCA4162">
                  <w:pPr>
                    <w:adjustRightInd w:val="0"/>
                    <w:snapToGrid w:val="0"/>
                    <w:jc w:val="both"/>
                    <w:textAlignment w:val="baseline"/>
                    <w:rPr>
                      <w:color w:val="000000"/>
                      <w:szCs w:val="21"/>
                      <w:u w:val="none" w:color="auto"/>
                    </w:rPr>
                  </w:pPr>
                  <w:r>
                    <w:rPr>
                      <w:rFonts w:hint="default" w:ascii="Times New Roman" w:hAnsi="Times New Roman" w:eastAsia="宋体" w:cs="Times New Roman"/>
                      <w:sz w:val="21"/>
                      <w:szCs w:val="21"/>
                      <w:u w:val="none" w:color="auto"/>
                    </w:rPr>
                    <w:t>本项目</w:t>
                  </w:r>
                  <w:r>
                    <w:rPr>
                      <w:rFonts w:hint="eastAsia" w:cs="Times New Roman"/>
                      <w:sz w:val="21"/>
                      <w:szCs w:val="21"/>
                      <w:u w:val="none" w:color="auto"/>
                      <w:lang w:val="en-US" w:eastAsia="zh-CN"/>
                    </w:rPr>
                    <w:t>采用的热蒸汽外购，</w:t>
                  </w:r>
                  <w:r>
                    <w:rPr>
                      <w:rFonts w:hint="default" w:ascii="Times New Roman" w:hAnsi="Times New Roman" w:eastAsia="宋体" w:cs="Times New Roman"/>
                      <w:sz w:val="21"/>
                      <w:szCs w:val="21"/>
                      <w:u w:val="none" w:color="auto"/>
                    </w:rPr>
                    <w:t>不涉及燃煤设施的建设。</w:t>
                  </w:r>
                </w:p>
              </w:tc>
              <w:tc>
                <w:tcPr>
                  <w:tcW w:w="452" w:type="pct"/>
                  <w:tcBorders>
                    <w:tl2br w:val="nil"/>
                    <w:tr2bl w:val="nil"/>
                  </w:tcBorders>
                  <w:vAlign w:val="center"/>
                </w:tcPr>
                <w:p w14:paraId="63F2F7B9">
                  <w:pPr>
                    <w:adjustRightInd w:val="0"/>
                    <w:snapToGrid w:val="0"/>
                    <w:jc w:val="center"/>
                    <w:textAlignment w:val="baseline"/>
                    <w:rPr>
                      <w:color w:val="000000"/>
                      <w:szCs w:val="21"/>
                      <w:u w:val="none" w:color="auto"/>
                    </w:rPr>
                  </w:pPr>
                  <w:r>
                    <w:rPr>
                      <w:rFonts w:hint="eastAsia"/>
                      <w:color w:val="000000"/>
                      <w:szCs w:val="21"/>
                      <w:u w:val="none" w:color="auto"/>
                    </w:rPr>
                    <w:t>符合</w:t>
                  </w:r>
                </w:p>
              </w:tc>
            </w:tr>
          </w:tbl>
          <w:p w14:paraId="38EC36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eastAsia" w:ascii="Times New Roman" w:hAnsi="Times New Roman" w:eastAsia="宋体" w:cs="Times New Roman"/>
                <w:color w:val="auto"/>
                <w:sz w:val="24"/>
                <w:u w:val="none" w:color="auto"/>
              </w:rPr>
            </w:pPr>
            <w:r>
              <w:rPr>
                <w:rFonts w:hint="eastAsia" w:ascii="Times New Roman" w:hAnsi="Times New Roman" w:eastAsia="宋体" w:cs="Times New Roman"/>
                <w:color w:val="auto"/>
                <w:sz w:val="24"/>
                <w:u w:val="none" w:color="auto"/>
              </w:rPr>
              <w:t>由表可知，本项目</w:t>
            </w:r>
            <w:r>
              <w:rPr>
                <w:rFonts w:hint="eastAsia" w:ascii="Times New Roman" w:hAnsi="宋体" w:eastAsia="宋体" w:cs="Times New Roman"/>
                <w:color w:val="auto"/>
                <w:sz w:val="24"/>
                <w:u w:val="none" w:color="auto"/>
              </w:rPr>
              <w:t>符合《新乡市“三线一单”生态环境准入清单》（2023年版）相关要求。</w:t>
            </w:r>
          </w:p>
          <w:p w14:paraId="0C135CB9">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2" w:firstLineChars="200"/>
              <w:textAlignment w:val="auto"/>
              <w:rPr>
                <w:rFonts w:hint="default" w:ascii="Times New Roman" w:hAnsi="Times New Roman" w:eastAsia="宋体" w:cs="Times New Roman"/>
                <w:b/>
                <w:sz w:val="24"/>
                <w:szCs w:val="24"/>
                <w:u w:val="none" w:color="auto"/>
                <w:lang w:val="en-US" w:eastAsia="zh-CN"/>
              </w:rPr>
            </w:pPr>
            <w:r>
              <w:rPr>
                <w:rFonts w:hint="eastAsia" w:cs="Times New Roman"/>
                <w:b/>
                <w:sz w:val="24"/>
                <w:szCs w:val="24"/>
                <w:u w:val="none" w:color="auto"/>
                <w:lang w:val="en-US" w:eastAsia="zh-CN"/>
              </w:rPr>
              <w:t>5、本项目与《新乡市生态环境保护委员会办公室关于印发&lt;新乡市2026年蓝天保卫战实施方案&gt;&lt;新乡市2026年碧水保卫战实施方案&gt;&lt;新乡市2026年净土保卫战实施方案&gt;（新环委办〔2026〕20号）、&lt;新乡市2026年柴油货车污染治理攻坚战实施方案&gt;的通知》（新环委办〔2026〕21号）（以下简称《攻坚战实施方案》）相符性分析如下。</w:t>
            </w:r>
          </w:p>
          <w:p w14:paraId="074AC996">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default" w:ascii="Times New Roman" w:hAnsi="Times New Roman" w:eastAsia="宋体" w:cs="Times New Roman"/>
                <w:b/>
                <w:bCs w:val="0"/>
                <w:sz w:val="24"/>
                <w:u w:val="none" w:color="auto"/>
                <w:lang w:val="en-US" w:eastAsia="zh-CN"/>
              </w:rPr>
            </w:pPr>
          </w:p>
          <w:p w14:paraId="57AE1F52">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default" w:ascii="Times New Roman" w:hAnsi="Times New Roman" w:eastAsia="宋体" w:cs="Times New Roman"/>
                <w:b/>
                <w:bCs w:val="0"/>
                <w:sz w:val="24"/>
                <w:u w:val="none" w:color="auto"/>
              </w:rPr>
            </w:pPr>
            <w:r>
              <w:rPr>
                <w:rFonts w:hint="default" w:ascii="Times New Roman" w:hAnsi="Times New Roman" w:eastAsia="宋体" w:cs="Times New Roman"/>
                <w:b/>
                <w:bCs w:val="0"/>
                <w:sz w:val="24"/>
                <w:u w:val="none" w:color="auto"/>
                <w:lang w:val="en-US" w:eastAsia="zh-CN"/>
              </w:rPr>
              <w:t>表 1-</w:t>
            </w:r>
            <w:r>
              <w:rPr>
                <w:rFonts w:hint="eastAsia" w:cs="Times New Roman"/>
                <w:b/>
                <w:bCs w:val="0"/>
                <w:sz w:val="24"/>
                <w:u w:val="none" w:color="auto"/>
                <w:lang w:val="en-US" w:eastAsia="zh-CN"/>
              </w:rPr>
              <w:t>8</w:t>
            </w:r>
            <w:r>
              <w:rPr>
                <w:rFonts w:hint="default" w:ascii="Times New Roman" w:hAnsi="Times New Roman" w:eastAsia="宋体" w:cs="Times New Roman"/>
                <w:b/>
                <w:bCs w:val="0"/>
                <w:sz w:val="24"/>
                <w:u w:val="none" w:color="auto"/>
                <w:lang w:val="en-US" w:eastAsia="zh-CN"/>
              </w:rPr>
              <w:t xml:space="preserve">    </w:t>
            </w:r>
            <w:r>
              <w:rPr>
                <w:rFonts w:hint="default" w:ascii="Times New Roman" w:hAnsi="Times New Roman" w:eastAsia="宋体" w:cs="Times New Roman"/>
                <w:b/>
                <w:bCs w:val="0"/>
                <w:sz w:val="24"/>
                <w:u w:val="none" w:color="auto"/>
              </w:rPr>
              <w:t>本项目与《攻坚战实施方案》的相符性分析</w:t>
            </w:r>
          </w:p>
          <w:tbl>
            <w:tblPr>
              <w:tblStyle w:val="33"/>
              <w:tblW w:w="7757" w:type="dxa"/>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8"/>
              <w:gridCol w:w="4217"/>
              <w:gridCol w:w="1717"/>
              <w:gridCol w:w="825"/>
            </w:tblGrid>
            <w:tr w14:paraId="176A5A8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dxa"/>
                  <w:tcBorders>
                    <w:tl2br w:val="nil"/>
                    <w:tr2bl w:val="nil"/>
                  </w:tcBorders>
                  <w:vAlign w:val="center"/>
                </w:tcPr>
                <w:p w14:paraId="7E149B52">
                  <w:pPr>
                    <w:adjustRightInd w:val="0"/>
                    <w:snapToGrid w:val="0"/>
                    <w:jc w:val="center"/>
                    <w:textAlignment w:val="baseline"/>
                    <w:rPr>
                      <w:rFonts w:ascii="宋体" w:hAnsi="宋体"/>
                      <w:b/>
                      <w:color w:val="000000"/>
                      <w:szCs w:val="21"/>
                      <w:u w:val="none" w:color="auto"/>
                    </w:rPr>
                  </w:pPr>
                  <w:r>
                    <w:rPr>
                      <w:rFonts w:ascii="宋体" w:hAnsi="宋体"/>
                      <w:b/>
                      <w:color w:val="000000"/>
                      <w:szCs w:val="21"/>
                      <w:u w:val="none" w:color="auto"/>
                    </w:rPr>
                    <w:t>类别</w:t>
                  </w:r>
                </w:p>
              </w:tc>
              <w:tc>
                <w:tcPr>
                  <w:tcW w:w="4217" w:type="dxa"/>
                  <w:tcBorders>
                    <w:tl2br w:val="nil"/>
                    <w:tr2bl w:val="nil"/>
                  </w:tcBorders>
                  <w:vAlign w:val="center"/>
                </w:tcPr>
                <w:p w14:paraId="7D26F74C">
                  <w:pPr>
                    <w:adjustRightInd w:val="0"/>
                    <w:snapToGrid w:val="0"/>
                    <w:jc w:val="center"/>
                    <w:textAlignment w:val="baseline"/>
                    <w:rPr>
                      <w:rFonts w:ascii="宋体" w:hAnsi="宋体"/>
                      <w:b/>
                      <w:color w:val="000000"/>
                      <w:szCs w:val="21"/>
                      <w:u w:val="none" w:color="auto"/>
                    </w:rPr>
                  </w:pPr>
                  <w:r>
                    <w:rPr>
                      <w:rFonts w:ascii="宋体" w:hAnsi="宋体"/>
                      <w:b/>
                      <w:color w:val="000000"/>
                      <w:szCs w:val="21"/>
                      <w:u w:val="none" w:color="auto"/>
                    </w:rPr>
                    <w:t>内容</w:t>
                  </w:r>
                </w:p>
              </w:tc>
              <w:tc>
                <w:tcPr>
                  <w:tcW w:w="1717" w:type="dxa"/>
                  <w:tcBorders>
                    <w:tl2br w:val="nil"/>
                    <w:tr2bl w:val="nil"/>
                  </w:tcBorders>
                  <w:vAlign w:val="center"/>
                </w:tcPr>
                <w:p w14:paraId="5FF764E1">
                  <w:pPr>
                    <w:adjustRightInd w:val="0"/>
                    <w:snapToGrid w:val="0"/>
                    <w:jc w:val="center"/>
                    <w:textAlignment w:val="baseline"/>
                    <w:rPr>
                      <w:rFonts w:ascii="宋体" w:hAnsi="宋体"/>
                      <w:b/>
                      <w:color w:val="000000"/>
                      <w:szCs w:val="21"/>
                      <w:u w:val="none" w:color="auto"/>
                    </w:rPr>
                  </w:pPr>
                  <w:r>
                    <w:rPr>
                      <w:rFonts w:ascii="宋体" w:hAnsi="宋体"/>
                      <w:b/>
                      <w:color w:val="000000"/>
                      <w:szCs w:val="21"/>
                      <w:u w:val="none" w:color="auto"/>
                    </w:rPr>
                    <w:t>本项目情况</w:t>
                  </w:r>
                </w:p>
              </w:tc>
              <w:tc>
                <w:tcPr>
                  <w:tcW w:w="825" w:type="dxa"/>
                  <w:tcBorders>
                    <w:tl2br w:val="nil"/>
                    <w:tr2bl w:val="nil"/>
                  </w:tcBorders>
                  <w:vAlign w:val="center"/>
                </w:tcPr>
                <w:p w14:paraId="01C7EAE6">
                  <w:pPr>
                    <w:adjustRightInd w:val="0"/>
                    <w:snapToGrid w:val="0"/>
                    <w:jc w:val="center"/>
                    <w:textAlignment w:val="baseline"/>
                    <w:rPr>
                      <w:rFonts w:ascii="宋体" w:hAnsi="宋体"/>
                      <w:b/>
                      <w:color w:val="000000"/>
                      <w:szCs w:val="21"/>
                      <w:u w:val="none" w:color="auto"/>
                    </w:rPr>
                  </w:pPr>
                  <w:r>
                    <w:rPr>
                      <w:rFonts w:ascii="宋体" w:hAnsi="宋体"/>
                      <w:b/>
                      <w:color w:val="000000"/>
                      <w:szCs w:val="21"/>
                      <w:u w:val="none" w:color="auto"/>
                    </w:rPr>
                    <w:t>对比结果</w:t>
                  </w:r>
                </w:p>
              </w:tc>
            </w:tr>
            <w:tr w14:paraId="03DC309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57" w:type="dxa"/>
                  <w:gridSpan w:val="4"/>
                  <w:tcBorders>
                    <w:tl2br w:val="nil"/>
                    <w:tr2bl w:val="nil"/>
                  </w:tcBorders>
                  <w:shd w:val="clear" w:color="auto" w:fill="auto"/>
                  <w:vAlign w:val="center"/>
                </w:tcPr>
                <w:p w14:paraId="6D79151D">
                  <w:pPr>
                    <w:adjustRightInd w:val="0"/>
                    <w:snapToGrid w:val="0"/>
                    <w:jc w:val="center"/>
                    <w:textAlignment w:val="baseline"/>
                    <w:rPr>
                      <w:rFonts w:ascii="Times New Roman" w:hAnsi="Times New Roman" w:eastAsia="宋体" w:cs="Times New Roman"/>
                      <w:b/>
                      <w:bCs/>
                      <w:color w:val="000000"/>
                      <w:kern w:val="2"/>
                      <w:sz w:val="21"/>
                      <w:szCs w:val="21"/>
                      <w:u w:val="none" w:color="auto"/>
                      <w:lang w:val="en-US" w:eastAsia="zh-CN" w:bidi="ar-SA"/>
                    </w:rPr>
                  </w:pPr>
                  <w:r>
                    <w:rPr>
                      <w:rFonts w:hint="eastAsia"/>
                      <w:b/>
                      <w:bCs/>
                      <w:color w:val="000000"/>
                      <w:szCs w:val="21"/>
                      <w:u w:val="none" w:color="auto"/>
                      <w:lang w:eastAsia="zh-CN"/>
                    </w:rPr>
                    <w:t>《</w:t>
                  </w:r>
                  <w:r>
                    <w:rPr>
                      <w:rFonts w:hint="eastAsia"/>
                      <w:b/>
                      <w:bCs/>
                      <w:color w:val="000000"/>
                      <w:szCs w:val="21"/>
                      <w:u w:val="none" w:color="auto"/>
                    </w:rPr>
                    <w:t>新乡市</w:t>
                  </w:r>
                  <w:r>
                    <w:rPr>
                      <w:rFonts w:hint="eastAsia"/>
                      <w:b/>
                      <w:bCs/>
                      <w:color w:val="000000"/>
                      <w:szCs w:val="21"/>
                      <w:u w:val="none" w:color="auto"/>
                      <w:lang w:val="en-US" w:eastAsia="zh-CN"/>
                    </w:rPr>
                    <w:t>2026</w:t>
                  </w:r>
                  <w:r>
                    <w:rPr>
                      <w:rFonts w:hint="eastAsia"/>
                      <w:b/>
                      <w:bCs/>
                      <w:color w:val="000000"/>
                      <w:szCs w:val="21"/>
                      <w:u w:val="none" w:color="auto"/>
                    </w:rPr>
                    <w:t>年蓝天保卫战实施方案</w:t>
                  </w:r>
                  <w:r>
                    <w:rPr>
                      <w:rFonts w:hint="eastAsia"/>
                      <w:b/>
                      <w:bCs/>
                      <w:color w:val="000000"/>
                      <w:szCs w:val="21"/>
                      <w:u w:val="none" w:color="auto"/>
                      <w:lang w:eastAsia="zh-CN"/>
                    </w:rPr>
                    <w:t>》</w:t>
                  </w:r>
                </w:p>
              </w:tc>
            </w:tr>
            <w:tr w14:paraId="7BF90CE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dxa"/>
                  <w:tcBorders>
                    <w:tl2br w:val="nil"/>
                    <w:tr2bl w:val="nil"/>
                  </w:tcBorders>
                  <w:vAlign w:val="center"/>
                </w:tcPr>
                <w:p w14:paraId="0062A6C2">
                  <w:pPr>
                    <w:adjustRightInd w:val="0"/>
                    <w:snapToGrid w:val="0"/>
                    <w:jc w:val="left"/>
                    <w:textAlignment w:val="baseline"/>
                    <w:rPr>
                      <w:rFonts w:hint="eastAsia" w:eastAsia="宋体"/>
                      <w:color w:val="000000"/>
                      <w:szCs w:val="21"/>
                      <w:u w:val="none" w:color="auto"/>
                      <w:lang w:val="en-US" w:eastAsia="zh-CN"/>
                    </w:rPr>
                  </w:pPr>
                  <w:r>
                    <w:rPr>
                      <w:rFonts w:hint="eastAsia"/>
                      <w:color w:val="000000"/>
                      <w:szCs w:val="21"/>
                      <w:u w:val="none" w:color="auto"/>
                      <w:lang w:val="en-US" w:eastAsia="zh-CN"/>
                    </w:rPr>
                    <w:t>2.</w:t>
                  </w:r>
                  <w:r>
                    <w:rPr>
                      <w:rFonts w:hint="default" w:ascii="Times New Roman" w:hAnsi="Times New Roman" w:eastAsia="宋体" w:cs="Times New Roman"/>
                      <w:bCs/>
                      <w:color w:val="000000" w:themeColor="text1"/>
                      <w:sz w:val="21"/>
                      <w:szCs w:val="21"/>
                      <w:highlight w:val="none"/>
                      <w:u w:val="none" w:color="auto"/>
                      <w:lang w:val="en-US" w:eastAsia="zh-CN"/>
                      <w14:textFill>
                        <w14:solidFill>
                          <w14:schemeClr w14:val="tx1"/>
                        </w14:solidFill>
                      </w14:textFill>
                    </w:rPr>
                    <w:t>依法依规淘汰落后</w:t>
                  </w:r>
                  <w:r>
                    <w:rPr>
                      <w:rFonts w:hint="eastAsia" w:cs="Times New Roman"/>
                      <w:bCs/>
                      <w:color w:val="000000" w:themeColor="text1"/>
                      <w:sz w:val="21"/>
                      <w:szCs w:val="21"/>
                      <w:highlight w:val="none"/>
                      <w:u w:val="none" w:color="auto"/>
                      <w:lang w:val="en-US" w:eastAsia="zh-CN"/>
                      <w14:textFill>
                        <w14:solidFill>
                          <w14:schemeClr w14:val="tx1"/>
                        </w14:solidFill>
                      </w14:textFill>
                    </w:rPr>
                    <w:t>低效</w:t>
                  </w:r>
                  <w:r>
                    <w:rPr>
                      <w:rFonts w:hint="default" w:ascii="Times New Roman" w:hAnsi="Times New Roman" w:eastAsia="宋体" w:cs="Times New Roman"/>
                      <w:bCs/>
                      <w:color w:val="000000" w:themeColor="text1"/>
                      <w:sz w:val="21"/>
                      <w:szCs w:val="21"/>
                      <w:highlight w:val="none"/>
                      <w:u w:val="none" w:color="auto"/>
                      <w:lang w:val="en-US" w:eastAsia="zh-CN"/>
                      <w14:textFill>
                        <w14:solidFill>
                          <w14:schemeClr w14:val="tx1"/>
                        </w14:solidFill>
                      </w14:textFill>
                    </w:rPr>
                    <w:t>产能</w:t>
                  </w:r>
                </w:p>
              </w:tc>
              <w:tc>
                <w:tcPr>
                  <w:tcW w:w="4217" w:type="dxa"/>
                  <w:tcBorders>
                    <w:tl2br w:val="nil"/>
                    <w:tr2bl w:val="nil"/>
                  </w:tcBorders>
                  <w:vAlign w:val="center"/>
                </w:tcPr>
                <w:p w14:paraId="316672A9">
                  <w:pPr>
                    <w:adjustRightInd w:val="0"/>
                    <w:snapToGrid w:val="0"/>
                    <w:jc w:val="both"/>
                    <w:textAlignment w:val="baseline"/>
                    <w:rPr>
                      <w:rFonts w:hint="default"/>
                      <w:b/>
                      <w:bCs w:val="0"/>
                      <w:color w:val="000000"/>
                      <w:szCs w:val="21"/>
                      <w:u w:val="none" w:color="auto"/>
                      <w:lang w:val="en-US" w:eastAsia="zh-CN"/>
                    </w:rPr>
                  </w:pPr>
                  <w:r>
                    <w:rPr>
                      <w:rFonts w:hint="eastAsia" w:ascii="Times New Roman" w:hAnsi="Times New Roman" w:eastAsia="宋体" w:cs="Times New Roman"/>
                      <w:color w:val="000000" w:themeColor="text1"/>
                      <w:kern w:val="0"/>
                      <w:sz w:val="21"/>
                      <w:szCs w:val="21"/>
                      <w:highlight w:val="none"/>
                      <w:u w:val="none" w:color="auto"/>
                      <w:lang w:val="en-US" w:eastAsia="zh-CN"/>
                      <w14:textFill>
                        <w14:solidFill>
                          <w14:schemeClr w14:val="tx1"/>
                        </w14:solidFill>
                      </w14:textFill>
                    </w:rPr>
                    <w:t>严格执行质量、环保、能耗、安全等法规标准，依法依规全面退出淘汰类产能和设备，加快整合退出一批涉气行业限制类产能，建立清单台账，2026年10月底前完成淘汰退出。(市工信局牵头负责)按照《工业重点领域能效标杆水平和基准水平(2023年版)》，对炼油、煤制焦炭、煤制甲醇、煤制烯烃、煤制乙二醇、烧碱、纯碱、电石、乙烯、对二甲苯、黄磷、合成氨、磷酸一铵、磷酸二铵、水泥熟料、平板玻璃、建筑陶瓷、卫生陶瓷、炼铁、炼钢、铁合金冶炼、铜冶炼、铅冶炼、锌冶炼、电解铝等25个领域及乙二醇，尿素，钛白粉，聚氯乙烯，精对苯二甲酸，子午线轮胎，工业硅，卫生纸原纸、纸巾原纸，棉、化纤及混纺机织物，针织物、纱线，粘胶短纤维等11个领域持续开展能源利用状况审核，实现能效低于</w:t>
                  </w:r>
                  <w:r>
                    <w:rPr>
                      <w:rFonts w:hint="eastAsia" w:cs="Times New Roman"/>
                      <w:color w:val="000000" w:themeColor="text1"/>
                      <w:kern w:val="0"/>
                      <w:sz w:val="21"/>
                      <w:szCs w:val="21"/>
                      <w:highlight w:val="none"/>
                      <w:u w:val="none" w:color="auto"/>
                      <w:lang w:val="en-US" w:eastAsia="zh-CN"/>
                      <w14:textFill>
                        <w14:solidFill>
                          <w14:schemeClr w14:val="tx1"/>
                        </w14:solidFill>
                      </w14:textFill>
                    </w:rPr>
                    <w:t>基准水平项目“动态清零”。</w:t>
                  </w:r>
                </w:p>
              </w:tc>
              <w:tc>
                <w:tcPr>
                  <w:tcW w:w="1717" w:type="dxa"/>
                  <w:tcBorders>
                    <w:tl2br w:val="nil"/>
                    <w:tr2bl w:val="nil"/>
                  </w:tcBorders>
                  <w:vAlign w:val="center"/>
                </w:tcPr>
                <w:p w14:paraId="7EDEB132">
                  <w:pPr>
                    <w:adjustRightInd w:val="0"/>
                    <w:snapToGrid w:val="0"/>
                    <w:jc w:val="both"/>
                    <w:textAlignment w:val="baseline"/>
                    <w:rPr>
                      <w:rFonts w:hint="eastAsia" w:eastAsia="宋体"/>
                      <w:color w:val="FF0000"/>
                      <w:szCs w:val="21"/>
                      <w:u w:val="none" w:color="auto"/>
                      <w:lang w:val="en-US" w:eastAsia="zh-CN"/>
                    </w:rPr>
                  </w:pPr>
                  <w:r>
                    <w:rPr>
                      <w:rFonts w:hint="default" w:ascii="Times New Roman" w:hAnsi="Times New Roman" w:eastAsia="宋体" w:cs="Times New Roman"/>
                      <w:color w:val="000000" w:themeColor="text1"/>
                      <w:kern w:val="0"/>
                      <w:sz w:val="21"/>
                      <w:szCs w:val="21"/>
                      <w:highlight w:val="none"/>
                      <w:u w:val="none" w:color="auto"/>
                      <w14:textFill>
                        <w14:solidFill>
                          <w14:schemeClr w14:val="tx1"/>
                        </w14:solidFill>
                      </w14:textFill>
                    </w:rPr>
                    <w:t>本项目不属于《产业结构调整指导目录（2024年本）》《河南省淘汰落后产能综合标准体系（2023年本）》明确的淘汰类项目</w:t>
                  </w:r>
                  <w:r>
                    <w:rPr>
                      <w:rFonts w:hint="eastAsia" w:ascii="Times New Roman" w:hAnsi="Times New Roman" w:eastAsia="宋体" w:cs="Times New Roman"/>
                      <w:color w:val="000000" w:themeColor="text1"/>
                      <w:kern w:val="0"/>
                      <w:sz w:val="21"/>
                      <w:szCs w:val="21"/>
                      <w:highlight w:val="none"/>
                      <w:u w:val="none" w:color="auto"/>
                      <w:lang w:eastAsia="zh-CN"/>
                      <w14:textFill>
                        <w14:solidFill>
                          <w14:schemeClr w14:val="tx1"/>
                        </w14:solidFill>
                      </w14:textFill>
                    </w:rPr>
                    <w:t>。</w:t>
                  </w:r>
                </w:p>
              </w:tc>
              <w:tc>
                <w:tcPr>
                  <w:tcW w:w="825" w:type="dxa"/>
                  <w:tcBorders>
                    <w:tl2br w:val="nil"/>
                    <w:tr2bl w:val="nil"/>
                  </w:tcBorders>
                  <w:vAlign w:val="center"/>
                </w:tcPr>
                <w:p w14:paraId="73FC3A16">
                  <w:pPr>
                    <w:adjustRightInd w:val="0"/>
                    <w:snapToGrid w:val="0"/>
                    <w:jc w:val="center"/>
                    <w:textAlignment w:val="baseline"/>
                    <w:rPr>
                      <w:rFonts w:hint="default" w:eastAsia="宋体"/>
                      <w:color w:val="000000"/>
                      <w:szCs w:val="21"/>
                      <w:u w:val="none" w:color="auto"/>
                      <w:lang w:val="en-US" w:eastAsia="zh-CN"/>
                    </w:rPr>
                  </w:pPr>
                  <w:r>
                    <w:rPr>
                      <w:rFonts w:hint="eastAsia"/>
                      <w:color w:val="000000"/>
                      <w:szCs w:val="21"/>
                      <w:u w:val="none" w:color="auto"/>
                      <w:lang w:val="en-US" w:eastAsia="zh-CN"/>
                    </w:rPr>
                    <w:t>符合</w:t>
                  </w:r>
                </w:p>
              </w:tc>
            </w:tr>
            <w:tr w14:paraId="7EAA887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dxa"/>
                  <w:tcBorders>
                    <w:tl2br w:val="nil"/>
                    <w:tr2bl w:val="nil"/>
                  </w:tcBorders>
                  <w:vAlign w:val="center"/>
                </w:tcPr>
                <w:p w14:paraId="5EB181F2">
                  <w:pPr>
                    <w:adjustRightInd w:val="0"/>
                    <w:snapToGrid w:val="0"/>
                    <w:jc w:val="both"/>
                    <w:textAlignment w:val="baseline"/>
                    <w:rPr>
                      <w:rFonts w:hint="default"/>
                      <w:color w:val="000000"/>
                      <w:szCs w:val="21"/>
                      <w:u w:val="none" w:color="auto"/>
                      <w:lang w:val="en-US" w:eastAsia="zh-CN"/>
                    </w:rPr>
                  </w:pPr>
                  <w:r>
                    <w:rPr>
                      <w:rFonts w:hint="eastAsia"/>
                      <w:color w:val="000000"/>
                      <w:szCs w:val="21"/>
                      <w:u w:val="none" w:color="auto"/>
                      <w:lang w:val="en-US" w:eastAsia="zh-CN"/>
                    </w:rPr>
                    <w:t>18.</w:t>
                  </w:r>
                  <w:r>
                    <w:rPr>
                      <w:rFonts w:hint="eastAsia"/>
                      <w:bCs/>
                      <w:color w:val="auto"/>
                      <w:sz w:val="21"/>
                      <w:szCs w:val="21"/>
                      <w:highlight w:val="none"/>
                      <w:u w:val="none" w:color="auto"/>
                      <w:lang w:val="en-US" w:eastAsia="zh-CN"/>
                    </w:rPr>
                    <w:t>实施挥发性有机物综合治理</w:t>
                  </w:r>
                </w:p>
              </w:tc>
              <w:tc>
                <w:tcPr>
                  <w:tcW w:w="4217" w:type="dxa"/>
                  <w:tcBorders>
                    <w:tl2br w:val="nil"/>
                    <w:tr2bl w:val="nil"/>
                  </w:tcBorders>
                  <w:vAlign w:val="center"/>
                </w:tcPr>
                <w:p w14:paraId="2CE4F217">
                  <w:pPr>
                    <w:adjustRightInd w:val="0"/>
                    <w:snapToGrid w:val="0"/>
                    <w:jc w:val="both"/>
                    <w:textAlignment w:val="baseline"/>
                    <w:rPr>
                      <w:rFonts w:hint="default" w:ascii="Times New Roman" w:hAnsi="Times New Roman" w:eastAsia="宋体" w:cs="Times New Roman"/>
                      <w:b w:val="0"/>
                      <w:bCs w:val="0"/>
                      <w:color w:val="000000"/>
                      <w:kern w:val="0"/>
                      <w:sz w:val="21"/>
                      <w:szCs w:val="21"/>
                      <w:u w:val="none" w:color="auto"/>
                      <w:lang w:val="en-US" w:eastAsia="zh-CN" w:bidi="ar"/>
                    </w:rPr>
                  </w:pPr>
                  <w:r>
                    <w:rPr>
                      <w:rFonts w:hint="default" w:ascii="Times New Roman" w:hAnsi="Times New Roman" w:eastAsia="宋体" w:cs="Times New Roman"/>
                      <w:b w:val="0"/>
                      <w:bCs w:val="0"/>
                      <w:color w:val="000000"/>
                      <w:kern w:val="0"/>
                      <w:sz w:val="21"/>
                      <w:szCs w:val="21"/>
                      <w:u w:val="none" w:color="auto"/>
                      <w:lang w:val="en-US" w:eastAsia="zh-CN" w:bidi="ar"/>
                    </w:rPr>
                    <w:t>实施挥发性有机物(VOCs)综合治理。严格遵循“可替尽替、应代尽代”原则，进一步加大工业涂装、包装印刷、家具制造、电子制造等重点行业低VOCs含量原辅材料替代力度，全面采用符合相关VOCs含量限值标准的涂料、油墨、胶粘剂及清洗剂。全面推行活性炭更新更换“码上换”管理模式，2026年4月底前，所有采用活性炭吸附治理工艺的企业完成二维码登记、活性炭更换相关信息录入及一轮次活性炭更换工作，实现活性炭更换动态管控。持续推进VOCs治理突出问题排查整治工作，加强污染治理设施日常运行维护，强化无组织及非正常工况废气排放管控，提升废气收集效率，规范开展泄漏检测与修复(LDAR)工作。2026年9月底前，实现废水逸散高浓度VOCs废气单独收集治理，挥发性有机液体储罐基本采用低泄漏储罐呼吸阀、紧急泄压阀，汽车罐车基本配备自封式快速接头。</w:t>
                  </w:r>
                </w:p>
              </w:tc>
              <w:tc>
                <w:tcPr>
                  <w:tcW w:w="1717" w:type="dxa"/>
                  <w:tcBorders>
                    <w:tl2br w:val="nil"/>
                    <w:tr2bl w:val="nil"/>
                  </w:tcBorders>
                  <w:vAlign w:val="center"/>
                </w:tcPr>
                <w:p w14:paraId="532A682C">
                  <w:pPr>
                    <w:adjustRightInd w:val="0"/>
                    <w:snapToGrid w:val="0"/>
                    <w:jc w:val="both"/>
                    <w:rPr>
                      <w:rFonts w:hint="default" w:eastAsia="宋体"/>
                      <w:color w:val="FF0000"/>
                      <w:kern w:val="0"/>
                      <w:sz w:val="21"/>
                      <w:szCs w:val="21"/>
                      <w:highlight w:val="none"/>
                      <w:u w:val="none" w:color="auto"/>
                      <w:lang w:val="en-US" w:eastAsia="zh-CN"/>
                    </w:rPr>
                  </w:pPr>
                  <w:r>
                    <w:rPr>
                      <w:rFonts w:hint="eastAsia"/>
                      <w:color w:val="000000" w:themeColor="text1"/>
                      <w:kern w:val="0"/>
                      <w:sz w:val="21"/>
                      <w:szCs w:val="21"/>
                      <w:highlight w:val="none"/>
                      <w:u w:val="none" w:color="auto"/>
                      <w:lang w:val="en-US" w:eastAsia="zh-CN"/>
                      <w14:textFill>
                        <w14:solidFill>
                          <w14:schemeClr w14:val="tx1"/>
                        </w14:solidFill>
                      </w14:textFill>
                    </w:rPr>
                    <w:t>本项目</w:t>
                  </w:r>
                  <w:r>
                    <w:rPr>
                      <w:rFonts w:hint="eastAsia" w:hAnsiTheme="minorEastAsia" w:eastAsiaTheme="minorEastAsia"/>
                      <w:sz w:val="21"/>
                      <w:szCs w:val="21"/>
                      <w:u w:val="none" w:color="auto"/>
                      <w:lang w:val="en-US" w:eastAsia="zh-CN"/>
                    </w:rPr>
                    <w:t>正极</w:t>
                  </w:r>
                  <w:r>
                    <w:rPr>
                      <w:rFonts w:hAnsiTheme="minorEastAsia" w:eastAsiaTheme="minorEastAsia"/>
                      <w:sz w:val="21"/>
                      <w:szCs w:val="21"/>
                      <w:u w:val="none" w:color="auto"/>
                    </w:rPr>
                    <w:t>配料</w:t>
                  </w:r>
                  <w:r>
                    <w:rPr>
                      <w:rFonts w:hint="eastAsia" w:hAnsiTheme="minorEastAsia" w:eastAsiaTheme="minorEastAsia"/>
                      <w:sz w:val="21"/>
                      <w:szCs w:val="21"/>
                      <w:u w:val="none" w:color="auto"/>
                    </w:rPr>
                    <w:t>，涂布烘干</w:t>
                  </w:r>
                  <w:r>
                    <w:rPr>
                      <w:rFonts w:hAnsiTheme="minorEastAsia" w:eastAsiaTheme="minorEastAsia"/>
                      <w:sz w:val="21"/>
                      <w:szCs w:val="21"/>
                      <w:u w:val="none" w:color="auto"/>
                    </w:rPr>
                    <w:t>废气经</w:t>
                  </w:r>
                  <w:r>
                    <w:rPr>
                      <w:rFonts w:eastAsiaTheme="minorEastAsia"/>
                      <w:sz w:val="21"/>
                      <w:szCs w:val="21"/>
                      <w:u w:val="none" w:color="auto"/>
                    </w:rPr>
                    <w:t>NMP</w:t>
                  </w:r>
                  <w:r>
                    <w:rPr>
                      <w:rFonts w:hAnsiTheme="minorEastAsia" w:eastAsiaTheme="minorEastAsia"/>
                      <w:sz w:val="21"/>
                      <w:szCs w:val="21"/>
                      <w:u w:val="none" w:color="auto"/>
                    </w:rPr>
                    <w:t>高塔回收系统处理后，</w:t>
                  </w:r>
                  <w:r>
                    <w:rPr>
                      <w:rFonts w:hint="eastAsia" w:hAnsiTheme="minorEastAsia" w:eastAsiaTheme="minorEastAsia"/>
                      <w:sz w:val="21"/>
                      <w:szCs w:val="21"/>
                      <w:u w:val="none" w:color="auto"/>
                      <w:lang w:val="en-US" w:eastAsia="zh-CN"/>
                    </w:rPr>
                    <w:t>尾气经</w:t>
                  </w:r>
                  <w:r>
                    <w:rPr>
                      <w:rFonts w:hAnsiTheme="minorEastAsia" w:eastAsiaTheme="minorEastAsia"/>
                      <w:sz w:val="21"/>
                      <w:szCs w:val="21"/>
                      <w:u w:val="none" w:color="auto"/>
                    </w:rPr>
                    <w:t>密闭管道</w:t>
                  </w:r>
                  <w:r>
                    <w:rPr>
                      <w:rFonts w:hint="eastAsia" w:hAnsiTheme="minorEastAsia" w:eastAsiaTheme="minorEastAsia"/>
                      <w:sz w:val="21"/>
                      <w:szCs w:val="21"/>
                      <w:u w:val="none" w:color="auto"/>
                      <w:lang w:val="en-US" w:eastAsia="zh-CN"/>
                    </w:rPr>
                    <w:t>通过一根</w:t>
                  </w:r>
                  <w:r>
                    <w:rPr>
                      <w:rFonts w:eastAsiaTheme="minorEastAsia"/>
                      <w:color w:val="000000"/>
                      <w:szCs w:val="21"/>
                      <w:u w:val="none" w:color="auto"/>
                    </w:rPr>
                    <w:t>1</w:t>
                  </w:r>
                  <w:r>
                    <w:rPr>
                      <w:rFonts w:hAnsiTheme="minorEastAsia" w:eastAsiaTheme="minorEastAsia"/>
                      <w:color w:val="000000"/>
                      <w:szCs w:val="21"/>
                      <w:u w:val="none" w:color="auto"/>
                    </w:rPr>
                    <w:t>根</w:t>
                  </w:r>
                  <w:r>
                    <w:rPr>
                      <w:rFonts w:hint="eastAsia" w:hAnsiTheme="minorEastAsia" w:eastAsiaTheme="minorEastAsia"/>
                      <w:color w:val="000000"/>
                      <w:szCs w:val="21"/>
                      <w:u w:val="none" w:color="auto"/>
                      <w:lang w:val="en-US" w:eastAsia="zh-CN"/>
                    </w:rPr>
                    <w:t>25</w:t>
                  </w:r>
                  <w:r>
                    <w:rPr>
                      <w:rFonts w:eastAsiaTheme="minorEastAsia"/>
                      <w:color w:val="000000"/>
                      <w:szCs w:val="21"/>
                      <w:u w:val="none" w:color="auto"/>
                    </w:rPr>
                    <w:t>m</w:t>
                  </w:r>
                  <w:r>
                    <w:rPr>
                      <w:rFonts w:hAnsiTheme="minorEastAsia" w:eastAsiaTheme="minorEastAsia"/>
                      <w:color w:val="000000"/>
                      <w:szCs w:val="21"/>
                      <w:u w:val="none" w:color="auto"/>
                    </w:rPr>
                    <w:t>高排气筒</w:t>
                  </w:r>
                  <w:r>
                    <w:rPr>
                      <w:rFonts w:hint="eastAsia" w:hAnsiTheme="minorEastAsia" w:eastAsiaTheme="minorEastAsia"/>
                      <w:color w:val="000000"/>
                      <w:szCs w:val="21"/>
                      <w:u w:val="none" w:color="auto"/>
                    </w:rPr>
                    <w:t>（DA00</w:t>
                  </w:r>
                  <w:r>
                    <w:rPr>
                      <w:rFonts w:hint="eastAsia" w:hAnsiTheme="minorEastAsia" w:eastAsiaTheme="minorEastAsia"/>
                      <w:color w:val="000000"/>
                      <w:szCs w:val="21"/>
                      <w:u w:val="none" w:color="auto"/>
                      <w:lang w:val="en-US" w:eastAsia="zh-CN"/>
                    </w:rPr>
                    <w:t>1</w:t>
                  </w:r>
                  <w:r>
                    <w:rPr>
                      <w:rFonts w:hint="eastAsia" w:hAnsiTheme="minorEastAsia" w:eastAsiaTheme="minorEastAsia"/>
                      <w:color w:val="000000"/>
                      <w:szCs w:val="21"/>
                      <w:u w:val="none" w:color="auto"/>
                    </w:rPr>
                    <w:t>）</w:t>
                  </w:r>
                  <w:r>
                    <w:rPr>
                      <w:rFonts w:hAnsiTheme="minorEastAsia" w:eastAsiaTheme="minorEastAsia"/>
                      <w:color w:val="000000"/>
                      <w:szCs w:val="21"/>
                      <w:u w:val="none" w:color="auto"/>
                    </w:rPr>
                    <w:t>排放</w:t>
                  </w:r>
                  <w:r>
                    <w:rPr>
                      <w:rFonts w:hint="eastAsia" w:hAnsiTheme="minorEastAsia" w:eastAsiaTheme="minorEastAsia"/>
                      <w:color w:val="000000"/>
                      <w:szCs w:val="21"/>
                      <w:u w:val="none" w:color="auto"/>
                    </w:rPr>
                    <w:t>。</w:t>
                  </w:r>
                  <w:r>
                    <w:rPr>
                      <w:rFonts w:hAnsiTheme="minorEastAsia" w:eastAsiaTheme="minorEastAsia"/>
                      <w:szCs w:val="21"/>
                      <w:u w:val="none" w:color="auto"/>
                    </w:rPr>
                    <w:t>注液工序</w:t>
                  </w:r>
                  <w:r>
                    <w:rPr>
                      <w:rFonts w:hint="eastAsia" w:hAnsiTheme="minorEastAsia" w:eastAsiaTheme="minorEastAsia"/>
                      <w:szCs w:val="21"/>
                      <w:u w:val="none" w:color="auto"/>
                    </w:rPr>
                    <w:t>抽真空</w:t>
                  </w:r>
                  <w:r>
                    <w:rPr>
                      <w:rFonts w:hAnsiTheme="minorEastAsia" w:eastAsiaTheme="minorEastAsia"/>
                      <w:color w:val="000000"/>
                      <w:szCs w:val="21"/>
                      <w:u w:val="none" w:color="auto"/>
                    </w:rPr>
                    <w:t>尾气经收集系统收集后，由活性炭吸附脱附</w:t>
                  </w:r>
                  <w:r>
                    <w:rPr>
                      <w:rFonts w:eastAsiaTheme="minorEastAsia"/>
                      <w:color w:val="000000"/>
                      <w:szCs w:val="21"/>
                      <w:u w:val="none" w:color="auto"/>
                    </w:rPr>
                    <w:t>+</w:t>
                  </w:r>
                  <w:r>
                    <w:rPr>
                      <w:rFonts w:hAnsiTheme="minorEastAsia" w:eastAsiaTheme="minorEastAsia"/>
                      <w:color w:val="000000"/>
                      <w:szCs w:val="21"/>
                      <w:u w:val="none" w:color="auto"/>
                    </w:rPr>
                    <w:t>催化燃烧装置治理后经</w:t>
                  </w:r>
                  <w:r>
                    <w:rPr>
                      <w:rFonts w:eastAsiaTheme="minorEastAsia"/>
                      <w:color w:val="000000"/>
                      <w:szCs w:val="21"/>
                      <w:u w:val="none" w:color="auto"/>
                    </w:rPr>
                    <w:t>1</w:t>
                  </w:r>
                  <w:r>
                    <w:rPr>
                      <w:rFonts w:hAnsiTheme="minorEastAsia" w:eastAsiaTheme="minorEastAsia"/>
                      <w:color w:val="000000"/>
                      <w:szCs w:val="21"/>
                      <w:u w:val="none" w:color="auto"/>
                    </w:rPr>
                    <w:t>根</w:t>
                  </w:r>
                  <w:r>
                    <w:rPr>
                      <w:rFonts w:hint="eastAsia" w:hAnsiTheme="minorEastAsia" w:eastAsiaTheme="minorEastAsia"/>
                      <w:color w:val="000000"/>
                      <w:szCs w:val="21"/>
                      <w:u w:val="none" w:color="auto"/>
                      <w:lang w:val="en-US" w:eastAsia="zh-CN"/>
                    </w:rPr>
                    <w:t>25m</w:t>
                  </w:r>
                  <w:r>
                    <w:rPr>
                      <w:rFonts w:hAnsiTheme="minorEastAsia" w:eastAsiaTheme="minorEastAsia"/>
                      <w:color w:val="000000"/>
                      <w:szCs w:val="21"/>
                      <w:u w:val="none" w:color="auto"/>
                    </w:rPr>
                    <w:t>高排气筒</w:t>
                  </w:r>
                  <w:r>
                    <w:rPr>
                      <w:rFonts w:hint="eastAsia" w:hAnsiTheme="minorEastAsia" w:eastAsiaTheme="minorEastAsia"/>
                      <w:color w:val="000000"/>
                      <w:szCs w:val="21"/>
                      <w:u w:val="none" w:color="auto"/>
                    </w:rPr>
                    <w:t>（DA00</w:t>
                  </w:r>
                  <w:r>
                    <w:rPr>
                      <w:rFonts w:hint="eastAsia" w:hAnsiTheme="minorEastAsia" w:eastAsiaTheme="minorEastAsia"/>
                      <w:color w:val="000000"/>
                      <w:szCs w:val="21"/>
                      <w:u w:val="none" w:color="auto"/>
                      <w:lang w:val="en-US" w:eastAsia="zh-CN"/>
                    </w:rPr>
                    <w:t>1</w:t>
                  </w:r>
                  <w:r>
                    <w:rPr>
                      <w:rFonts w:hint="eastAsia" w:hAnsiTheme="minorEastAsia" w:eastAsiaTheme="minorEastAsia"/>
                      <w:color w:val="000000"/>
                      <w:szCs w:val="21"/>
                      <w:u w:val="none" w:color="auto"/>
                    </w:rPr>
                    <w:t>）</w:t>
                  </w:r>
                  <w:r>
                    <w:rPr>
                      <w:rFonts w:hAnsiTheme="minorEastAsia" w:eastAsiaTheme="minorEastAsia"/>
                      <w:color w:val="000000"/>
                      <w:szCs w:val="21"/>
                      <w:u w:val="none" w:color="auto"/>
                    </w:rPr>
                    <w:t>排放</w:t>
                  </w:r>
                  <w:r>
                    <w:rPr>
                      <w:rFonts w:hint="eastAsia" w:hAnsiTheme="minorEastAsia" w:eastAsiaTheme="minorEastAsia"/>
                      <w:color w:val="000000"/>
                      <w:szCs w:val="21"/>
                      <w:u w:val="none" w:color="auto"/>
                    </w:rPr>
                    <w:t>。</w:t>
                  </w:r>
                  <w:r>
                    <w:rPr>
                      <w:rFonts w:hint="eastAsia" w:hAnsiTheme="minorEastAsia" w:eastAsiaTheme="minorEastAsia"/>
                      <w:color w:val="000000"/>
                      <w:szCs w:val="21"/>
                      <w:u w:val="none" w:color="auto"/>
                      <w:lang w:val="en-US" w:eastAsia="zh-CN"/>
                    </w:rPr>
                    <w:t>采用以上治理措施治理后，尾气可达标排放。</w:t>
                  </w:r>
                </w:p>
              </w:tc>
              <w:tc>
                <w:tcPr>
                  <w:tcW w:w="825" w:type="dxa"/>
                  <w:tcBorders>
                    <w:tl2br w:val="nil"/>
                    <w:tr2bl w:val="nil"/>
                  </w:tcBorders>
                  <w:vAlign w:val="center"/>
                </w:tcPr>
                <w:p w14:paraId="06E45ADA">
                  <w:pPr>
                    <w:adjustRightInd w:val="0"/>
                    <w:snapToGrid w:val="0"/>
                    <w:jc w:val="center"/>
                    <w:textAlignment w:val="baseline"/>
                    <w:rPr>
                      <w:rFonts w:hint="eastAsia"/>
                      <w:color w:val="000000"/>
                      <w:szCs w:val="21"/>
                      <w:u w:val="none" w:color="auto"/>
                      <w:lang w:val="en-US" w:eastAsia="zh-CN"/>
                    </w:rPr>
                  </w:pPr>
                  <w:r>
                    <w:rPr>
                      <w:rFonts w:hint="eastAsia"/>
                      <w:color w:val="000000"/>
                      <w:szCs w:val="21"/>
                      <w:u w:val="none" w:color="auto"/>
                      <w:lang w:val="en-US" w:eastAsia="zh-CN"/>
                    </w:rPr>
                    <w:t>符合</w:t>
                  </w:r>
                </w:p>
              </w:tc>
            </w:tr>
            <w:tr w14:paraId="5E3F065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57" w:type="dxa"/>
                  <w:gridSpan w:val="4"/>
                  <w:tcBorders>
                    <w:tl2br w:val="nil"/>
                    <w:tr2bl w:val="nil"/>
                  </w:tcBorders>
                  <w:vAlign w:val="center"/>
                </w:tcPr>
                <w:p w14:paraId="3772A029">
                  <w:pPr>
                    <w:adjustRightInd w:val="0"/>
                    <w:snapToGrid w:val="0"/>
                    <w:jc w:val="center"/>
                    <w:textAlignment w:val="baseline"/>
                    <w:rPr>
                      <w:rFonts w:hint="eastAsia"/>
                      <w:color w:val="000000"/>
                      <w:szCs w:val="21"/>
                      <w:u w:val="none" w:color="auto"/>
                      <w:lang w:val="en-US" w:eastAsia="zh-CN"/>
                    </w:rPr>
                  </w:pPr>
                  <w:r>
                    <w:rPr>
                      <w:rFonts w:hint="default" w:ascii="Times New Roman" w:hAnsi="Times New Roman" w:eastAsia="宋体" w:cs="Times New Roman"/>
                      <w:b/>
                      <w:bCs/>
                      <w:color w:val="000000"/>
                      <w:kern w:val="0"/>
                      <w:sz w:val="21"/>
                      <w:szCs w:val="21"/>
                      <w:highlight w:val="none"/>
                      <w:u w:val="none" w:color="auto"/>
                      <w:lang w:val="en-US" w:eastAsia="zh-CN" w:bidi="ar"/>
                    </w:rPr>
                    <w:t>《新乡市</w:t>
                  </w:r>
                  <w:r>
                    <w:rPr>
                      <w:rFonts w:hint="eastAsia" w:cs="Times New Roman"/>
                      <w:b/>
                      <w:bCs/>
                      <w:color w:val="000000"/>
                      <w:kern w:val="0"/>
                      <w:sz w:val="21"/>
                      <w:szCs w:val="21"/>
                      <w:highlight w:val="none"/>
                      <w:u w:val="none" w:color="auto"/>
                      <w:lang w:val="en-US" w:eastAsia="zh-CN" w:bidi="ar"/>
                    </w:rPr>
                    <w:t>2026</w:t>
                  </w:r>
                  <w:r>
                    <w:rPr>
                      <w:rFonts w:hint="default" w:ascii="Times New Roman" w:hAnsi="Times New Roman" w:eastAsia="宋体" w:cs="Times New Roman"/>
                      <w:b/>
                      <w:bCs/>
                      <w:color w:val="000000"/>
                      <w:kern w:val="0"/>
                      <w:sz w:val="21"/>
                      <w:szCs w:val="21"/>
                      <w:highlight w:val="none"/>
                      <w:u w:val="none" w:color="auto"/>
                      <w:lang w:val="en-US" w:eastAsia="zh-CN" w:bidi="ar"/>
                    </w:rPr>
                    <w:t>年净土保卫战实施方案》</w:t>
                  </w:r>
                </w:p>
              </w:tc>
            </w:tr>
            <w:tr w14:paraId="5200D5F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dxa"/>
                  <w:tcBorders>
                    <w:tl2br w:val="nil"/>
                    <w:tr2bl w:val="nil"/>
                  </w:tcBorders>
                  <w:vAlign w:val="center"/>
                </w:tcPr>
                <w:p w14:paraId="762F51E8">
                  <w:pPr>
                    <w:adjustRightInd w:val="0"/>
                    <w:snapToGrid w:val="0"/>
                    <w:jc w:val="both"/>
                    <w:textAlignment w:val="baseline"/>
                    <w:rPr>
                      <w:rFonts w:hint="default"/>
                      <w:color w:val="000000"/>
                      <w:szCs w:val="21"/>
                      <w:u w:val="none" w:color="auto"/>
                      <w:lang w:val="en-US" w:eastAsia="zh-CN"/>
                    </w:rPr>
                  </w:pPr>
                  <w:r>
                    <w:rPr>
                      <w:rFonts w:hint="eastAsia"/>
                      <w:color w:val="000000"/>
                      <w:szCs w:val="21"/>
                      <w:u w:val="none" w:color="auto"/>
                      <w:lang w:val="en-US" w:eastAsia="zh-CN"/>
                    </w:rPr>
                    <w:t>2、做好优先监管地块风险管控。</w:t>
                  </w:r>
                </w:p>
              </w:tc>
              <w:tc>
                <w:tcPr>
                  <w:tcW w:w="4217" w:type="dxa"/>
                  <w:tcBorders>
                    <w:tl2br w:val="nil"/>
                    <w:tr2bl w:val="nil"/>
                  </w:tcBorders>
                  <w:vAlign w:val="center"/>
                </w:tcPr>
                <w:p w14:paraId="0143F025">
                  <w:pPr>
                    <w:adjustRightInd w:val="0"/>
                    <w:snapToGrid w:val="0"/>
                    <w:jc w:val="both"/>
                    <w:textAlignment w:val="baseline"/>
                    <w:rPr>
                      <w:rFonts w:hint="eastAsia" w:eastAsia="宋体"/>
                      <w:color w:val="000000"/>
                      <w:szCs w:val="21"/>
                      <w:u w:val="none" w:color="auto"/>
                      <w:lang w:eastAsia="zh-CN"/>
                    </w:rPr>
                  </w:pPr>
                  <w:r>
                    <w:rPr>
                      <w:rFonts w:hint="eastAsia"/>
                      <w:color w:val="000000"/>
                      <w:szCs w:val="21"/>
                      <w:u w:val="none" w:color="auto"/>
                    </w:rPr>
                    <w:t>结合化工等行业企业排污许可证注销情况，动态更新全市优先监管地块清单，推动农药原料药制造等优先监管地块落实重点监测、制度控制、环境监测、工程控制等管控措施。因地制宜、合理处置、清理地块内残留污染物，阻断污染扩散途径，逐步消除对敏感受体的影响。2026年10月底前完成2025年前加入的优先监管地块土壤污染管控。2026年起，新加入的优先监管地块应于次年年底前完成土壤污染监测和管控</w:t>
                  </w:r>
                  <w:r>
                    <w:rPr>
                      <w:rFonts w:hint="eastAsia"/>
                      <w:color w:val="000000"/>
                      <w:szCs w:val="21"/>
                      <w:u w:val="none" w:color="auto"/>
                      <w:lang w:eastAsia="zh-CN"/>
                    </w:rPr>
                    <w:t>。</w:t>
                  </w:r>
                </w:p>
              </w:tc>
              <w:tc>
                <w:tcPr>
                  <w:tcW w:w="1717" w:type="dxa"/>
                  <w:tcBorders>
                    <w:tl2br w:val="nil"/>
                    <w:tr2bl w:val="nil"/>
                  </w:tcBorders>
                  <w:vAlign w:val="center"/>
                </w:tcPr>
                <w:p w14:paraId="5F0580A8">
                  <w:pPr>
                    <w:adjustRightInd w:val="0"/>
                    <w:snapToGrid w:val="0"/>
                    <w:jc w:val="both"/>
                    <w:textAlignment w:val="baseline"/>
                    <w:rPr>
                      <w:rFonts w:hint="eastAsia"/>
                      <w:color w:val="FF0000"/>
                      <w:kern w:val="0"/>
                      <w:sz w:val="21"/>
                      <w:szCs w:val="21"/>
                      <w:highlight w:val="none"/>
                      <w:u w:val="none" w:color="auto"/>
                      <w:lang w:val="en-US" w:eastAsia="zh-CN"/>
                    </w:rPr>
                  </w:pPr>
                  <w:r>
                    <w:rPr>
                      <w:rFonts w:hint="eastAsia"/>
                      <w:b w:val="0"/>
                      <w:bCs w:val="0"/>
                      <w:color w:val="auto"/>
                      <w:kern w:val="0"/>
                      <w:sz w:val="21"/>
                      <w:szCs w:val="21"/>
                      <w:highlight w:val="none"/>
                      <w:u w:val="none" w:color="auto"/>
                      <w:lang w:val="en-US" w:eastAsia="zh-CN"/>
                    </w:rPr>
                    <w:t>本项目所在地不属于优先监管地块</w:t>
                  </w:r>
                  <w:r>
                    <w:rPr>
                      <w:rFonts w:hint="eastAsia"/>
                      <w:b w:val="0"/>
                      <w:bCs w:val="0"/>
                      <w:color w:val="auto"/>
                      <w:kern w:val="0"/>
                      <w:sz w:val="21"/>
                      <w:szCs w:val="21"/>
                      <w:highlight w:val="none"/>
                      <w:u w:val="none" w:color="auto"/>
                      <w:lang w:eastAsia="zh-CN"/>
                    </w:rPr>
                    <w:t>。</w:t>
                  </w:r>
                </w:p>
              </w:tc>
              <w:tc>
                <w:tcPr>
                  <w:tcW w:w="825" w:type="dxa"/>
                  <w:tcBorders>
                    <w:tl2br w:val="nil"/>
                    <w:tr2bl w:val="nil"/>
                  </w:tcBorders>
                  <w:vAlign w:val="center"/>
                </w:tcPr>
                <w:p w14:paraId="3648FE7E">
                  <w:pPr>
                    <w:adjustRightInd w:val="0"/>
                    <w:snapToGrid w:val="0"/>
                    <w:jc w:val="center"/>
                    <w:textAlignment w:val="baseline"/>
                    <w:rPr>
                      <w:rFonts w:hint="eastAsia"/>
                      <w:color w:val="000000"/>
                      <w:szCs w:val="21"/>
                      <w:u w:val="none" w:color="auto"/>
                      <w:lang w:val="en-US" w:eastAsia="zh-CN"/>
                    </w:rPr>
                  </w:pPr>
                  <w:r>
                    <w:rPr>
                      <w:rFonts w:hint="eastAsia"/>
                      <w:color w:val="000000"/>
                      <w:szCs w:val="21"/>
                      <w:u w:val="none" w:color="auto"/>
                      <w:lang w:val="en-US" w:eastAsia="zh-CN"/>
                    </w:rPr>
                    <w:t>符合</w:t>
                  </w:r>
                </w:p>
              </w:tc>
            </w:tr>
            <w:tr w14:paraId="05F3D1D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57" w:type="dxa"/>
                  <w:gridSpan w:val="4"/>
                  <w:tcBorders>
                    <w:tl2br w:val="nil"/>
                    <w:tr2bl w:val="nil"/>
                  </w:tcBorders>
                  <w:vAlign w:val="center"/>
                </w:tcPr>
                <w:p w14:paraId="1A57B785">
                  <w:pPr>
                    <w:adjustRightInd w:val="0"/>
                    <w:snapToGrid w:val="0"/>
                    <w:jc w:val="center"/>
                    <w:textAlignment w:val="baseline"/>
                    <w:rPr>
                      <w:rFonts w:hint="eastAsia"/>
                      <w:color w:val="000000"/>
                      <w:szCs w:val="21"/>
                      <w:u w:val="none" w:color="auto"/>
                      <w:lang w:val="en-US" w:eastAsia="zh-CN"/>
                    </w:rPr>
                  </w:pPr>
                  <w:r>
                    <w:rPr>
                      <w:rFonts w:hint="default" w:ascii="Times New Roman" w:hAnsi="Times New Roman" w:eastAsia="宋体" w:cs="Times New Roman"/>
                      <w:b/>
                      <w:bCs/>
                      <w:color w:val="000000"/>
                      <w:kern w:val="0"/>
                      <w:sz w:val="21"/>
                      <w:szCs w:val="21"/>
                      <w:highlight w:val="none"/>
                      <w:u w:val="none" w:color="auto"/>
                      <w:lang w:val="en-US" w:eastAsia="zh-CN" w:bidi="ar"/>
                    </w:rPr>
                    <w:t>《新乡市</w:t>
                  </w:r>
                  <w:r>
                    <w:rPr>
                      <w:rFonts w:hint="eastAsia" w:cs="Times New Roman"/>
                      <w:b/>
                      <w:bCs/>
                      <w:color w:val="000000"/>
                      <w:kern w:val="0"/>
                      <w:sz w:val="21"/>
                      <w:szCs w:val="21"/>
                      <w:highlight w:val="none"/>
                      <w:u w:val="none" w:color="auto"/>
                      <w:lang w:val="en-US" w:eastAsia="zh-CN" w:bidi="ar"/>
                    </w:rPr>
                    <w:t>2026</w:t>
                  </w:r>
                  <w:r>
                    <w:rPr>
                      <w:rFonts w:hint="default" w:ascii="Times New Roman" w:hAnsi="Times New Roman" w:eastAsia="宋体" w:cs="Times New Roman"/>
                      <w:b/>
                      <w:bCs/>
                      <w:color w:val="000000"/>
                      <w:kern w:val="0"/>
                      <w:sz w:val="21"/>
                      <w:szCs w:val="21"/>
                      <w:highlight w:val="none"/>
                      <w:u w:val="none" w:color="auto"/>
                      <w:lang w:val="en-US" w:eastAsia="zh-CN" w:bidi="ar"/>
                    </w:rPr>
                    <w:t>年</w:t>
                  </w:r>
                  <w:r>
                    <w:rPr>
                      <w:rFonts w:hint="eastAsia" w:ascii="Times New Roman" w:hAnsi="Times New Roman" w:eastAsia="宋体" w:cs="Times New Roman"/>
                      <w:b/>
                      <w:bCs/>
                      <w:color w:val="000000"/>
                      <w:kern w:val="0"/>
                      <w:sz w:val="21"/>
                      <w:szCs w:val="21"/>
                      <w:highlight w:val="none"/>
                      <w:u w:val="none" w:color="auto"/>
                      <w:lang w:val="en-US" w:eastAsia="zh-CN" w:bidi="ar"/>
                    </w:rPr>
                    <w:t>碧水</w:t>
                  </w:r>
                  <w:r>
                    <w:rPr>
                      <w:rFonts w:hint="default" w:ascii="Times New Roman" w:hAnsi="Times New Roman" w:eastAsia="宋体" w:cs="Times New Roman"/>
                      <w:b/>
                      <w:bCs/>
                      <w:color w:val="000000"/>
                      <w:kern w:val="0"/>
                      <w:sz w:val="21"/>
                      <w:szCs w:val="21"/>
                      <w:highlight w:val="none"/>
                      <w:u w:val="none" w:color="auto"/>
                      <w:lang w:val="en-US" w:eastAsia="zh-CN" w:bidi="ar"/>
                    </w:rPr>
                    <w:t>保卫战实施方案》</w:t>
                  </w:r>
                </w:p>
              </w:tc>
            </w:tr>
            <w:tr w14:paraId="7FEE738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dxa"/>
                  <w:tcBorders>
                    <w:tl2br w:val="nil"/>
                    <w:tr2bl w:val="nil"/>
                  </w:tcBorders>
                  <w:vAlign w:val="center"/>
                </w:tcPr>
                <w:p w14:paraId="6A6D214E">
                  <w:pPr>
                    <w:adjustRightInd w:val="0"/>
                    <w:snapToGrid w:val="0"/>
                    <w:jc w:val="both"/>
                    <w:textAlignment w:val="baseline"/>
                    <w:rPr>
                      <w:rFonts w:hint="default"/>
                      <w:color w:val="000000"/>
                      <w:szCs w:val="21"/>
                      <w:u w:val="none" w:color="auto"/>
                      <w:lang w:val="en-US" w:eastAsia="zh-CN"/>
                    </w:rPr>
                  </w:pPr>
                  <w:r>
                    <w:rPr>
                      <w:rFonts w:hint="eastAsia"/>
                      <w:color w:val="000000"/>
                      <w:szCs w:val="21"/>
                      <w:u w:val="none" w:color="auto"/>
                      <w:lang w:val="en-US" w:eastAsia="zh-CN"/>
                    </w:rPr>
                    <w:t>2.</w:t>
                  </w:r>
                  <w:r>
                    <w:rPr>
                      <w:rFonts w:hint="default"/>
                      <w:color w:val="000000"/>
                      <w:szCs w:val="21"/>
                      <w:u w:val="none" w:color="auto"/>
                      <w:lang w:val="en-US" w:eastAsia="zh-CN"/>
                    </w:rPr>
                    <w:t>持续加强集中式饮用水水源地保护</w:t>
                  </w:r>
                </w:p>
              </w:tc>
              <w:tc>
                <w:tcPr>
                  <w:tcW w:w="4217" w:type="dxa"/>
                  <w:tcBorders>
                    <w:tl2br w:val="nil"/>
                    <w:tr2bl w:val="nil"/>
                  </w:tcBorders>
                  <w:vAlign w:val="center"/>
                </w:tcPr>
                <w:p w14:paraId="438895EA">
                  <w:pPr>
                    <w:adjustRightInd w:val="0"/>
                    <w:snapToGrid w:val="0"/>
                    <w:jc w:val="both"/>
                    <w:textAlignment w:val="baseline"/>
                    <w:rPr>
                      <w:rFonts w:hint="default"/>
                      <w:color w:val="000000"/>
                      <w:sz w:val="21"/>
                      <w:szCs w:val="21"/>
                      <w:highlight w:val="none"/>
                      <w:u w:val="none" w:color="auto"/>
                      <w:lang w:val="en-US" w:eastAsia="zh-CN"/>
                    </w:rPr>
                  </w:pPr>
                  <w:r>
                    <w:rPr>
                      <w:rFonts w:hint="default"/>
                      <w:color w:val="000000"/>
                      <w:sz w:val="21"/>
                      <w:szCs w:val="21"/>
                      <w:highlight w:val="none"/>
                      <w:u w:val="none" w:color="auto"/>
                      <w:lang w:val="en-US" w:eastAsia="zh-CN"/>
                    </w:rPr>
                    <w:t>依法科学划定、调整、取消饮用水水源保护区（范围）；开展农村集中式饮用水水源地水质专项调查；持续开展饮用水水源保护区环境风险隐患排查整治，实施“动态清零”；开展县级以上集中式饮用水水源地环境保护状况调查评估，做好乡镇级及以下水源地基础信息调查，切实保障水源水质安全。2026年底，有关县（市、区）完成集中式饮用水水源地突发环境事件应急预案修订工作。</w:t>
                  </w:r>
                </w:p>
              </w:tc>
              <w:tc>
                <w:tcPr>
                  <w:tcW w:w="1717" w:type="dxa"/>
                  <w:tcBorders>
                    <w:tl2br w:val="nil"/>
                    <w:tr2bl w:val="nil"/>
                  </w:tcBorders>
                  <w:vAlign w:val="center"/>
                </w:tcPr>
                <w:p w14:paraId="78F0E1EB">
                  <w:pPr>
                    <w:adjustRightInd w:val="0"/>
                    <w:snapToGrid w:val="0"/>
                    <w:jc w:val="both"/>
                    <w:textAlignment w:val="baseline"/>
                    <w:rPr>
                      <w:rFonts w:hint="eastAsia"/>
                      <w:b w:val="0"/>
                      <w:bCs w:val="0"/>
                      <w:color w:val="auto"/>
                      <w:kern w:val="0"/>
                      <w:sz w:val="21"/>
                      <w:szCs w:val="21"/>
                      <w:highlight w:val="none"/>
                      <w:u w:val="none" w:color="auto"/>
                      <w:lang w:val="en-US" w:eastAsia="zh-CN"/>
                    </w:rPr>
                  </w:pPr>
                  <w:r>
                    <w:rPr>
                      <w:rFonts w:hint="eastAsia"/>
                      <w:sz w:val="21"/>
                      <w:szCs w:val="21"/>
                      <w:highlight w:val="none"/>
                      <w:u w:val="none" w:color="auto"/>
                      <w:lang w:val="en-US" w:eastAsia="zh-CN"/>
                    </w:rPr>
                    <w:t>本项目位于新乡市新乡高新技术产业开发区新中大道与德源路交叉口西南角，不在饮用水水源保护区（范围）内。</w:t>
                  </w:r>
                </w:p>
              </w:tc>
              <w:tc>
                <w:tcPr>
                  <w:tcW w:w="825" w:type="dxa"/>
                  <w:tcBorders>
                    <w:tl2br w:val="nil"/>
                    <w:tr2bl w:val="nil"/>
                  </w:tcBorders>
                  <w:vAlign w:val="center"/>
                </w:tcPr>
                <w:p w14:paraId="1E3B2405">
                  <w:pPr>
                    <w:adjustRightInd w:val="0"/>
                    <w:snapToGrid w:val="0"/>
                    <w:jc w:val="center"/>
                    <w:textAlignment w:val="baseline"/>
                    <w:rPr>
                      <w:rFonts w:hint="default"/>
                      <w:color w:val="000000"/>
                      <w:szCs w:val="21"/>
                      <w:u w:val="none" w:color="auto"/>
                      <w:lang w:val="en-US" w:eastAsia="zh-CN"/>
                    </w:rPr>
                  </w:pPr>
                  <w:r>
                    <w:rPr>
                      <w:rFonts w:hint="eastAsia"/>
                      <w:color w:val="000000"/>
                      <w:szCs w:val="21"/>
                      <w:u w:val="none" w:color="auto"/>
                      <w:lang w:val="en-US" w:eastAsia="zh-CN"/>
                    </w:rPr>
                    <w:t>不涉及</w:t>
                  </w:r>
                </w:p>
              </w:tc>
            </w:tr>
            <w:tr w14:paraId="1A6AD64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57" w:type="dxa"/>
                  <w:gridSpan w:val="4"/>
                  <w:tcBorders>
                    <w:tl2br w:val="nil"/>
                    <w:tr2bl w:val="nil"/>
                  </w:tcBorders>
                  <w:vAlign w:val="center"/>
                </w:tcPr>
                <w:p w14:paraId="6E589F36">
                  <w:pPr>
                    <w:adjustRightInd w:val="0"/>
                    <w:snapToGrid w:val="0"/>
                    <w:jc w:val="center"/>
                    <w:textAlignment w:val="baseline"/>
                    <w:rPr>
                      <w:rFonts w:hint="eastAsia"/>
                      <w:color w:val="000000"/>
                      <w:szCs w:val="21"/>
                      <w:u w:val="none" w:color="auto"/>
                      <w:lang w:val="en-US" w:eastAsia="zh-CN"/>
                    </w:rPr>
                  </w:pPr>
                  <w:r>
                    <w:rPr>
                      <w:rFonts w:hint="default" w:ascii="Times New Roman" w:hAnsi="Times New Roman" w:eastAsia="宋体" w:cs="Times New Roman"/>
                      <w:b/>
                      <w:bCs/>
                      <w:color w:val="000000"/>
                      <w:kern w:val="0"/>
                      <w:sz w:val="21"/>
                      <w:szCs w:val="21"/>
                      <w:highlight w:val="none"/>
                      <w:u w:val="none" w:color="auto"/>
                      <w:lang w:val="en-US" w:eastAsia="zh-CN" w:bidi="ar"/>
                    </w:rPr>
                    <w:t>《</w:t>
                  </w:r>
                  <w:r>
                    <w:rPr>
                      <w:rFonts w:hint="eastAsia" w:ascii="Times New Roman" w:hAnsi="Times New Roman" w:eastAsia="宋体" w:cs="Times New Roman"/>
                      <w:b/>
                      <w:bCs/>
                      <w:color w:val="000000"/>
                      <w:kern w:val="0"/>
                      <w:sz w:val="21"/>
                      <w:szCs w:val="21"/>
                      <w:highlight w:val="none"/>
                      <w:u w:val="none" w:color="auto"/>
                      <w:lang w:val="en-US" w:eastAsia="zh-CN" w:bidi="ar"/>
                    </w:rPr>
                    <w:t>新</w:t>
                  </w:r>
                  <w:r>
                    <w:rPr>
                      <w:rFonts w:hint="default" w:ascii="Times New Roman" w:hAnsi="Times New Roman" w:eastAsia="宋体" w:cs="Times New Roman"/>
                      <w:b/>
                      <w:bCs/>
                      <w:color w:val="000000"/>
                      <w:kern w:val="0"/>
                      <w:sz w:val="21"/>
                      <w:szCs w:val="21"/>
                      <w:highlight w:val="none"/>
                      <w:u w:val="none" w:color="auto"/>
                      <w:lang w:val="en-US" w:eastAsia="zh-CN" w:bidi="ar"/>
                    </w:rPr>
                    <w:t>乡市</w:t>
                  </w:r>
                  <w:r>
                    <w:rPr>
                      <w:rFonts w:hint="eastAsia" w:cs="Times New Roman"/>
                      <w:b/>
                      <w:bCs/>
                      <w:color w:val="000000"/>
                      <w:kern w:val="0"/>
                      <w:sz w:val="21"/>
                      <w:szCs w:val="21"/>
                      <w:highlight w:val="none"/>
                      <w:u w:val="none" w:color="auto"/>
                      <w:lang w:val="en-US" w:eastAsia="zh-CN" w:bidi="ar"/>
                    </w:rPr>
                    <w:t>2026</w:t>
                  </w:r>
                  <w:r>
                    <w:rPr>
                      <w:rFonts w:hint="default" w:ascii="Times New Roman" w:hAnsi="Times New Roman" w:eastAsia="宋体" w:cs="Times New Roman"/>
                      <w:b/>
                      <w:bCs/>
                      <w:color w:val="000000"/>
                      <w:kern w:val="0"/>
                      <w:sz w:val="21"/>
                      <w:szCs w:val="21"/>
                      <w:highlight w:val="none"/>
                      <w:u w:val="none" w:color="auto"/>
                      <w:lang w:val="en-US" w:eastAsia="zh-CN" w:bidi="ar"/>
                    </w:rPr>
                    <w:t>年柴油货车污染治理攻坚战实施方案》</w:t>
                  </w:r>
                  <w:r>
                    <w:rPr>
                      <w:rFonts w:hint="eastAsia"/>
                      <w:b/>
                      <w:bCs/>
                      <w:color w:val="auto"/>
                      <w:sz w:val="21"/>
                      <w:szCs w:val="21"/>
                      <w:highlight w:val="none"/>
                      <w:u w:val="none" w:color="auto"/>
                      <w:lang w:val="en-US" w:eastAsia="zh-CN"/>
                    </w:rPr>
                    <w:t>新环委办〔2026〕21号</w:t>
                  </w:r>
                </w:p>
              </w:tc>
            </w:tr>
            <w:tr w14:paraId="60F8D32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dxa"/>
                  <w:tcBorders>
                    <w:tl2br w:val="nil"/>
                    <w:tr2bl w:val="nil"/>
                  </w:tcBorders>
                  <w:vAlign w:val="center"/>
                </w:tcPr>
                <w:p w14:paraId="3A099327">
                  <w:pPr>
                    <w:adjustRightInd w:val="0"/>
                    <w:snapToGrid w:val="0"/>
                    <w:jc w:val="both"/>
                    <w:textAlignment w:val="baseline"/>
                    <w:rPr>
                      <w:rFonts w:hint="eastAsia"/>
                      <w:color w:val="000000"/>
                      <w:szCs w:val="21"/>
                      <w:u w:val="none" w:color="auto"/>
                      <w:lang w:val="en-US" w:eastAsia="zh-CN"/>
                    </w:rPr>
                  </w:pPr>
                  <w:r>
                    <w:rPr>
                      <w:rFonts w:hint="eastAsia"/>
                      <w:bCs/>
                      <w:color w:val="auto"/>
                      <w:sz w:val="21"/>
                      <w:szCs w:val="21"/>
                      <w:highlight w:val="none"/>
                      <w:u w:val="none" w:color="auto"/>
                      <w:lang w:val="en-US" w:eastAsia="zh-CN"/>
                    </w:rPr>
                    <w:t>10.强化高排放非道路移动机械禁用区监管</w:t>
                  </w:r>
                </w:p>
              </w:tc>
              <w:tc>
                <w:tcPr>
                  <w:tcW w:w="4217" w:type="dxa"/>
                  <w:tcBorders>
                    <w:tl2br w:val="nil"/>
                    <w:tr2bl w:val="nil"/>
                  </w:tcBorders>
                  <w:vAlign w:val="center"/>
                </w:tcPr>
                <w:p w14:paraId="36E533F1">
                  <w:pPr>
                    <w:adjustRightInd w:val="0"/>
                    <w:snapToGrid w:val="0"/>
                    <w:jc w:val="both"/>
                    <w:textAlignment w:val="baseline"/>
                    <w:rPr>
                      <w:rFonts w:hint="default"/>
                      <w:color w:val="000000"/>
                      <w:sz w:val="21"/>
                      <w:szCs w:val="21"/>
                      <w:highlight w:val="none"/>
                      <w:u w:val="none" w:color="auto"/>
                      <w:lang w:val="en-US" w:eastAsia="zh-CN"/>
                    </w:rPr>
                  </w:pPr>
                  <w:r>
                    <w:rPr>
                      <w:rFonts w:hint="default"/>
                      <w:color w:val="000000"/>
                      <w:sz w:val="21"/>
                      <w:szCs w:val="21"/>
                      <w:highlight w:val="none"/>
                      <w:u w:val="none" w:color="auto"/>
                      <w:lang w:val="en-US" w:eastAsia="zh-CN"/>
                    </w:rPr>
                    <w:t>更新高排放非道路移动机械禁用区通告，全域禁止国一及以下排放标准非道路移动机械使用，禁用区内禁止使用未挂牌、国二及以下排放标准、尾气排放不达标、定位失效等机械。加大执法检查力度，依法查处违反禁用区规定的行为并公开处罚信息。相关县(市、区)动态调整本辖区的高排放非道路移动机械禁用区范围。</w:t>
                  </w:r>
                </w:p>
              </w:tc>
              <w:tc>
                <w:tcPr>
                  <w:tcW w:w="1717" w:type="dxa"/>
                  <w:tcBorders>
                    <w:tl2br w:val="nil"/>
                    <w:tr2bl w:val="nil"/>
                  </w:tcBorders>
                  <w:vAlign w:val="center"/>
                </w:tcPr>
                <w:p w14:paraId="441B49B4">
                  <w:pPr>
                    <w:adjustRightInd w:val="0"/>
                    <w:snapToGrid w:val="0"/>
                    <w:jc w:val="both"/>
                    <w:textAlignment w:val="baseline"/>
                    <w:rPr>
                      <w:rFonts w:hint="default"/>
                      <w:b w:val="0"/>
                      <w:bCs w:val="0"/>
                      <w:color w:val="auto"/>
                      <w:kern w:val="0"/>
                      <w:sz w:val="21"/>
                      <w:szCs w:val="21"/>
                      <w:highlight w:val="none"/>
                      <w:u w:val="none" w:color="auto"/>
                      <w:lang w:val="en-US" w:eastAsia="zh-CN"/>
                    </w:rPr>
                  </w:pPr>
                  <w:r>
                    <w:rPr>
                      <w:rFonts w:hint="eastAsia"/>
                      <w:color w:val="000000"/>
                      <w:sz w:val="21"/>
                      <w:szCs w:val="21"/>
                      <w:highlight w:val="none"/>
                      <w:u w:val="none" w:color="auto"/>
                      <w:lang w:val="en-US" w:eastAsia="zh-CN"/>
                    </w:rPr>
                    <w:t>本项目位于</w:t>
                  </w:r>
                  <w:r>
                    <w:rPr>
                      <w:rFonts w:hint="eastAsia"/>
                      <w:sz w:val="21"/>
                      <w:szCs w:val="21"/>
                      <w:highlight w:val="none"/>
                      <w:u w:val="none" w:color="auto"/>
                      <w:lang w:val="en-US" w:eastAsia="zh-CN"/>
                    </w:rPr>
                    <w:t>新乡市新乡高新技术产业开发区新中大道与德源路交叉口西南角，属于新乡市中心城区范围内，属于</w:t>
                  </w:r>
                  <w:r>
                    <w:rPr>
                      <w:rFonts w:hint="default"/>
                      <w:color w:val="000000"/>
                      <w:sz w:val="21"/>
                      <w:szCs w:val="21"/>
                      <w:highlight w:val="none"/>
                      <w:u w:val="none" w:color="auto"/>
                      <w:lang w:val="en-US" w:eastAsia="zh-CN"/>
                    </w:rPr>
                    <w:t>非道路移动机械禁用区</w:t>
                  </w:r>
                  <w:r>
                    <w:rPr>
                      <w:rFonts w:hint="eastAsia"/>
                      <w:color w:val="000000"/>
                      <w:sz w:val="21"/>
                      <w:szCs w:val="21"/>
                      <w:highlight w:val="none"/>
                      <w:u w:val="none" w:color="auto"/>
                      <w:lang w:val="en-US" w:eastAsia="zh-CN"/>
                    </w:rPr>
                    <w:t>，</w:t>
                  </w:r>
                  <w:r>
                    <w:rPr>
                      <w:rFonts w:hint="eastAsia" w:hAnsi="宋体" w:cs="Times New Roman"/>
                      <w:color w:val="000000"/>
                      <w:sz w:val="21"/>
                      <w:szCs w:val="21"/>
                      <w:u w:val="none" w:color="auto"/>
                      <w:lang w:val="en-US" w:eastAsia="zh-CN"/>
                    </w:rPr>
                    <w:t>厂内非道路移动机械</w:t>
                  </w:r>
                  <w:r>
                    <w:rPr>
                      <w:rFonts w:hint="default" w:ascii="Times New Roman" w:hAnsi="Times New Roman" w:eastAsia="宋体" w:cs="Times New Roman"/>
                      <w:color w:val="000000"/>
                      <w:kern w:val="0"/>
                      <w:sz w:val="21"/>
                      <w:szCs w:val="21"/>
                      <w:u w:val="none" w:color="auto"/>
                      <w:lang w:val="en-US" w:eastAsia="zh-CN" w:bidi="ar"/>
                    </w:rPr>
                    <w:t>达到国三及以上排放标准或使用新能源机械</w:t>
                  </w:r>
                  <w:r>
                    <w:rPr>
                      <w:rFonts w:hint="eastAsia" w:cs="Times New Roman"/>
                      <w:color w:val="000000"/>
                      <w:kern w:val="0"/>
                      <w:sz w:val="21"/>
                      <w:szCs w:val="21"/>
                      <w:u w:val="none" w:color="auto"/>
                      <w:lang w:val="en-US" w:eastAsia="zh-CN" w:bidi="ar"/>
                    </w:rPr>
                    <w:t>。</w:t>
                  </w:r>
                </w:p>
              </w:tc>
              <w:tc>
                <w:tcPr>
                  <w:tcW w:w="825" w:type="dxa"/>
                  <w:tcBorders>
                    <w:tl2br w:val="nil"/>
                    <w:tr2bl w:val="nil"/>
                  </w:tcBorders>
                  <w:vAlign w:val="center"/>
                </w:tcPr>
                <w:p w14:paraId="672C5316">
                  <w:pPr>
                    <w:adjustRightInd w:val="0"/>
                    <w:snapToGrid w:val="0"/>
                    <w:jc w:val="center"/>
                    <w:textAlignment w:val="baseline"/>
                    <w:rPr>
                      <w:rFonts w:hint="default"/>
                      <w:color w:val="000000"/>
                      <w:szCs w:val="21"/>
                      <w:u w:val="none" w:color="auto"/>
                      <w:lang w:val="en-US" w:eastAsia="zh-CN"/>
                    </w:rPr>
                  </w:pPr>
                  <w:r>
                    <w:rPr>
                      <w:rFonts w:hint="eastAsia"/>
                      <w:color w:val="000000"/>
                      <w:szCs w:val="21"/>
                      <w:u w:val="none" w:color="auto"/>
                      <w:lang w:val="en-US" w:eastAsia="zh-CN"/>
                    </w:rPr>
                    <w:t>符合</w:t>
                  </w:r>
                </w:p>
              </w:tc>
            </w:tr>
            <w:tr w14:paraId="1F4AC07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dxa"/>
                  <w:tcBorders>
                    <w:tl2br w:val="nil"/>
                    <w:tr2bl w:val="nil"/>
                  </w:tcBorders>
                  <w:vAlign w:val="center"/>
                </w:tcPr>
                <w:p w14:paraId="30DF5260">
                  <w:pPr>
                    <w:adjustRightInd w:val="0"/>
                    <w:snapToGrid w:val="0"/>
                    <w:jc w:val="both"/>
                    <w:textAlignment w:val="baseline"/>
                    <w:rPr>
                      <w:rFonts w:hint="default"/>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16.强化门禁及视频监控系统管理</w:t>
                  </w:r>
                </w:p>
              </w:tc>
              <w:tc>
                <w:tcPr>
                  <w:tcW w:w="4217" w:type="dxa"/>
                  <w:tcBorders>
                    <w:tl2br w:val="nil"/>
                    <w:tr2bl w:val="nil"/>
                  </w:tcBorders>
                  <w:vAlign w:val="center"/>
                </w:tcPr>
                <w:p w14:paraId="07BF4F72">
                  <w:pPr>
                    <w:adjustRightInd w:val="0"/>
                    <w:snapToGrid w:val="0"/>
                    <w:jc w:val="both"/>
                    <w:textAlignment w:val="baseline"/>
                    <w:rPr>
                      <w:rFonts w:hint="default"/>
                      <w:color w:val="000000"/>
                      <w:sz w:val="21"/>
                      <w:szCs w:val="21"/>
                      <w:highlight w:val="none"/>
                      <w:u w:val="none" w:color="auto"/>
                      <w:lang w:val="en-US" w:eastAsia="zh-CN"/>
                    </w:rPr>
                  </w:pPr>
                  <w:r>
                    <w:rPr>
                      <w:rFonts w:hint="eastAsia"/>
                      <w:color w:val="000000"/>
                      <w:sz w:val="21"/>
                      <w:szCs w:val="21"/>
                      <w:highlight w:val="none"/>
                      <w:u w:val="none" w:color="auto"/>
                      <w:lang w:val="en-US" w:eastAsia="zh-CN"/>
                    </w:rPr>
                    <w:t>持续深化重点用车单位门禁监控及视频监控系统建设与应用，提升精细化监管水平。对年度日均载货车辆进出20辆次及以上、日运输量150吨以上的重点用车单位进行动态摸排，做到应装尽装、应联尽联。督促企业完善门禁系统管理制度，规范填报电子台账，如实记录进出厂时间、车型、排放阶段、燃油类型等信息，确保数据真实、完整、可追溯。加大平台巡检与现场核查力度，严查长期抬杆、违规手工抬杆、旁门豁口、异常离线等行为;对不规范使用门禁、达不到运输监管要求的绩效企业，实施动态管理。</w:t>
                  </w:r>
                </w:p>
              </w:tc>
              <w:tc>
                <w:tcPr>
                  <w:tcW w:w="1717" w:type="dxa"/>
                  <w:tcBorders>
                    <w:tl2br w:val="nil"/>
                    <w:tr2bl w:val="nil"/>
                  </w:tcBorders>
                  <w:vAlign w:val="center"/>
                </w:tcPr>
                <w:p w14:paraId="4423054A">
                  <w:pPr>
                    <w:adjustRightInd w:val="0"/>
                    <w:snapToGrid w:val="0"/>
                    <w:jc w:val="left"/>
                    <w:textAlignment w:val="baseline"/>
                    <w:rPr>
                      <w:rFonts w:hint="default"/>
                      <w:color w:val="000000"/>
                      <w:sz w:val="21"/>
                      <w:szCs w:val="21"/>
                      <w:highlight w:val="none"/>
                      <w:u w:val="none" w:color="auto"/>
                      <w:lang w:val="en-US" w:eastAsia="zh-CN"/>
                    </w:rPr>
                  </w:pPr>
                  <w:r>
                    <w:rPr>
                      <w:rFonts w:hint="eastAsia"/>
                      <w:color w:val="000000"/>
                      <w:sz w:val="21"/>
                      <w:szCs w:val="21"/>
                      <w:highlight w:val="none"/>
                      <w:u w:val="none" w:color="auto"/>
                      <w:lang w:val="en-US" w:eastAsia="zh-CN"/>
                    </w:rPr>
                    <w:t>本项目产品为锂离子电池，年产6亿支，电池重量约10800吨，日运输量小于150吨，日均载货车辆进出大于20辆次，属于重点用车单位，需门禁监控及视频监控。</w:t>
                  </w:r>
                </w:p>
              </w:tc>
              <w:tc>
                <w:tcPr>
                  <w:tcW w:w="825" w:type="dxa"/>
                  <w:tcBorders>
                    <w:tl2br w:val="nil"/>
                    <w:tr2bl w:val="nil"/>
                  </w:tcBorders>
                  <w:vAlign w:val="center"/>
                </w:tcPr>
                <w:p w14:paraId="5D64DE6A">
                  <w:pPr>
                    <w:adjustRightInd w:val="0"/>
                    <w:snapToGrid w:val="0"/>
                    <w:jc w:val="center"/>
                    <w:textAlignment w:val="baseline"/>
                    <w:rPr>
                      <w:rFonts w:hint="eastAsia"/>
                      <w:color w:val="000000"/>
                      <w:szCs w:val="21"/>
                      <w:u w:val="none" w:color="auto"/>
                      <w:lang w:val="en-US" w:eastAsia="zh-CN"/>
                    </w:rPr>
                  </w:pPr>
                  <w:r>
                    <w:rPr>
                      <w:rFonts w:hint="eastAsia"/>
                      <w:color w:val="000000"/>
                      <w:szCs w:val="21"/>
                      <w:u w:val="none" w:color="auto"/>
                      <w:lang w:val="en-US" w:eastAsia="zh-CN"/>
                    </w:rPr>
                    <w:t>符合</w:t>
                  </w:r>
                </w:p>
              </w:tc>
            </w:tr>
          </w:tbl>
          <w:p w14:paraId="5016AD97">
            <w:pPr>
              <w:keepNext w:val="0"/>
              <w:keepLines w:val="0"/>
              <w:suppressLineNumbers w:val="0"/>
              <w:spacing w:before="0" w:beforeAutospacing="0" w:after="0" w:afterAutospacing="0" w:line="440" w:lineRule="exact"/>
              <w:ind w:left="0" w:right="0" w:firstLine="480" w:firstLineChars="200"/>
              <w:jc w:val="both"/>
              <w:rPr>
                <w:rFonts w:hint="eastAsia" w:hAnsi="宋体"/>
                <w:b/>
                <w:bCs/>
                <w:color w:val="000000"/>
                <w:sz w:val="24"/>
                <w:highlight w:val="none"/>
                <w:u w:val="none" w:color="auto"/>
                <w:lang w:val="en-US" w:eastAsia="zh-CN"/>
              </w:rPr>
            </w:pPr>
            <w:r>
              <w:rPr>
                <w:rFonts w:hint="default" w:hAnsi="宋体"/>
                <w:color w:val="000000"/>
                <w:sz w:val="24"/>
                <w:highlight w:val="none"/>
                <w:u w:val="none" w:color="auto"/>
              </w:rPr>
              <w:t>由上表可知，本项目符合</w:t>
            </w:r>
            <w:r>
              <w:rPr>
                <w:rFonts w:hint="default" w:hAnsi="宋体"/>
                <w:bCs/>
                <w:color w:val="000000"/>
                <w:kern w:val="0"/>
                <w:sz w:val="24"/>
                <w:highlight w:val="none"/>
                <w:u w:val="none" w:color="auto"/>
              </w:rPr>
              <w:t>新乡市</w:t>
            </w:r>
            <w:r>
              <w:rPr>
                <w:rFonts w:hint="eastAsia" w:hAnsi="宋体"/>
                <w:bCs/>
                <w:color w:val="000000"/>
                <w:kern w:val="0"/>
                <w:sz w:val="24"/>
                <w:highlight w:val="none"/>
                <w:u w:val="none" w:color="auto"/>
                <w:lang w:val="en-US" w:eastAsia="zh-CN"/>
              </w:rPr>
              <w:t>2026</w:t>
            </w:r>
            <w:r>
              <w:rPr>
                <w:rFonts w:hint="default" w:hAnsi="宋体"/>
                <w:bCs/>
                <w:color w:val="000000"/>
                <w:kern w:val="0"/>
                <w:sz w:val="24"/>
                <w:highlight w:val="none"/>
                <w:u w:val="none" w:color="auto"/>
              </w:rPr>
              <w:t>年各项保卫战实施方案</w:t>
            </w:r>
            <w:r>
              <w:rPr>
                <w:rFonts w:hint="default" w:hAnsi="宋体"/>
                <w:color w:val="000000"/>
                <w:sz w:val="24"/>
                <w:highlight w:val="none"/>
                <w:u w:val="none" w:color="auto"/>
              </w:rPr>
              <w:t>的相关规定。</w:t>
            </w:r>
          </w:p>
          <w:p w14:paraId="022965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jc w:val="both"/>
              <w:textAlignment w:val="auto"/>
              <w:rPr>
                <w:rFonts w:hint="eastAsia" w:hAnsi="宋体" w:eastAsia="宋体"/>
                <w:b/>
                <w:bCs/>
                <w:color w:val="000000"/>
                <w:sz w:val="24"/>
                <w:highlight w:val="none"/>
                <w:u w:val="none" w:color="auto"/>
                <w:lang w:val="en-US" w:eastAsia="zh-CN"/>
              </w:rPr>
            </w:pPr>
            <w:r>
              <w:rPr>
                <w:rFonts w:hint="eastAsia"/>
                <w:b/>
                <w:bCs w:val="0"/>
                <w:sz w:val="24"/>
                <w:u w:val="none" w:color="auto"/>
                <w:lang w:val="en-US" w:eastAsia="zh-CN"/>
              </w:rPr>
              <w:t>5、本项目与</w:t>
            </w:r>
            <w:r>
              <w:rPr>
                <w:rFonts w:hint="default" w:ascii="Times New Roman" w:hAnsi="宋体" w:cs="Times New Roman"/>
                <w:b/>
                <w:bCs/>
                <w:color w:val="auto"/>
                <w:sz w:val="24"/>
                <w:highlight w:val="none"/>
                <w:u w:val="none" w:color="auto"/>
              </w:rPr>
              <w:t>《</w:t>
            </w:r>
            <w:r>
              <w:rPr>
                <w:rFonts w:hint="default"/>
                <w:b/>
                <w:bCs/>
                <w:color w:val="auto"/>
                <w:sz w:val="24"/>
                <w:u w:val="none" w:color="auto"/>
              </w:rPr>
              <w:t>河南省重污染天气</w:t>
            </w:r>
            <w:r>
              <w:rPr>
                <w:rFonts w:hint="eastAsia"/>
                <w:b/>
                <w:bCs/>
                <w:color w:val="auto"/>
                <w:sz w:val="24"/>
                <w:u w:val="none" w:color="auto"/>
                <w:lang w:val="en-US" w:eastAsia="zh-CN"/>
              </w:rPr>
              <w:t>重点</w:t>
            </w:r>
            <w:r>
              <w:rPr>
                <w:rFonts w:hint="default"/>
                <w:b/>
                <w:bCs/>
                <w:color w:val="auto"/>
                <w:sz w:val="24"/>
                <w:u w:val="none" w:color="auto"/>
              </w:rPr>
              <w:t>行业应急减排措施制定技术指南</w:t>
            </w:r>
            <w:r>
              <w:rPr>
                <w:rFonts w:hint="default" w:ascii="Times New Roman" w:hAnsi="宋体" w:cs="Times New Roman"/>
                <w:b/>
                <w:bCs/>
                <w:color w:val="auto"/>
                <w:sz w:val="24"/>
                <w:highlight w:val="none"/>
                <w:u w:val="none" w:color="auto"/>
              </w:rPr>
              <w:t>》</w:t>
            </w:r>
            <w:r>
              <w:rPr>
                <w:rFonts w:hint="eastAsia" w:ascii="Times New Roman" w:hAnsi="宋体" w:cs="Times New Roman"/>
                <w:b/>
                <w:bCs/>
                <w:color w:val="auto"/>
                <w:sz w:val="24"/>
                <w:highlight w:val="none"/>
                <w:u w:val="none" w:color="auto"/>
              </w:rPr>
              <w:t>（20</w:t>
            </w:r>
            <w:r>
              <w:rPr>
                <w:rFonts w:hint="eastAsia" w:hAnsi="宋体" w:cs="Times New Roman"/>
                <w:b/>
                <w:bCs/>
                <w:color w:val="auto"/>
                <w:sz w:val="24"/>
                <w:highlight w:val="none"/>
                <w:u w:val="none" w:color="auto"/>
                <w:lang w:val="en-US" w:eastAsia="zh-CN"/>
              </w:rPr>
              <w:t>24</w:t>
            </w:r>
            <w:r>
              <w:rPr>
                <w:rFonts w:hint="eastAsia" w:ascii="Times New Roman" w:hAnsi="宋体" w:cs="Times New Roman"/>
                <w:b/>
                <w:bCs/>
                <w:color w:val="auto"/>
                <w:sz w:val="24"/>
                <w:highlight w:val="none"/>
                <w:u w:val="none" w:color="auto"/>
              </w:rPr>
              <w:t>年修订版）</w:t>
            </w:r>
            <w:r>
              <w:rPr>
                <w:rFonts w:hint="default" w:ascii="Times New Roman" w:hAnsi="宋体" w:cs="Times New Roman"/>
                <w:b/>
                <w:bCs/>
                <w:color w:val="auto"/>
                <w:sz w:val="24"/>
                <w:highlight w:val="none"/>
                <w:u w:val="none" w:color="auto"/>
              </w:rPr>
              <w:t>对照分析</w:t>
            </w:r>
          </w:p>
          <w:p w14:paraId="475AF82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ind w:leftChars="0" w:firstLine="480" w:firstLineChars="200"/>
              <w:jc w:val="left"/>
              <w:textAlignment w:val="auto"/>
              <w:rPr>
                <w:rFonts w:hint="eastAsia"/>
                <w:b/>
                <w:bCs w:val="0"/>
                <w:sz w:val="24"/>
                <w:u w:val="none" w:color="auto"/>
                <w:lang w:val="en-US" w:eastAsia="zh-CN"/>
              </w:rPr>
            </w:pPr>
            <w:r>
              <w:rPr>
                <w:rFonts w:hint="eastAsia" w:hAnsi="宋体"/>
                <w:color w:val="auto"/>
                <w:sz w:val="24"/>
                <w:u w:val="none" w:color="auto"/>
                <w:lang w:val="en-US" w:eastAsia="zh-CN"/>
              </w:rPr>
              <w:t>本项目将</w:t>
            </w:r>
            <w:r>
              <w:rPr>
                <w:rFonts w:hint="default"/>
                <w:color w:val="auto"/>
                <w:sz w:val="24"/>
                <w:u w:val="none" w:color="auto"/>
              </w:rPr>
              <w:t>按照《河南省重污染天气</w:t>
            </w:r>
            <w:r>
              <w:rPr>
                <w:rFonts w:hint="eastAsia"/>
                <w:color w:val="auto"/>
                <w:sz w:val="24"/>
                <w:u w:val="none" w:color="auto"/>
                <w:lang w:val="en-US" w:eastAsia="zh-CN"/>
              </w:rPr>
              <w:t>重点</w:t>
            </w:r>
            <w:r>
              <w:rPr>
                <w:rFonts w:hint="default"/>
                <w:color w:val="auto"/>
                <w:sz w:val="24"/>
                <w:u w:val="none" w:color="auto"/>
              </w:rPr>
              <w:t>行业应急减排措施制定技术指南》（</w:t>
            </w:r>
            <w:r>
              <w:rPr>
                <w:rFonts w:hint="default" w:ascii="Times New Roman" w:hAnsi="Times New Roman" w:cs="Times New Roman"/>
                <w:color w:val="auto"/>
                <w:sz w:val="24"/>
                <w:u w:val="none" w:color="auto"/>
              </w:rPr>
              <w:t>20</w:t>
            </w:r>
            <w:r>
              <w:rPr>
                <w:rFonts w:hint="eastAsia" w:ascii="Times New Roman" w:hAnsi="Times New Roman" w:cs="Times New Roman"/>
                <w:color w:val="auto"/>
                <w:sz w:val="24"/>
                <w:u w:val="none" w:color="auto"/>
                <w:lang w:val="en-US" w:eastAsia="zh-CN"/>
              </w:rPr>
              <w:t>24</w:t>
            </w:r>
            <w:r>
              <w:rPr>
                <w:rFonts w:hint="default"/>
                <w:color w:val="auto"/>
                <w:sz w:val="24"/>
                <w:u w:val="none" w:color="auto"/>
              </w:rPr>
              <w:t>年修订版）中</w:t>
            </w:r>
            <w:r>
              <w:rPr>
                <w:rFonts w:hint="eastAsia" w:ascii="Times New Roman" w:hAnsi="Times New Roman" w:cs="Times New Roman"/>
                <w:color w:val="auto"/>
                <w:sz w:val="24"/>
                <w:u w:val="none" w:color="auto"/>
                <w:lang w:val="en-US" w:eastAsia="zh-CN"/>
              </w:rPr>
              <w:t>电池制造</w:t>
            </w:r>
            <w:r>
              <w:rPr>
                <w:rFonts w:hint="default" w:ascii="Times New Roman" w:hAnsi="Times New Roman" w:cs="Times New Roman"/>
                <w:color w:val="auto"/>
                <w:sz w:val="24"/>
                <w:u w:val="none" w:color="auto"/>
                <w:lang w:val="en-US" w:eastAsia="zh-CN"/>
              </w:rPr>
              <w:t>企业绩效</w:t>
            </w:r>
            <w:r>
              <w:rPr>
                <w:rFonts w:hint="eastAsia" w:ascii="Times New Roman" w:hAnsi="Times New Roman" w:cs="Times New Roman"/>
                <w:color w:val="auto"/>
                <w:sz w:val="24"/>
                <w:u w:val="none" w:color="auto"/>
                <w:lang w:val="en-US" w:eastAsia="zh-CN"/>
              </w:rPr>
              <w:t>分级A级</w:t>
            </w:r>
            <w:r>
              <w:rPr>
                <w:rFonts w:hint="default" w:ascii="Times New Roman" w:hAnsi="Times New Roman" w:cs="Times New Roman"/>
                <w:color w:val="auto"/>
                <w:sz w:val="24"/>
                <w:u w:val="none" w:color="auto"/>
                <w:lang w:val="en-US" w:eastAsia="zh-CN"/>
              </w:rPr>
              <w:t>指标</w:t>
            </w:r>
            <w:r>
              <w:rPr>
                <w:rFonts w:hint="eastAsia" w:ascii="Times New Roman" w:hAnsi="Times New Roman" w:cs="Times New Roman"/>
                <w:color w:val="auto"/>
                <w:sz w:val="24"/>
                <w:u w:val="none" w:color="auto"/>
                <w:lang w:val="en-US" w:eastAsia="zh-CN"/>
              </w:rPr>
              <w:t>建设。</w:t>
            </w:r>
          </w:p>
          <w:p w14:paraId="6DBF16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hAnsi="宋体" w:eastAsia="宋体"/>
                <w:b/>
                <w:bCs/>
                <w:color w:val="000000"/>
                <w:sz w:val="24"/>
                <w:highlight w:val="none"/>
                <w:u w:val="none" w:color="auto"/>
                <w:lang w:val="en-US" w:eastAsia="zh-CN"/>
              </w:rPr>
            </w:pPr>
            <w:r>
              <w:rPr>
                <w:b/>
                <w:bCs/>
                <w:color w:val="000000" w:themeColor="text1"/>
                <w:sz w:val="24"/>
                <w:u w:val="none" w:color="auto"/>
                <w14:textFill>
                  <w14:solidFill>
                    <w14:schemeClr w14:val="tx1"/>
                  </w14:solidFill>
                </w14:textFill>
              </w:rPr>
              <w:t>表1-</w:t>
            </w:r>
            <w:r>
              <w:rPr>
                <w:rFonts w:hint="eastAsia"/>
                <w:b/>
                <w:bCs/>
                <w:color w:val="000000" w:themeColor="text1"/>
                <w:sz w:val="24"/>
                <w:u w:val="none" w:color="auto"/>
                <w:lang w:val="en-US" w:eastAsia="zh-CN"/>
                <w14:textFill>
                  <w14:solidFill>
                    <w14:schemeClr w14:val="tx1"/>
                  </w14:solidFill>
                </w14:textFill>
              </w:rPr>
              <w:t>9</w:t>
            </w:r>
            <w:r>
              <w:rPr>
                <w:b/>
                <w:bCs/>
                <w:color w:val="000000" w:themeColor="text1"/>
                <w:sz w:val="24"/>
                <w:u w:val="none" w:color="auto"/>
                <w14:textFill>
                  <w14:solidFill>
                    <w14:schemeClr w14:val="tx1"/>
                  </w14:solidFill>
                </w14:textFill>
              </w:rPr>
              <w:t xml:space="preserve"> </w:t>
            </w:r>
            <w:r>
              <w:rPr>
                <w:rFonts w:hint="eastAsia"/>
                <w:b/>
                <w:bCs/>
                <w:color w:val="FF0000"/>
                <w:sz w:val="24"/>
                <w:u w:val="none" w:color="auto"/>
                <w:lang w:val="en-US" w:eastAsia="zh-CN"/>
              </w:rPr>
              <w:t xml:space="preserve">   </w:t>
            </w:r>
            <w:r>
              <w:rPr>
                <w:rFonts w:hint="eastAsia" w:hAnsi="宋体" w:cs="Times New Roman"/>
                <w:b/>
                <w:bCs/>
                <w:color w:val="000000"/>
                <w:sz w:val="24"/>
                <w:szCs w:val="24"/>
                <w:highlight w:val="none"/>
                <w:u w:val="none" w:color="auto"/>
                <w:lang w:val="en-US" w:eastAsia="zh-CN"/>
              </w:rPr>
              <w:t>本项目与电池制造</w:t>
            </w:r>
            <w:r>
              <w:rPr>
                <w:rFonts w:hint="eastAsia" w:hAnsi="宋体"/>
                <w:b/>
                <w:bCs/>
                <w:color w:val="000000"/>
                <w:sz w:val="24"/>
                <w:highlight w:val="none"/>
                <w:u w:val="none" w:color="auto"/>
                <w:lang w:val="en-US" w:eastAsia="zh-CN"/>
              </w:rPr>
              <w:t>企业绩效引领性指标对照分</w:t>
            </w:r>
            <w:r>
              <w:rPr>
                <w:rFonts w:hint="eastAsia" w:hAnsi="宋体" w:cs="Times New Roman"/>
                <w:b/>
                <w:bCs/>
                <w:color w:val="000000"/>
                <w:sz w:val="24"/>
                <w:szCs w:val="24"/>
                <w:highlight w:val="none"/>
                <w:u w:val="none" w:color="auto"/>
                <w:lang w:val="en-US" w:eastAsia="zh-CN"/>
              </w:rPr>
              <w:t>析</w:t>
            </w:r>
          </w:p>
          <w:tbl>
            <w:tblPr>
              <w:tblStyle w:val="33"/>
              <w:tblW w:w="737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5"/>
              <w:gridCol w:w="455"/>
              <w:gridCol w:w="3046"/>
              <w:gridCol w:w="2488"/>
              <w:gridCol w:w="955"/>
            </w:tblGrid>
            <w:tr w14:paraId="7AEA320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90" w:type="dxa"/>
                  <w:gridSpan w:val="2"/>
                  <w:tcBorders>
                    <w:top w:val="single" w:color="auto" w:sz="8" w:space="0"/>
                    <w:bottom w:val="single" w:color="auto" w:sz="8" w:space="0"/>
                    <w:right w:val="single" w:color="auto" w:sz="8" w:space="0"/>
                  </w:tcBorders>
                  <w:vAlign w:val="center"/>
                </w:tcPr>
                <w:p w14:paraId="583D38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hAnsi="宋体" w:eastAsia="宋体"/>
                      <w:b/>
                      <w:bCs/>
                      <w:color w:val="000000"/>
                      <w:sz w:val="21"/>
                      <w:szCs w:val="21"/>
                      <w:u w:val="none" w:color="auto"/>
                      <w:vertAlign w:val="baseline"/>
                      <w:lang w:val="en-US" w:eastAsia="zh-CN"/>
                    </w:rPr>
                  </w:pPr>
                  <w:r>
                    <w:rPr>
                      <w:rFonts w:hint="eastAsia" w:hAnsi="宋体"/>
                      <w:b/>
                      <w:bCs/>
                      <w:color w:val="000000"/>
                      <w:sz w:val="21"/>
                      <w:szCs w:val="21"/>
                      <w:u w:val="none" w:color="auto"/>
                      <w:vertAlign w:val="baseline"/>
                      <w:lang w:val="en-US" w:eastAsia="zh-CN"/>
                    </w:rPr>
                    <w:t>差异化指标</w:t>
                  </w:r>
                </w:p>
              </w:tc>
              <w:tc>
                <w:tcPr>
                  <w:tcW w:w="3046" w:type="dxa"/>
                  <w:tcBorders>
                    <w:top w:val="single" w:color="auto" w:sz="8" w:space="0"/>
                    <w:left w:val="single" w:color="auto" w:sz="8" w:space="0"/>
                    <w:bottom w:val="single" w:color="auto" w:sz="8" w:space="0"/>
                    <w:right w:val="single" w:color="auto" w:sz="8" w:space="0"/>
                  </w:tcBorders>
                  <w:vAlign w:val="center"/>
                </w:tcPr>
                <w:p w14:paraId="1D3CC0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hAnsi="宋体" w:eastAsia="宋体"/>
                      <w:b/>
                      <w:bCs/>
                      <w:color w:val="000000"/>
                      <w:sz w:val="21"/>
                      <w:szCs w:val="21"/>
                      <w:u w:val="none" w:color="auto"/>
                      <w:vertAlign w:val="baseline"/>
                      <w:lang w:val="en-US" w:eastAsia="zh-CN"/>
                    </w:rPr>
                  </w:pPr>
                  <w:r>
                    <w:rPr>
                      <w:rFonts w:hint="eastAsia" w:hAnsi="宋体"/>
                      <w:b/>
                      <w:bCs/>
                      <w:color w:val="000000"/>
                      <w:sz w:val="21"/>
                      <w:szCs w:val="21"/>
                      <w:u w:val="none" w:color="auto"/>
                      <w:vertAlign w:val="baseline"/>
                      <w:lang w:val="en-US" w:eastAsia="zh-CN"/>
                    </w:rPr>
                    <w:t>A级企业</w:t>
                  </w:r>
                </w:p>
              </w:tc>
              <w:tc>
                <w:tcPr>
                  <w:tcW w:w="2488" w:type="dxa"/>
                  <w:tcBorders>
                    <w:top w:val="single" w:color="auto" w:sz="8" w:space="0"/>
                    <w:left w:val="single" w:color="auto" w:sz="8" w:space="0"/>
                    <w:bottom w:val="single" w:color="auto" w:sz="8" w:space="0"/>
                    <w:right w:val="single" w:color="auto" w:sz="8" w:space="0"/>
                  </w:tcBorders>
                  <w:vAlign w:val="center"/>
                </w:tcPr>
                <w:p w14:paraId="2C1B68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hAnsi="宋体" w:eastAsia="宋体"/>
                      <w:b/>
                      <w:bCs/>
                      <w:color w:val="000000"/>
                      <w:sz w:val="21"/>
                      <w:szCs w:val="21"/>
                      <w:u w:val="none" w:color="auto"/>
                      <w:vertAlign w:val="baseline"/>
                      <w:lang w:val="en-US" w:eastAsia="zh-CN"/>
                    </w:rPr>
                  </w:pPr>
                  <w:r>
                    <w:rPr>
                      <w:rFonts w:hint="eastAsia" w:hAnsi="宋体"/>
                      <w:b/>
                      <w:bCs/>
                      <w:color w:val="000000"/>
                      <w:sz w:val="21"/>
                      <w:szCs w:val="21"/>
                      <w:u w:val="none" w:color="auto"/>
                      <w:vertAlign w:val="baseline"/>
                      <w:lang w:val="en-US" w:eastAsia="zh-CN"/>
                    </w:rPr>
                    <w:t>本项目情况</w:t>
                  </w:r>
                </w:p>
              </w:tc>
              <w:tc>
                <w:tcPr>
                  <w:tcW w:w="955" w:type="dxa"/>
                  <w:tcBorders>
                    <w:top w:val="single" w:color="auto" w:sz="8" w:space="0"/>
                    <w:left w:val="single" w:color="auto" w:sz="8" w:space="0"/>
                    <w:bottom w:val="single" w:color="auto" w:sz="8" w:space="0"/>
                  </w:tcBorders>
                  <w:vAlign w:val="center"/>
                </w:tcPr>
                <w:p w14:paraId="64EE9C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hAnsi="宋体" w:eastAsia="宋体"/>
                      <w:b/>
                      <w:bCs/>
                      <w:color w:val="000000"/>
                      <w:sz w:val="21"/>
                      <w:szCs w:val="21"/>
                      <w:u w:val="none" w:color="auto"/>
                      <w:vertAlign w:val="baseline"/>
                      <w:lang w:val="en-US" w:eastAsia="zh-CN"/>
                    </w:rPr>
                  </w:pPr>
                  <w:r>
                    <w:rPr>
                      <w:rFonts w:hint="eastAsia" w:hAnsi="宋体"/>
                      <w:b/>
                      <w:bCs/>
                      <w:color w:val="000000"/>
                      <w:sz w:val="21"/>
                      <w:szCs w:val="21"/>
                      <w:u w:val="none" w:color="auto"/>
                      <w:vertAlign w:val="baseline"/>
                      <w:lang w:val="en-US" w:eastAsia="zh-CN"/>
                    </w:rPr>
                    <w:t>相符性</w:t>
                  </w:r>
                </w:p>
              </w:tc>
            </w:tr>
            <w:tr w14:paraId="581DA1D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90" w:type="dxa"/>
                  <w:gridSpan w:val="2"/>
                  <w:tcBorders>
                    <w:top w:val="single" w:color="auto" w:sz="8" w:space="0"/>
                    <w:tl2br w:val="nil"/>
                    <w:tr2bl w:val="nil"/>
                  </w:tcBorders>
                  <w:vAlign w:val="center"/>
                </w:tcPr>
                <w:p w14:paraId="70CDA19E">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hAnsi="宋体" w:eastAsia="宋体"/>
                      <w:color w:val="000000"/>
                      <w:sz w:val="21"/>
                      <w:szCs w:val="21"/>
                      <w:u w:val="none" w:color="auto"/>
                      <w:vertAlign w:val="baseline"/>
                      <w:lang w:val="en-US" w:eastAsia="zh-CN"/>
                    </w:rPr>
                  </w:pPr>
                  <w:r>
                    <w:rPr>
                      <w:rFonts w:hint="eastAsia" w:ascii="Times New Roman" w:hAnsi="宋体" w:cs="Times New Roman"/>
                      <w:color w:val="000000"/>
                      <w:sz w:val="21"/>
                      <w:szCs w:val="21"/>
                      <w:u w:val="none" w:color="auto"/>
                      <w:lang w:val="en-US" w:eastAsia="zh-CN"/>
                    </w:rPr>
                    <w:t>原料、能源类型</w:t>
                  </w:r>
                </w:p>
              </w:tc>
              <w:tc>
                <w:tcPr>
                  <w:tcW w:w="3046" w:type="dxa"/>
                  <w:tcBorders>
                    <w:top w:val="single" w:color="auto" w:sz="8" w:space="0"/>
                    <w:tl2br w:val="nil"/>
                    <w:tr2bl w:val="nil"/>
                  </w:tcBorders>
                  <w:vAlign w:val="center"/>
                </w:tcPr>
                <w:p w14:paraId="1EFEAD0B">
                  <w:pPr>
                    <w:pStyle w:val="99"/>
                    <w:keepNext w:val="0"/>
                    <w:keepLines w:val="0"/>
                    <w:suppressLineNumbers w:val="0"/>
                    <w:adjustRightInd w:val="0"/>
                    <w:snapToGrid w:val="0"/>
                    <w:spacing w:before="0" w:beforeAutospacing="0" w:after="0" w:afterAutospacing="0" w:line="240" w:lineRule="auto"/>
                    <w:ind w:left="0" w:right="0" w:firstLine="0"/>
                    <w:jc w:val="left"/>
                    <w:rPr>
                      <w:rFonts w:hint="default" w:hAnsi="宋体"/>
                      <w:color w:val="000000"/>
                      <w:sz w:val="21"/>
                      <w:szCs w:val="21"/>
                      <w:u w:val="none" w:color="auto"/>
                      <w:vertAlign w:val="baseline"/>
                    </w:rPr>
                  </w:pPr>
                  <w:r>
                    <w:rPr>
                      <w:rFonts w:hint="eastAsia" w:ascii="Times New Roman" w:hAnsi="宋体" w:cs="Times New Roman"/>
                      <w:color w:val="000000"/>
                      <w:sz w:val="21"/>
                      <w:szCs w:val="21"/>
                      <w:u w:val="none" w:color="auto"/>
                    </w:rPr>
                    <w:t>能源使用天然气、</w:t>
                  </w:r>
                  <w:r>
                    <w:rPr>
                      <w:rFonts w:hint="eastAsia" w:ascii="Times New Roman" w:hAnsi="宋体" w:cs="Times New Roman"/>
                      <w:color w:val="000000"/>
                      <w:sz w:val="21"/>
                      <w:szCs w:val="21"/>
                      <w:u w:val="none" w:color="auto"/>
                      <w:lang w:val="en-US" w:eastAsia="zh-CN"/>
                    </w:rPr>
                    <w:t>电</w:t>
                  </w:r>
                  <w:r>
                    <w:rPr>
                      <w:rFonts w:hint="eastAsia" w:ascii="Times New Roman" w:hAnsi="宋体" w:cs="Times New Roman"/>
                      <w:color w:val="000000"/>
                      <w:sz w:val="21"/>
                      <w:szCs w:val="21"/>
                      <w:u w:val="none" w:color="auto"/>
                    </w:rPr>
                    <w:t>等能源。</w:t>
                  </w:r>
                </w:p>
              </w:tc>
              <w:tc>
                <w:tcPr>
                  <w:tcW w:w="2488" w:type="dxa"/>
                  <w:tcBorders>
                    <w:top w:val="single" w:color="auto" w:sz="8" w:space="0"/>
                    <w:tl2br w:val="nil"/>
                    <w:tr2bl w:val="nil"/>
                  </w:tcBorders>
                  <w:vAlign w:val="center"/>
                </w:tcPr>
                <w:p w14:paraId="5117DAA4">
                  <w:pPr>
                    <w:keepNext w:val="0"/>
                    <w:keepLines w:val="0"/>
                    <w:suppressLineNumbers w:val="0"/>
                    <w:adjustRightInd w:val="0"/>
                    <w:snapToGrid w:val="0"/>
                    <w:spacing w:before="0" w:beforeAutospacing="0" w:after="0" w:afterAutospacing="0" w:line="240" w:lineRule="auto"/>
                    <w:ind w:left="0" w:leftChars="0" w:right="0" w:rightChars="0"/>
                    <w:jc w:val="left"/>
                    <w:rPr>
                      <w:rFonts w:hint="default" w:hAnsi="宋体"/>
                      <w:color w:val="000000"/>
                      <w:sz w:val="21"/>
                      <w:szCs w:val="21"/>
                      <w:u w:val="none" w:color="auto"/>
                      <w:vertAlign w:val="baseline"/>
                    </w:rPr>
                  </w:pPr>
                  <w:r>
                    <w:rPr>
                      <w:rFonts w:hint="eastAsia" w:hAnsi="宋体"/>
                      <w:sz w:val="21"/>
                      <w:szCs w:val="21"/>
                      <w:u w:val="none" w:color="auto"/>
                    </w:rPr>
                    <w:t>本项目</w:t>
                  </w:r>
                  <w:r>
                    <w:rPr>
                      <w:rFonts w:hint="eastAsia" w:hAnsi="宋体"/>
                      <w:sz w:val="21"/>
                      <w:szCs w:val="21"/>
                      <w:u w:val="none" w:color="auto"/>
                      <w:lang w:val="en-US" w:eastAsia="zh-CN"/>
                    </w:rPr>
                    <w:t>能源为电。</w:t>
                  </w:r>
                </w:p>
              </w:tc>
              <w:tc>
                <w:tcPr>
                  <w:tcW w:w="955" w:type="dxa"/>
                  <w:tcBorders>
                    <w:top w:val="single" w:color="auto" w:sz="8" w:space="0"/>
                    <w:tl2br w:val="nil"/>
                    <w:tr2bl w:val="nil"/>
                  </w:tcBorders>
                  <w:vAlign w:val="center"/>
                </w:tcPr>
                <w:p w14:paraId="289D5D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hAnsi="宋体" w:eastAsia="宋体"/>
                      <w:color w:val="000000"/>
                      <w:sz w:val="21"/>
                      <w:szCs w:val="21"/>
                      <w:u w:val="none" w:color="auto"/>
                      <w:vertAlign w:val="baseline"/>
                      <w:lang w:val="en-US" w:eastAsia="zh-CN"/>
                    </w:rPr>
                  </w:pPr>
                  <w:r>
                    <w:rPr>
                      <w:rFonts w:hint="eastAsia" w:eastAsia="宋体"/>
                      <w:sz w:val="21"/>
                      <w:szCs w:val="21"/>
                      <w:u w:val="none" w:color="auto"/>
                      <w:lang w:val="en-US" w:eastAsia="zh-CN"/>
                    </w:rPr>
                    <w:t>符合</w:t>
                  </w:r>
                </w:p>
              </w:tc>
            </w:tr>
            <w:tr w14:paraId="488A6D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90" w:type="dxa"/>
                  <w:gridSpan w:val="2"/>
                  <w:tcBorders>
                    <w:tl2br w:val="nil"/>
                    <w:tr2bl w:val="nil"/>
                  </w:tcBorders>
                  <w:vAlign w:val="center"/>
                </w:tcPr>
                <w:p w14:paraId="594E2ADE">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hAnsi="宋体" w:eastAsia="宋体"/>
                      <w:color w:val="000000"/>
                      <w:sz w:val="21"/>
                      <w:szCs w:val="21"/>
                      <w:u w:val="none" w:color="auto"/>
                      <w:vertAlign w:val="baseline"/>
                      <w:lang w:val="en-US" w:eastAsia="zh-CN"/>
                    </w:rPr>
                  </w:pPr>
                  <w:r>
                    <w:rPr>
                      <w:rFonts w:hint="eastAsia" w:ascii="Times New Roman" w:hAnsi="宋体" w:cs="Times New Roman"/>
                      <w:color w:val="000000"/>
                      <w:sz w:val="21"/>
                      <w:szCs w:val="21"/>
                      <w:u w:val="none" w:color="auto"/>
                      <w:lang w:val="en-US" w:eastAsia="zh-CN"/>
                    </w:rPr>
                    <w:t>生产工艺及装备水平</w:t>
                  </w:r>
                </w:p>
              </w:tc>
              <w:tc>
                <w:tcPr>
                  <w:tcW w:w="3046" w:type="dxa"/>
                  <w:tcBorders>
                    <w:tl2br w:val="nil"/>
                    <w:tr2bl w:val="nil"/>
                  </w:tcBorders>
                  <w:vAlign w:val="center"/>
                </w:tcPr>
                <w:p w14:paraId="041850CB">
                  <w:pPr>
                    <w:pStyle w:val="99"/>
                    <w:keepNext w:val="0"/>
                    <w:keepLines w:val="0"/>
                    <w:suppressLineNumbers w:val="0"/>
                    <w:adjustRightInd w:val="0"/>
                    <w:snapToGrid w:val="0"/>
                    <w:spacing w:before="0" w:beforeAutospacing="0" w:after="0" w:afterAutospacing="0" w:line="240" w:lineRule="auto"/>
                    <w:ind w:left="0" w:right="0" w:firstLine="0"/>
                    <w:jc w:val="both"/>
                    <w:rPr>
                      <w:rFonts w:hint="default" w:hAnsi="宋体"/>
                      <w:color w:val="000000"/>
                      <w:sz w:val="21"/>
                      <w:szCs w:val="21"/>
                      <w:u w:val="none" w:color="auto"/>
                      <w:vertAlign w:val="baseline"/>
                    </w:rPr>
                  </w:pPr>
                  <w:r>
                    <w:rPr>
                      <w:rFonts w:hint="eastAsia" w:ascii="Times New Roman" w:hAnsi="宋体" w:cs="Times New Roman"/>
                      <w:color w:val="000000"/>
                      <w:sz w:val="21"/>
                      <w:szCs w:val="21"/>
                      <w:u w:val="none" w:color="auto"/>
                      <w:lang w:val="en-US" w:eastAsia="zh-CN"/>
                    </w:rPr>
                    <w:t>1.属于《产业结构调整指导目录（2024 年版）》鼓励类和允许类；2.符合相关行业产业政策；3.符合河南省相关政策要求；4.符合市级规划。</w:t>
                  </w:r>
                </w:p>
              </w:tc>
              <w:tc>
                <w:tcPr>
                  <w:tcW w:w="2488" w:type="dxa"/>
                  <w:tcBorders>
                    <w:tl2br w:val="nil"/>
                    <w:tr2bl w:val="nil"/>
                  </w:tcBorders>
                  <w:vAlign w:val="center"/>
                </w:tcPr>
                <w:p w14:paraId="3BB67036">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left"/>
                    <w:rPr>
                      <w:rFonts w:hint="default" w:hAnsi="宋体"/>
                      <w:color w:val="000000"/>
                      <w:sz w:val="21"/>
                      <w:szCs w:val="21"/>
                      <w:u w:val="none" w:color="auto"/>
                      <w:vertAlign w:val="baseline"/>
                    </w:rPr>
                  </w:pPr>
                  <w:r>
                    <w:rPr>
                      <w:rFonts w:hint="default" w:ascii="Times New Roman" w:hAnsi="宋体" w:cs="Times New Roman"/>
                      <w:color w:val="000000"/>
                      <w:sz w:val="21"/>
                      <w:szCs w:val="21"/>
                      <w:u w:val="none" w:color="auto"/>
                    </w:rPr>
                    <w:t>本项目</w:t>
                  </w:r>
                  <w:r>
                    <w:rPr>
                      <w:rFonts w:hint="eastAsia" w:ascii="Times New Roman" w:hAnsi="宋体" w:cs="Times New Roman"/>
                      <w:color w:val="000000"/>
                      <w:sz w:val="21"/>
                      <w:szCs w:val="21"/>
                      <w:u w:val="none" w:color="auto"/>
                      <w:lang w:val="en-US" w:eastAsia="zh-CN"/>
                    </w:rPr>
                    <w:t>属于鼓励类项目，符合产业政策要求。</w:t>
                  </w:r>
                </w:p>
              </w:tc>
              <w:tc>
                <w:tcPr>
                  <w:tcW w:w="955" w:type="dxa"/>
                  <w:tcBorders>
                    <w:tl2br w:val="nil"/>
                    <w:tr2bl w:val="nil"/>
                  </w:tcBorders>
                  <w:vAlign w:val="center"/>
                </w:tcPr>
                <w:p w14:paraId="4E7826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hAnsi="宋体"/>
                      <w:color w:val="000000"/>
                      <w:sz w:val="21"/>
                      <w:szCs w:val="21"/>
                      <w:u w:val="none" w:color="auto"/>
                      <w:vertAlign w:val="baseline"/>
                    </w:rPr>
                  </w:pPr>
                  <w:r>
                    <w:rPr>
                      <w:rFonts w:hint="eastAsia"/>
                      <w:color w:val="000000"/>
                      <w:szCs w:val="21"/>
                      <w:u w:val="none" w:color="auto"/>
                      <w:lang w:val="en-US" w:eastAsia="zh-CN"/>
                    </w:rPr>
                    <w:t>符合</w:t>
                  </w:r>
                </w:p>
              </w:tc>
            </w:tr>
            <w:tr w14:paraId="18ED1F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890" w:type="dxa"/>
                  <w:gridSpan w:val="2"/>
                  <w:tcBorders>
                    <w:tl2br w:val="nil"/>
                    <w:tr2bl w:val="nil"/>
                  </w:tcBorders>
                  <w:vAlign w:val="center"/>
                </w:tcPr>
                <w:p w14:paraId="2194DBC7">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hAnsi="宋体" w:eastAsia="宋体"/>
                      <w:color w:val="000000"/>
                      <w:sz w:val="21"/>
                      <w:szCs w:val="21"/>
                      <w:u w:val="none" w:color="auto"/>
                      <w:vertAlign w:val="baseline"/>
                      <w:lang w:val="en-US" w:eastAsia="zh-CN"/>
                    </w:rPr>
                  </w:pPr>
                  <w:r>
                    <w:rPr>
                      <w:rFonts w:hint="eastAsia" w:ascii="Times New Roman" w:hAnsi="宋体" w:cs="Times New Roman"/>
                      <w:color w:val="000000"/>
                      <w:sz w:val="21"/>
                      <w:szCs w:val="21"/>
                      <w:u w:val="none" w:color="auto"/>
                      <w:lang w:val="en-US" w:eastAsia="zh-CN"/>
                    </w:rPr>
                    <w:t>生产工艺及装备水平</w:t>
                  </w:r>
                </w:p>
              </w:tc>
              <w:tc>
                <w:tcPr>
                  <w:tcW w:w="3046" w:type="dxa"/>
                  <w:tcBorders>
                    <w:tl2br w:val="nil"/>
                    <w:tr2bl w:val="nil"/>
                  </w:tcBorders>
                  <w:vAlign w:val="center"/>
                </w:tcPr>
                <w:p w14:paraId="4CC7029A">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default" w:hAnsi="宋体"/>
                      <w:color w:val="000000"/>
                      <w:sz w:val="21"/>
                      <w:szCs w:val="21"/>
                      <w:u w:val="none" w:color="auto"/>
                      <w:vertAlign w:val="baseline"/>
                    </w:rPr>
                  </w:pPr>
                  <w:r>
                    <w:rPr>
                      <w:rFonts w:hint="eastAsia" w:ascii="Times New Roman" w:hAnsi="Times New Roman" w:cs="Times New Roman"/>
                      <w:color w:val="000000"/>
                      <w:sz w:val="21"/>
                      <w:szCs w:val="21"/>
                      <w:u w:val="none" w:color="auto"/>
                      <w:lang w:val="en-US" w:eastAsia="zh-CN"/>
                    </w:rPr>
                    <w:t>锂电池生产企业投料采用自动计量负压真空投料，涂布、注液采用自动化设备，烘箱配备余热回收利用设施，采用真空注液系统，企业配备溶剂回收系统。</w:t>
                  </w:r>
                </w:p>
              </w:tc>
              <w:tc>
                <w:tcPr>
                  <w:tcW w:w="2488" w:type="dxa"/>
                  <w:tcBorders>
                    <w:tl2br w:val="nil"/>
                    <w:tr2bl w:val="nil"/>
                  </w:tcBorders>
                  <w:vAlign w:val="center"/>
                </w:tcPr>
                <w:p w14:paraId="7418DB6D">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default" w:ascii="Times New Roman" w:hAnsi="宋体" w:cs="Times New Roman"/>
                      <w:color w:val="auto"/>
                      <w:sz w:val="21"/>
                      <w:szCs w:val="21"/>
                      <w:u w:val="none" w:color="auto"/>
                      <w:lang w:val="en-US" w:eastAsia="zh-CN"/>
                    </w:rPr>
                  </w:pPr>
                  <w:r>
                    <w:rPr>
                      <w:rFonts w:hint="eastAsia" w:ascii="Times New Roman" w:hAnsi="宋体" w:cs="Times New Roman"/>
                      <w:color w:val="auto"/>
                      <w:sz w:val="21"/>
                      <w:szCs w:val="21"/>
                      <w:u w:val="none" w:color="auto"/>
                      <w:lang w:val="en-US" w:eastAsia="zh-CN"/>
                    </w:rPr>
                    <w:t>1.</w:t>
                  </w:r>
                  <w:r>
                    <w:rPr>
                      <w:rFonts w:hint="eastAsia" w:ascii="Times New Roman" w:hAnsi="宋体" w:cs="Times New Roman"/>
                      <w:color w:val="auto"/>
                      <w:sz w:val="21"/>
                      <w:szCs w:val="21"/>
                      <w:u w:val="none" w:color="auto"/>
                    </w:rPr>
                    <w:t>本项目</w:t>
                  </w:r>
                  <w:r>
                    <w:rPr>
                      <w:rFonts w:hint="eastAsia" w:ascii="Times New Roman" w:hAnsi="宋体" w:cs="Times New Roman"/>
                      <w:color w:val="auto"/>
                      <w:sz w:val="21"/>
                      <w:szCs w:val="21"/>
                      <w:u w:val="none" w:color="auto"/>
                      <w:lang w:val="en-US" w:eastAsia="zh-CN"/>
                    </w:rPr>
                    <w:t>采用自动计量负压真空投料，涂布、注液采用自动化设备，烘箱配备余热回收利用设施，采用真空注液系统</w:t>
                  </w:r>
                  <w:r>
                    <w:rPr>
                      <w:rFonts w:hint="eastAsia" w:hAnsi="宋体" w:cs="Times New Roman"/>
                      <w:color w:val="auto"/>
                      <w:sz w:val="21"/>
                      <w:szCs w:val="21"/>
                      <w:u w:val="none" w:color="auto"/>
                      <w:lang w:val="en-US" w:eastAsia="zh-CN"/>
                    </w:rPr>
                    <w:t>，企业配备溶剂回收系统。</w:t>
                  </w:r>
                </w:p>
              </w:tc>
              <w:tc>
                <w:tcPr>
                  <w:tcW w:w="955" w:type="dxa"/>
                  <w:tcBorders>
                    <w:tl2br w:val="nil"/>
                    <w:tr2bl w:val="nil"/>
                  </w:tcBorders>
                  <w:vAlign w:val="center"/>
                </w:tcPr>
                <w:p w14:paraId="790FB1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color w:val="000000"/>
                      <w:szCs w:val="21"/>
                      <w:u w:val="none" w:color="auto"/>
                      <w:lang w:val="en-US" w:eastAsia="zh-CN"/>
                    </w:rPr>
                    <w:t>符合</w:t>
                  </w:r>
                </w:p>
              </w:tc>
            </w:tr>
            <w:tr w14:paraId="40C6C4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890" w:type="dxa"/>
                  <w:gridSpan w:val="2"/>
                  <w:tcBorders>
                    <w:tl2br w:val="nil"/>
                    <w:tr2bl w:val="nil"/>
                  </w:tcBorders>
                  <w:vAlign w:val="center"/>
                </w:tcPr>
                <w:p w14:paraId="6A403F57">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Times New Roman" w:hAnsi="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污染治理技术</w:t>
                  </w:r>
                </w:p>
              </w:tc>
              <w:tc>
                <w:tcPr>
                  <w:tcW w:w="3046" w:type="dxa"/>
                  <w:tcBorders>
                    <w:tl2br w:val="nil"/>
                    <w:tr2bl w:val="nil"/>
                  </w:tcBorders>
                  <w:vAlign w:val="center"/>
                </w:tcPr>
                <w:p w14:paraId="7CDCBFC0">
                  <w:pPr>
                    <w:keepNext w:val="0"/>
                    <w:keepLines w:val="0"/>
                    <w:widowControl/>
                    <w:suppressLineNumbers w:val="0"/>
                    <w:spacing w:before="0" w:beforeAutospacing="0" w:after="0" w:afterAutospacing="0"/>
                    <w:ind w:left="0" w:leftChars="0" w:right="0" w:rightChars="0"/>
                    <w:jc w:val="left"/>
                    <w:rPr>
                      <w:rFonts w:hint="eastAsia" w:ascii="Times New Roman" w:hAnsi="Times New Roman" w:cs="Times New Roman"/>
                      <w:color w:val="000000"/>
                      <w:sz w:val="21"/>
                      <w:szCs w:val="21"/>
                      <w:u w:val="none" w:color="auto"/>
                      <w:lang w:val="en-US" w:eastAsia="zh-CN"/>
                    </w:rPr>
                  </w:pPr>
                  <w:r>
                    <w:rPr>
                      <w:rFonts w:hint="eastAsia" w:ascii="Times New Roman" w:hAnsi="宋体" w:eastAsia="宋体" w:cs="Times New Roman"/>
                      <w:color w:val="000000"/>
                      <w:kern w:val="2"/>
                      <w:sz w:val="21"/>
                      <w:szCs w:val="21"/>
                      <w:u w:val="none" w:color="auto"/>
                      <w:lang w:val="en-US" w:eastAsia="zh-CN" w:bidi="ar-SA"/>
                    </w:rPr>
                    <w:t xml:space="preserve">配料工序、镍氢电池产尘环节采用袋式除尘器除尘；拉浆、涂布和电解液生产等涉 </w:t>
                  </w:r>
                  <w:r>
                    <w:rPr>
                      <w:rFonts w:hint="default" w:ascii="Times New Roman" w:hAnsi="宋体" w:eastAsia="宋体" w:cs="Times New Roman"/>
                      <w:color w:val="000000"/>
                      <w:kern w:val="2"/>
                      <w:sz w:val="21"/>
                      <w:szCs w:val="21"/>
                      <w:u w:val="none" w:color="auto"/>
                      <w:lang w:val="en-US" w:eastAsia="zh-CN" w:bidi="ar-SA"/>
                    </w:rPr>
                    <w:t>VOCs</w:t>
                  </w:r>
                  <w:r>
                    <w:rPr>
                      <w:rFonts w:hint="eastAsia" w:ascii="Times New Roman" w:hAnsi="宋体" w:eastAsia="宋体" w:cs="Times New Roman"/>
                      <w:color w:val="000000"/>
                      <w:kern w:val="2"/>
                      <w:sz w:val="21"/>
                      <w:szCs w:val="21"/>
                      <w:u w:val="none" w:color="auto"/>
                      <w:lang w:val="en-US" w:eastAsia="zh-CN" w:bidi="ar-SA"/>
                    </w:rPr>
                    <w:t>工序采用低温冷凝、焚烧、吸附浓缩</w:t>
                  </w:r>
                  <w:r>
                    <w:rPr>
                      <w:rFonts w:hint="default" w:ascii="Times New Roman" w:hAnsi="宋体" w:eastAsia="宋体" w:cs="Times New Roman"/>
                      <w:color w:val="000000"/>
                      <w:kern w:val="2"/>
                      <w:sz w:val="21"/>
                      <w:szCs w:val="21"/>
                      <w:u w:val="none" w:color="auto"/>
                      <w:lang w:val="en-US" w:eastAsia="zh-CN" w:bidi="ar-SA"/>
                    </w:rPr>
                    <w:t>+</w:t>
                  </w:r>
                  <w:r>
                    <w:rPr>
                      <w:rFonts w:hint="eastAsia" w:ascii="Times New Roman" w:hAnsi="宋体" w:eastAsia="宋体" w:cs="Times New Roman"/>
                      <w:color w:val="000000"/>
                      <w:kern w:val="2"/>
                      <w:sz w:val="21"/>
                      <w:szCs w:val="21"/>
                      <w:u w:val="none" w:color="auto"/>
                      <w:lang w:val="en-US" w:eastAsia="zh-CN" w:bidi="ar-SA"/>
                    </w:rPr>
                    <w:t>脱附燃烧或吸附浓缩</w:t>
                  </w:r>
                  <w:r>
                    <w:rPr>
                      <w:rFonts w:hint="default" w:ascii="Times New Roman" w:hAnsi="宋体" w:eastAsia="宋体" w:cs="Times New Roman"/>
                      <w:color w:val="000000"/>
                      <w:kern w:val="2"/>
                      <w:sz w:val="21"/>
                      <w:szCs w:val="21"/>
                      <w:u w:val="none" w:color="auto"/>
                      <w:lang w:val="en-US" w:eastAsia="zh-CN" w:bidi="ar-SA"/>
                    </w:rPr>
                    <w:t>+</w:t>
                  </w:r>
                  <w:r>
                    <w:rPr>
                      <w:rFonts w:hint="eastAsia" w:ascii="Times New Roman" w:hAnsi="宋体" w:eastAsia="宋体" w:cs="Times New Roman"/>
                      <w:color w:val="000000"/>
                      <w:kern w:val="2"/>
                      <w:sz w:val="21"/>
                      <w:szCs w:val="21"/>
                      <w:u w:val="none" w:color="auto"/>
                      <w:lang w:val="en-US" w:eastAsia="zh-CN" w:bidi="ar-SA"/>
                    </w:rPr>
                    <w:t xml:space="preserve">脱附冷凝等处理工艺。废气中含有油烟或颗粒物的，应在 </w:t>
                  </w:r>
                  <w:r>
                    <w:rPr>
                      <w:rFonts w:hint="default" w:ascii="Times New Roman" w:hAnsi="宋体" w:eastAsia="宋体" w:cs="Times New Roman"/>
                      <w:color w:val="000000"/>
                      <w:kern w:val="2"/>
                      <w:sz w:val="21"/>
                      <w:szCs w:val="21"/>
                      <w:u w:val="none" w:color="auto"/>
                      <w:lang w:val="en-US" w:eastAsia="zh-CN" w:bidi="ar-SA"/>
                    </w:rPr>
                    <w:t xml:space="preserve">VOCs </w:t>
                  </w:r>
                  <w:r>
                    <w:rPr>
                      <w:rFonts w:hint="eastAsia" w:ascii="Times New Roman" w:hAnsi="宋体" w:eastAsia="宋体" w:cs="Times New Roman"/>
                      <w:color w:val="000000"/>
                      <w:kern w:val="2"/>
                      <w:sz w:val="21"/>
                      <w:szCs w:val="21"/>
                      <w:u w:val="none" w:color="auto"/>
                      <w:lang w:val="en-US" w:eastAsia="zh-CN" w:bidi="ar-SA"/>
                    </w:rPr>
                    <w:t>治理设施前端加装除尘设施或油烟净化装置。</w:t>
                  </w:r>
                </w:p>
              </w:tc>
              <w:tc>
                <w:tcPr>
                  <w:tcW w:w="2488" w:type="dxa"/>
                  <w:tcBorders>
                    <w:tl2br w:val="nil"/>
                    <w:tr2bl w:val="nil"/>
                  </w:tcBorders>
                  <w:vAlign w:val="center"/>
                </w:tcPr>
                <w:p w14:paraId="26D2D2A2">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宋体" w:cs="Times New Roman"/>
                      <w:color w:val="auto"/>
                      <w:sz w:val="21"/>
                      <w:szCs w:val="21"/>
                      <w:u w:val="none" w:color="auto"/>
                      <w:lang w:val="en-US" w:eastAsia="zh-CN"/>
                    </w:rPr>
                  </w:pPr>
                  <w:r>
                    <w:rPr>
                      <w:rFonts w:hint="eastAsia" w:ascii="Times New Roman" w:hAnsi="宋体" w:cs="Times New Roman"/>
                      <w:color w:val="auto"/>
                      <w:sz w:val="21"/>
                      <w:szCs w:val="21"/>
                      <w:u w:val="none" w:color="auto"/>
                      <w:lang w:val="en-US" w:eastAsia="zh-CN"/>
                    </w:rPr>
                    <w:t>本项目正极配料，涂布烘干废气经NMP高塔回收系统处理后，尾气经密闭管道通过一根1根25m高排气筒（DA001）排放。注液工序抽真空尾气经收集系统收集后，由活性炭吸附脱附+催化燃烧装置治理后经1根25m高排气筒（DA001）排放。采用以上治理措施治理后，尾气可达标排放。</w:t>
                  </w:r>
                </w:p>
              </w:tc>
              <w:tc>
                <w:tcPr>
                  <w:tcW w:w="955" w:type="dxa"/>
                  <w:tcBorders>
                    <w:tl2br w:val="nil"/>
                    <w:tr2bl w:val="nil"/>
                  </w:tcBorders>
                  <w:vAlign w:val="center"/>
                </w:tcPr>
                <w:p w14:paraId="411352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olor w:val="000000"/>
                      <w:szCs w:val="21"/>
                      <w:u w:val="none" w:color="auto"/>
                      <w:lang w:val="en-US" w:eastAsia="zh-CN"/>
                    </w:rPr>
                  </w:pPr>
                  <w:r>
                    <w:rPr>
                      <w:rFonts w:hint="eastAsia"/>
                      <w:color w:val="000000"/>
                      <w:szCs w:val="21"/>
                      <w:u w:val="none" w:color="auto"/>
                      <w:lang w:val="en-US" w:eastAsia="zh-CN"/>
                    </w:rPr>
                    <w:t>符合</w:t>
                  </w:r>
                </w:p>
              </w:tc>
            </w:tr>
            <w:tr w14:paraId="3E7C4F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890" w:type="dxa"/>
                  <w:gridSpan w:val="2"/>
                  <w:tcBorders>
                    <w:tl2br w:val="nil"/>
                    <w:tr2bl w:val="nil"/>
                  </w:tcBorders>
                  <w:vAlign w:val="center"/>
                </w:tcPr>
                <w:p w14:paraId="697F224D">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Times New Roman" w:hAnsi="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无组织排放</w:t>
                  </w:r>
                </w:p>
              </w:tc>
              <w:tc>
                <w:tcPr>
                  <w:tcW w:w="3046" w:type="dxa"/>
                  <w:tcBorders>
                    <w:tl2br w:val="nil"/>
                    <w:tr2bl w:val="nil"/>
                  </w:tcBorders>
                  <w:vAlign w:val="center"/>
                </w:tcPr>
                <w:p w14:paraId="303015F4">
                  <w:pPr>
                    <w:keepNext w:val="0"/>
                    <w:keepLines w:val="0"/>
                    <w:widowControl/>
                    <w:suppressLineNumbers w:val="0"/>
                    <w:spacing w:before="0" w:beforeAutospacing="0" w:after="0" w:afterAutospacing="0"/>
                    <w:ind w:left="0" w:right="0"/>
                    <w:jc w:val="both"/>
                    <w:rPr>
                      <w:rFonts w:hint="eastAsia"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 xml:space="preserve">1.配料工段置于独立密闭配料间，配料工序粉尘局部负压收集； </w:t>
                  </w:r>
                </w:p>
                <w:p w14:paraId="2599D179">
                  <w:pPr>
                    <w:keepNext w:val="0"/>
                    <w:keepLines w:val="0"/>
                    <w:widowControl/>
                    <w:suppressLineNumbers w:val="0"/>
                    <w:spacing w:before="0" w:beforeAutospacing="0" w:after="0" w:afterAutospacing="0"/>
                    <w:ind w:left="0" w:right="0"/>
                    <w:jc w:val="both"/>
                    <w:rPr>
                      <w:rFonts w:hint="eastAsia"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2.镍氢电池合粉、包粉、装配等产尘工序和铅蓄电池制粉、和膏、板栅铸造、灌粉、分片、刷片、成片、包片、焊接及其他电池涉尘工序均需采用负压收集措施；</w:t>
                  </w:r>
                </w:p>
                <w:p w14:paraId="194B4737">
                  <w:pPr>
                    <w:keepNext w:val="0"/>
                    <w:keepLines w:val="0"/>
                    <w:widowControl/>
                    <w:suppressLineNumbers w:val="0"/>
                    <w:spacing w:before="0" w:beforeAutospacing="0" w:after="0" w:afterAutospacing="0"/>
                    <w:ind w:left="0" w:right="0"/>
                    <w:jc w:val="both"/>
                    <w:rPr>
                      <w:rFonts w:hint="eastAsia"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 xml:space="preserve">3.拉浆、涂布和电解液生产等涉 VOCs 工序采用封闭负压收集措施； </w:t>
                  </w:r>
                </w:p>
                <w:p w14:paraId="268A921E">
                  <w:pPr>
                    <w:keepNext w:val="0"/>
                    <w:keepLines w:val="0"/>
                    <w:widowControl/>
                    <w:suppressLineNumbers w:val="0"/>
                    <w:spacing w:before="0" w:beforeAutospacing="0" w:after="0" w:afterAutospacing="0"/>
                    <w:ind w:left="0" w:right="0"/>
                    <w:jc w:val="both"/>
                    <w:rPr>
                      <w:rFonts w:hint="eastAsia"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 xml:space="preserve">4.厂区地面全部硬化或绿化，无成片裸露土地； </w:t>
                  </w:r>
                </w:p>
                <w:p w14:paraId="4EB63A7E">
                  <w:pPr>
                    <w:keepNext w:val="0"/>
                    <w:keepLines w:val="0"/>
                    <w:widowControl/>
                    <w:suppressLineNumbers w:val="0"/>
                    <w:spacing w:before="0" w:beforeAutospacing="0" w:after="0" w:afterAutospacing="0"/>
                    <w:ind w:left="0" w:leftChars="0" w:right="0" w:rightChars="0"/>
                    <w:jc w:val="both"/>
                    <w:rPr>
                      <w:rFonts w:hint="eastAsia" w:ascii="Times New Roman" w:hAnsi="宋体" w:eastAsia="宋体" w:cs="Times New Roman"/>
                      <w:color w:val="000000"/>
                      <w:kern w:val="2"/>
                      <w:sz w:val="21"/>
                      <w:szCs w:val="21"/>
                      <w:u w:val="none" w:color="auto"/>
                      <w:lang w:val="en-US" w:eastAsia="zh-CN" w:bidi="ar-SA"/>
                    </w:rPr>
                  </w:pPr>
                  <w:r>
                    <w:rPr>
                      <w:rFonts w:hint="eastAsia" w:ascii="Times New Roman" w:hAnsi="Times New Roman" w:cs="Times New Roman"/>
                      <w:color w:val="000000"/>
                      <w:sz w:val="21"/>
                      <w:szCs w:val="21"/>
                      <w:u w:val="none" w:color="auto"/>
                      <w:lang w:val="en-US" w:eastAsia="zh-CN"/>
                    </w:rPr>
                    <w:t>5.贮存易产生粉尘、VOCs、酸雾、有毒有害大气污染物和异味的危险废物贮存库，设有废气收集装置和处理设施，废气处理设施的排气筒高度不低于15m。</w:t>
                  </w:r>
                </w:p>
              </w:tc>
              <w:tc>
                <w:tcPr>
                  <w:tcW w:w="2488" w:type="dxa"/>
                  <w:tcBorders>
                    <w:tl2br w:val="nil"/>
                    <w:tr2bl w:val="nil"/>
                  </w:tcBorders>
                  <w:vAlign w:val="center"/>
                </w:tcPr>
                <w:p w14:paraId="0962E823">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1、本项目设置独立密闭配料间；</w:t>
                  </w:r>
                </w:p>
                <w:p w14:paraId="68635939">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2、本项目属于锂离子电池，不属于镍氢电池；</w:t>
                  </w:r>
                </w:p>
                <w:p w14:paraId="522928C1">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3、本项目涂布和注液工序采用密闭管道收集。</w:t>
                  </w:r>
                </w:p>
                <w:p w14:paraId="68C5B0F0">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4、厂区道路和车间道路全面硬化，车间地面、墙面、设备顶部无积尘，无成片裸露土地。</w:t>
                  </w:r>
                </w:p>
                <w:p w14:paraId="37B80D2A">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default" w:ascii="Times New Roman" w:hAnsi="Times New Roman" w:cs="Times New Roman"/>
                      <w:color w:val="FF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5、本项目危险废物不</w:t>
                  </w:r>
                  <w:r>
                    <w:rPr>
                      <w:rFonts w:hint="eastAsia" w:cs="Times New Roman"/>
                      <w:color w:val="000000"/>
                      <w:sz w:val="21"/>
                      <w:szCs w:val="21"/>
                      <w:u w:val="none" w:color="auto"/>
                      <w:lang w:val="en-US" w:eastAsia="zh-CN"/>
                    </w:rPr>
                    <w:t>易</w:t>
                  </w:r>
                  <w:r>
                    <w:rPr>
                      <w:rFonts w:hint="eastAsia" w:ascii="Times New Roman" w:hAnsi="Times New Roman" w:cs="Times New Roman"/>
                      <w:color w:val="000000"/>
                      <w:sz w:val="21"/>
                      <w:szCs w:val="21"/>
                      <w:u w:val="none" w:color="auto"/>
                      <w:lang w:val="en-US" w:eastAsia="zh-CN"/>
                    </w:rPr>
                    <w:t>产生</w:t>
                  </w:r>
                  <w:r>
                    <w:rPr>
                      <w:rFonts w:hint="default" w:ascii="Times New Roman" w:hAnsi="Times New Roman" w:eastAsia="宋体" w:cs="Times New Roman"/>
                      <w:b w:val="0"/>
                      <w:bCs w:val="0"/>
                      <w:color w:val="000000"/>
                      <w:kern w:val="0"/>
                      <w:sz w:val="21"/>
                      <w:szCs w:val="21"/>
                      <w:u w:val="none" w:color="auto"/>
                      <w:lang w:val="en-US" w:eastAsia="zh-CN" w:bidi="ar"/>
                    </w:rPr>
                    <w:t>粉尘、VOCs和异味</w:t>
                  </w:r>
                  <w:r>
                    <w:rPr>
                      <w:rFonts w:hint="eastAsia" w:ascii="Times New Roman" w:hAnsi="Times New Roman" w:cs="Times New Roman"/>
                      <w:b w:val="0"/>
                      <w:bCs w:val="0"/>
                      <w:color w:val="000000"/>
                      <w:kern w:val="0"/>
                      <w:sz w:val="21"/>
                      <w:szCs w:val="21"/>
                      <w:u w:val="none" w:color="auto"/>
                      <w:lang w:val="en-US" w:eastAsia="zh-CN" w:bidi="ar"/>
                    </w:rPr>
                    <w:t>；危险废物经密闭桶装后分区存放于危废暂存间内</w:t>
                  </w:r>
                  <w:r>
                    <w:rPr>
                      <w:rFonts w:hint="eastAsia" w:ascii="Times New Roman" w:hAnsi="Times New Roman" w:cs="Times New Roman"/>
                      <w:color w:val="000000"/>
                      <w:sz w:val="21"/>
                      <w:szCs w:val="21"/>
                      <w:u w:val="none" w:color="auto"/>
                      <w:lang w:val="en-US" w:eastAsia="zh-CN"/>
                    </w:rPr>
                    <w:t>。</w:t>
                  </w:r>
                </w:p>
              </w:tc>
              <w:tc>
                <w:tcPr>
                  <w:tcW w:w="955" w:type="dxa"/>
                  <w:tcBorders>
                    <w:tl2br w:val="nil"/>
                    <w:tr2bl w:val="nil"/>
                  </w:tcBorders>
                  <w:vAlign w:val="center"/>
                </w:tcPr>
                <w:p w14:paraId="5A0B29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olor w:val="000000"/>
                      <w:szCs w:val="21"/>
                      <w:u w:val="none" w:color="auto"/>
                      <w:lang w:val="en-US" w:eastAsia="zh-CN"/>
                    </w:rPr>
                  </w:pPr>
                  <w:r>
                    <w:rPr>
                      <w:rFonts w:hint="eastAsia"/>
                      <w:color w:val="000000"/>
                      <w:szCs w:val="21"/>
                      <w:u w:val="none" w:color="auto"/>
                      <w:lang w:val="en-US" w:eastAsia="zh-CN"/>
                    </w:rPr>
                    <w:t>符合</w:t>
                  </w:r>
                </w:p>
              </w:tc>
            </w:tr>
            <w:tr w14:paraId="230B09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90" w:type="dxa"/>
                  <w:gridSpan w:val="2"/>
                  <w:tcBorders>
                    <w:tl2br w:val="nil"/>
                    <w:tr2bl w:val="nil"/>
                  </w:tcBorders>
                  <w:vAlign w:val="center"/>
                </w:tcPr>
                <w:p w14:paraId="0CDF555B">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hAnsi="宋体" w:eastAsia="宋体"/>
                      <w:color w:val="000000"/>
                      <w:sz w:val="21"/>
                      <w:szCs w:val="21"/>
                      <w:u w:val="none" w:color="auto"/>
                      <w:vertAlign w:val="baseline"/>
                      <w:lang w:val="en-US" w:eastAsia="zh-CN"/>
                    </w:rPr>
                  </w:pPr>
                  <w:r>
                    <w:rPr>
                      <w:rFonts w:hint="eastAsia" w:ascii="Times New Roman" w:hAnsi="宋体" w:cs="Times New Roman"/>
                      <w:color w:val="000000"/>
                      <w:sz w:val="21"/>
                      <w:szCs w:val="21"/>
                      <w:u w:val="none" w:color="auto"/>
                      <w:lang w:val="en-US" w:eastAsia="zh-CN"/>
                    </w:rPr>
                    <w:t>排放限值</w:t>
                  </w:r>
                </w:p>
              </w:tc>
              <w:tc>
                <w:tcPr>
                  <w:tcW w:w="3046" w:type="dxa"/>
                  <w:tcBorders>
                    <w:tl2br w:val="nil"/>
                    <w:tr2bl w:val="nil"/>
                  </w:tcBorders>
                  <w:vAlign w:val="center"/>
                </w:tcPr>
                <w:p w14:paraId="2FE8A07B">
                  <w:pPr>
                    <w:pStyle w:val="99"/>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both"/>
                    <w:textAlignment w:val="auto"/>
                    <w:rPr>
                      <w:rFonts w:hint="default" w:hAnsi="宋体"/>
                      <w:color w:val="000000"/>
                      <w:sz w:val="21"/>
                      <w:szCs w:val="21"/>
                      <w:u w:val="none" w:color="auto"/>
                      <w:vertAlign w:val="baseline"/>
                    </w:rPr>
                  </w:pPr>
                  <w:r>
                    <w:rPr>
                      <w:rFonts w:hint="eastAsia" w:ascii="Times New Roman" w:hAnsi="Times New Roman" w:cs="Times New Roman"/>
                      <w:color w:val="000000"/>
                      <w:sz w:val="21"/>
                      <w:szCs w:val="21"/>
                      <w:u w:val="none" w:color="auto"/>
                      <w:lang w:val="en-US" w:eastAsia="zh-CN"/>
                    </w:rPr>
                    <w:t>全厂PM、NMHC有组织排放浓度分别不高于10、30mg/m</w:t>
                  </w:r>
                  <w:r>
                    <w:rPr>
                      <w:rFonts w:hint="eastAsia" w:ascii="Times New Roman" w:hAnsi="Times New Roman" w:cs="Times New Roman"/>
                      <w:color w:val="000000"/>
                      <w:sz w:val="21"/>
                      <w:szCs w:val="21"/>
                      <w:u w:val="none" w:color="auto"/>
                      <w:vertAlign w:val="superscript"/>
                      <w:lang w:val="en-US" w:eastAsia="zh-CN"/>
                    </w:rPr>
                    <w:t>3</w:t>
                  </w:r>
                  <w:r>
                    <w:rPr>
                      <w:rFonts w:hint="eastAsia" w:ascii="Times New Roman" w:hAnsi="Times New Roman" w:cs="Times New Roman"/>
                      <w:color w:val="000000"/>
                      <w:sz w:val="21"/>
                      <w:szCs w:val="21"/>
                      <w:u w:val="none" w:color="auto"/>
                      <w:lang w:val="en-US" w:eastAsia="zh-CN"/>
                    </w:rPr>
                    <w:t>。铅蓄电池铅及其化合物、硫酸雾排放浓度不高于0.3、5mg/m</w:t>
                  </w:r>
                  <w:r>
                    <w:rPr>
                      <w:rFonts w:hint="eastAsia" w:ascii="Times New Roman" w:hAnsi="Times New Roman" w:cs="Times New Roman"/>
                      <w:color w:val="000000"/>
                      <w:sz w:val="21"/>
                      <w:szCs w:val="21"/>
                      <w:u w:val="none" w:color="auto"/>
                      <w:vertAlign w:val="superscript"/>
                      <w:lang w:val="en-US" w:eastAsia="zh-CN"/>
                    </w:rPr>
                    <w:t>3</w:t>
                  </w:r>
                  <w:r>
                    <w:rPr>
                      <w:rFonts w:hint="eastAsia" w:ascii="Times New Roman" w:hAnsi="Times New Roman" w:cs="Times New Roman"/>
                      <w:color w:val="000000"/>
                      <w:sz w:val="21"/>
                      <w:szCs w:val="21"/>
                      <w:u w:val="none" w:color="auto"/>
                      <w:lang w:val="en-US" w:eastAsia="zh-CN"/>
                    </w:rPr>
                    <w:t>。</w:t>
                  </w:r>
                </w:p>
              </w:tc>
              <w:tc>
                <w:tcPr>
                  <w:tcW w:w="2488" w:type="dxa"/>
                  <w:tcBorders>
                    <w:tl2br w:val="nil"/>
                    <w:tr2bl w:val="nil"/>
                  </w:tcBorders>
                  <w:vAlign w:val="center"/>
                </w:tcPr>
                <w:p w14:paraId="185DC785">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default" w:hAnsi="宋体"/>
                      <w:color w:val="000000"/>
                      <w:sz w:val="21"/>
                      <w:szCs w:val="21"/>
                      <w:u w:val="none" w:color="auto"/>
                      <w:vertAlign w:val="baseline"/>
                    </w:rPr>
                  </w:pPr>
                  <w:r>
                    <w:rPr>
                      <w:rFonts w:hint="eastAsia" w:ascii="Times New Roman" w:hAnsi="宋体" w:cs="Times New Roman"/>
                      <w:color w:val="auto"/>
                      <w:sz w:val="21"/>
                      <w:szCs w:val="21"/>
                      <w:u w:val="none" w:color="auto"/>
                      <w:lang w:val="en-US" w:eastAsia="zh-CN"/>
                    </w:rPr>
                    <w:t>本项目PM有组织排放浓度10mg/m</w:t>
                  </w:r>
                  <w:r>
                    <w:rPr>
                      <w:rFonts w:hint="eastAsia" w:ascii="Times New Roman" w:hAnsi="宋体" w:cs="Times New Roman"/>
                      <w:color w:val="auto"/>
                      <w:sz w:val="21"/>
                      <w:szCs w:val="21"/>
                      <w:u w:val="none" w:color="auto"/>
                      <w:vertAlign w:val="superscript"/>
                      <w:lang w:val="en-US" w:eastAsia="zh-CN"/>
                    </w:rPr>
                    <w:t>3</w:t>
                  </w:r>
                  <w:r>
                    <w:rPr>
                      <w:rFonts w:hint="eastAsia" w:ascii="Times New Roman" w:hAnsi="宋体" w:cs="Times New Roman"/>
                      <w:color w:val="auto"/>
                      <w:sz w:val="21"/>
                      <w:szCs w:val="21"/>
                      <w:u w:val="none" w:color="auto"/>
                      <w:vertAlign w:val="baseline"/>
                      <w:lang w:val="en-US" w:eastAsia="zh-CN"/>
                    </w:rPr>
                    <w:t>、</w:t>
                  </w:r>
                  <w:r>
                    <w:rPr>
                      <w:rFonts w:hint="eastAsia" w:ascii="Times New Roman" w:hAnsi="宋体" w:cs="Times New Roman"/>
                      <w:color w:val="auto"/>
                      <w:sz w:val="21"/>
                      <w:szCs w:val="21"/>
                      <w:u w:val="none" w:color="auto"/>
                      <w:lang w:val="en-US" w:eastAsia="zh-CN"/>
                    </w:rPr>
                    <w:t>NMHC有组织排放浓度不高于30mg/m</w:t>
                  </w:r>
                  <w:r>
                    <w:rPr>
                      <w:rFonts w:hint="eastAsia" w:ascii="Times New Roman" w:hAnsi="宋体" w:cs="Times New Roman"/>
                      <w:color w:val="auto"/>
                      <w:sz w:val="21"/>
                      <w:szCs w:val="21"/>
                      <w:u w:val="none" w:color="auto"/>
                      <w:vertAlign w:val="superscript"/>
                      <w:lang w:val="en-US" w:eastAsia="zh-CN"/>
                    </w:rPr>
                    <w:t>3</w:t>
                  </w:r>
                  <w:r>
                    <w:rPr>
                      <w:rFonts w:hint="eastAsia" w:ascii="Times New Roman" w:hAnsi="宋体" w:cs="Times New Roman"/>
                      <w:color w:val="auto"/>
                      <w:sz w:val="21"/>
                      <w:szCs w:val="21"/>
                      <w:u w:val="none" w:color="auto"/>
                      <w:lang w:val="en-US" w:eastAsia="zh-CN"/>
                    </w:rPr>
                    <w:t>。</w:t>
                  </w:r>
                </w:p>
              </w:tc>
              <w:tc>
                <w:tcPr>
                  <w:tcW w:w="955" w:type="dxa"/>
                  <w:tcBorders>
                    <w:tl2br w:val="nil"/>
                    <w:tr2bl w:val="nil"/>
                  </w:tcBorders>
                  <w:vAlign w:val="center"/>
                </w:tcPr>
                <w:p w14:paraId="4F0A79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color w:val="000000"/>
                      <w:szCs w:val="21"/>
                      <w:u w:val="none" w:color="auto"/>
                      <w:lang w:val="en-US" w:eastAsia="zh-CN"/>
                    </w:rPr>
                    <w:t>符合</w:t>
                  </w:r>
                </w:p>
              </w:tc>
            </w:tr>
            <w:tr w14:paraId="506BF0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0" w:type="dxa"/>
                  <w:gridSpan w:val="2"/>
                  <w:tcBorders>
                    <w:tl2br w:val="nil"/>
                    <w:tr2bl w:val="nil"/>
                  </w:tcBorders>
                  <w:vAlign w:val="center"/>
                </w:tcPr>
                <w:p w14:paraId="096FE54C">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hAnsi="宋体" w:eastAsia="宋体"/>
                      <w:color w:val="000000"/>
                      <w:sz w:val="21"/>
                      <w:szCs w:val="21"/>
                      <w:u w:val="none" w:color="auto"/>
                      <w:vertAlign w:val="baseline"/>
                      <w:lang w:val="en-US" w:eastAsia="zh-CN"/>
                    </w:rPr>
                  </w:pPr>
                  <w:r>
                    <w:rPr>
                      <w:rFonts w:hint="eastAsia" w:ascii="Times New Roman" w:hAnsi="宋体" w:cs="Times New Roman"/>
                      <w:color w:val="000000"/>
                      <w:sz w:val="21"/>
                      <w:szCs w:val="21"/>
                      <w:u w:val="none" w:color="auto"/>
                      <w:lang w:val="en-US" w:eastAsia="zh-CN"/>
                    </w:rPr>
                    <w:t>监测监控水平</w:t>
                  </w:r>
                </w:p>
              </w:tc>
              <w:tc>
                <w:tcPr>
                  <w:tcW w:w="3046" w:type="dxa"/>
                  <w:tcBorders>
                    <w:tl2br w:val="nil"/>
                    <w:tr2bl w:val="nil"/>
                  </w:tcBorders>
                  <w:vAlign w:val="center"/>
                </w:tcPr>
                <w:p w14:paraId="55CBB049">
                  <w:pPr>
                    <w:pStyle w:val="99"/>
                    <w:keepNext w:val="0"/>
                    <w:keepLines w:val="0"/>
                    <w:suppressLineNumbers w:val="0"/>
                    <w:adjustRightInd w:val="0"/>
                    <w:snapToGrid w:val="0"/>
                    <w:spacing w:before="0" w:beforeAutospacing="0" w:after="0" w:afterAutospacing="0" w:line="240" w:lineRule="auto"/>
                    <w:ind w:left="0" w:right="0" w:firstLine="0"/>
                    <w:jc w:val="both"/>
                    <w:rPr>
                      <w:rFonts w:hint="eastAsia"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1.有组织排放口按排污许可、环境影响评价或环境现状评估等要求安装烟气排放自动监控设施（CEMS），并按要求与省厅联网；重点排污单位风量大于10000m</w:t>
                  </w:r>
                  <w:r>
                    <w:rPr>
                      <w:rFonts w:hint="eastAsia" w:ascii="Times New Roman" w:hAnsi="Times New Roman" w:cs="Times New Roman"/>
                      <w:color w:val="000000"/>
                      <w:sz w:val="21"/>
                      <w:szCs w:val="21"/>
                      <w:u w:val="none" w:color="auto"/>
                      <w:vertAlign w:val="superscript"/>
                      <w:lang w:val="en-US" w:eastAsia="zh-CN"/>
                    </w:rPr>
                    <w:t>3</w:t>
                  </w:r>
                  <w:r>
                    <w:rPr>
                      <w:rFonts w:hint="eastAsia" w:ascii="Times New Roman" w:hAnsi="Times New Roman" w:cs="Times New Roman"/>
                      <w:color w:val="000000"/>
                      <w:sz w:val="21"/>
                      <w:szCs w:val="21"/>
                      <w:u w:val="none" w:color="auto"/>
                      <w:lang w:val="en-US" w:eastAsia="zh-CN"/>
                    </w:rPr>
                    <w:t xml:space="preserve"> /h 的主要排放口安装 NMHC在线监测设施（FID 检测器）并按要求与省厅联网；其他企业 NMHC 初始排放速率大于2kg/h且排放口风量大于 20000m</w:t>
                  </w:r>
                  <w:r>
                    <w:rPr>
                      <w:rFonts w:hint="eastAsia" w:ascii="Times New Roman" w:hAnsi="Times New Roman" w:cs="Times New Roman"/>
                      <w:color w:val="000000"/>
                      <w:sz w:val="21"/>
                      <w:szCs w:val="21"/>
                      <w:u w:val="none" w:color="auto"/>
                      <w:vertAlign w:val="superscript"/>
                      <w:lang w:val="en-US" w:eastAsia="zh-CN"/>
                    </w:rPr>
                    <w:t>3</w:t>
                  </w:r>
                  <w:r>
                    <w:rPr>
                      <w:rFonts w:hint="eastAsia" w:ascii="Times New Roman" w:hAnsi="Times New Roman" w:cs="Times New Roman"/>
                      <w:color w:val="000000"/>
                      <w:sz w:val="21"/>
                      <w:szCs w:val="21"/>
                      <w:u w:val="none" w:color="auto"/>
                      <w:lang w:val="en-US" w:eastAsia="zh-CN"/>
                    </w:rPr>
                    <w:t xml:space="preserve"> /h 的废气排放口安装 NMHC 在线监测设施（FID 检测器），并按要求与省厅联网；在线监测数据至少保存最近 12 个月的 1 分钟均值、36 个月的 1 小时均值及 60 个月的日均值和月均值。（投产或安装时间不满一年以上的企业，以现有数据为准）； </w:t>
                  </w:r>
                </w:p>
                <w:p w14:paraId="55888C54">
                  <w:pPr>
                    <w:pStyle w:val="99"/>
                    <w:keepNext w:val="0"/>
                    <w:keepLines w:val="0"/>
                    <w:suppressLineNumbers w:val="0"/>
                    <w:adjustRightInd w:val="0"/>
                    <w:snapToGrid w:val="0"/>
                    <w:spacing w:before="0" w:beforeAutospacing="0" w:after="0" w:afterAutospacing="0" w:line="240" w:lineRule="auto"/>
                    <w:ind w:left="0" w:right="0" w:firstLine="0"/>
                    <w:jc w:val="both"/>
                    <w:rPr>
                      <w:rFonts w:hint="eastAsia"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 xml:space="preserve">2.按生态环境部门要求规范设置废气排放口标志牌、二维码标识和采样平台、采样孔；各废气排放口按照排污许可要求开展自行监测； </w:t>
                  </w:r>
                </w:p>
                <w:p w14:paraId="1A906EE5">
                  <w:pPr>
                    <w:pStyle w:val="99"/>
                    <w:keepNext w:val="0"/>
                    <w:keepLines w:val="0"/>
                    <w:suppressLineNumbers w:val="0"/>
                    <w:adjustRightInd w:val="0"/>
                    <w:snapToGrid w:val="0"/>
                    <w:spacing w:before="0" w:beforeAutospacing="0" w:after="0" w:afterAutospacing="0" w:line="240" w:lineRule="auto"/>
                    <w:ind w:left="0" w:right="0" w:firstLine="0"/>
                    <w:jc w:val="both"/>
                    <w:rPr>
                      <w:rFonts w:hint="default" w:hAnsi="宋体"/>
                      <w:color w:val="000000"/>
                      <w:sz w:val="21"/>
                      <w:szCs w:val="21"/>
                      <w:u w:val="none" w:color="auto"/>
                      <w:vertAlign w:val="baseline"/>
                    </w:rPr>
                  </w:pPr>
                  <w:r>
                    <w:rPr>
                      <w:rFonts w:hint="eastAsia" w:ascii="Times New Roman" w:hAnsi="Times New Roman" w:cs="Times New Roman"/>
                      <w:color w:val="000000"/>
                      <w:sz w:val="21"/>
                      <w:szCs w:val="21"/>
                      <w:u w:val="none" w:color="auto"/>
                      <w:lang w:val="en-US" w:eastAsia="zh-CN"/>
                    </w:rPr>
                    <w:t>3.厂内未安装在线监控的涉气生产设施主要投料口安装高清视频监控系统，视频监控数据保存6个月以上。</w:t>
                  </w:r>
                </w:p>
              </w:tc>
              <w:tc>
                <w:tcPr>
                  <w:tcW w:w="2488" w:type="dxa"/>
                  <w:tcBorders>
                    <w:tl2br w:val="nil"/>
                    <w:tr2bl w:val="nil"/>
                  </w:tcBorders>
                  <w:vAlign w:val="center"/>
                </w:tcPr>
                <w:p w14:paraId="1B62EE67">
                  <w:pPr>
                    <w:pStyle w:val="99"/>
                    <w:keepNext w:val="0"/>
                    <w:keepLines w:val="0"/>
                    <w:numPr>
                      <w:ilvl w:val="0"/>
                      <w:numId w:val="11"/>
                    </w:numPr>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宋体" w:cs="Times New Roman"/>
                      <w:color w:val="000000" w:themeColor="text1"/>
                      <w:sz w:val="21"/>
                      <w:szCs w:val="21"/>
                      <w:highlight w:val="none"/>
                      <w:u w:val="none" w:color="auto"/>
                      <w:lang w:val="en-US" w:eastAsia="zh-CN"/>
                      <w14:textFill>
                        <w14:solidFill>
                          <w14:schemeClr w14:val="tx1"/>
                        </w14:solidFill>
                      </w14:textFill>
                    </w:rPr>
                    <w:t>本项目不属于重点排污单位，全厂非甲烷总烃产生速率</w:t>
                  </w:r>
                  <w:r>
                    <w:rPr>
                      <w:rFonts w:hint="eastAsia" w:cs="Times New Roman"/>
                      <w:color w:val="000000" w:themeColor="text1"/>
                      <w:sz w:val="21"/>
                      <w:szCs w:val="21"/>
                      <w:u w:val="none" w:color="auto"/>
                      <w:lang w:val="en-US" w:eastAsia="zh-CN"/>
                      <w14:textFill>
                        <w14:solidFill>
                          <w14:schemeClr w14:val="tx1"/>
                        </w14:solidFill>
                      </w14:textFill>
                    </w:rPr>
                    <w:t>大于</w:t>
                  </w:r>
                  <w:r>
                    <w:rPr>
                      <w:rFonts w:hint="eastAsia" w:ascii="Times New Roman" w:hAnsi="Times New Roman" w:cs="Times New Roman"/>
                      <w:color w:val="000000" w:themeColor="text1"/>
                      <w:sz w:val="21"/>
                      <w:szCs w:val="21"/>
                      <w:u w:val="none" w:color="auto"/>
                      <w:lang w:val="en-US" w:eastAsia="zh-CN"/>
                      <w14:textFill>
                        <w14:solidFill>
                          <w14:schemeClr w14:val="tx1"/>
                        </w14:solidFill>
                      </w14:textFill>
                    </w:rPr>
                    <w:t>2kg/h，</w:t>
                  </w:r>
                  <w:r>
                    <w:rPr>
                      <w:rFonts w:hint="eastAsia" w:cs="Times New Roman"/>
                      <w:color w:val="000000" w:themeColor="text1"/>
                      <w:sz w:val="21"/>
                      <w:szCs w:val="21"/>
                      <w:u w:val="none" w:color="auto"/>
                      <w:lang w:val="en-US" w:eastAsia="zh-CN"/>
                      <w14:textFill>
                        <w14:solidFill>
                          <w14:schemeClr w14:val="tx1"/>
                        </w14:solidFill>
                      </w14:textFill>
                    </w:rPr>
                    <w:t>且</w:t>
                  </w:r>
                  <w:r>
                    <w:rPr>
                      <w:rFonts w:hint="eastAsia" w:ascii="Times New Roman" w:hAnsi="Times New Roman" w:cs="Times New Roman"/>
                      <w:color w:val="000000" w:themeColor="text1"/>
                      <w:sz w:val="21"/>
                      <w:szCs w:val="21"/>
                      <w:u w:val="none" w:color="auto"/>
                      <w:lang w:val="en-US" w:eastAsia="zh-CN"/>
                      <w14:textFill>
                        <w14:solidFill>
                          <w14:schemeClr w14:val="tx1"/>
                        </w14:solidFill>
                      </w14:textFill>
                    </w:rPr>
                    <w:t>排放口风量</w:t>
                  </w:r>
                  <w:r>
                    <w:rPr>
                      <w:rFonts w:hint="eastAsia" w:cs="Times New Roman"/>
                      <w:color w:val="000000" w:themeColor="text1"/>
                      <w:sz w:val="21"/>
                      <w:szCs w:val="21"/>
                      <w:u w:val="none" w:color="auto"/>
                      <w:lang w:val="en-US" w:eastAsia="zh-CN"/>
                      <w14:textFill>
                        <w14:solidFill>
                          <w14:schemeClr w14:val="tx1"/>
                        </w14:solidFill>
                      </w14:textFill>
                    </w:rPr>
                    <w:t>大</w:t>
                  </w:r>
                  <w:r>
                    <w:rPr>
                      <w:rFonts w:hint="eastAsia" w:ascii="Times New Roman" w:hAnsi="Times New Roman" w:cs="Times New Roman"/>
                      <w:color w:val="000000" w:themeColor="text1"/>
                      <w:sz w:val="21"/>
                      <w:szCs w:val="21"/>
                      <w:u w:val="none" w:color="auto"/>
                      <w:lang w:val="en-US" w:eastAsia="zh-CN"/>
                      <w14:textFill>
                        <w14:solidFill>
                          <w14:schemeClr w14:val="tx1"/>
                        </w14:solidFill>
                      </w14:textFill>
                    </w:rPr>
                    <w:t>于20000m</w:t>
                  </w:r>
                  <w:r>
                    <w:rPr>
                      <w:rFonts w:hint="eastAsia" w:ascii="Times New Roman" w:hAnsi="Times New Roman" w:cs="Times New Roman"/>
                      <w:color w:val="000000" w:themeColor="text1"/>
                      <w:sz w:val="21"/>
                      <w:szCs w:val="21"/>
                      <w:u w:val="none" w:color="auto"/>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u w:val="none" w:color="auto"/>
                      <w:lang w:val="en-US" w:eastAsia="zh-CN"/>
                      <w14:textFill>
                        <w14:solidFill>
                          <w14:schemeClr w14:val="tx1"/>
                        </w14:solidFill>
                      </w14:textFill>
                    </w:rPr>
                    <w:t>/h，故本项目需要安装NMHC 在线监测设施（FID 检测器）</w:t>
                  </w:r>
                  <w:r>
                    <w:rPr>
                      <w:rFonts w:hint="eastAsia" w:ascii="Times New Roman" w:hAnsi="宋体" w:cs="Times New Roman"/>
                      <w:color w:val="000000" w:themeColor="text1"/>
                      <w:sz w:val="21"/>
                      <w:szCs w:val="21"/>
                      <w:highlight w:val="none"/>
                      <w:u w:val="none" w:color="auto"/>
                      <w:lang w:val="en-US" w:eastAsia="zh-CN"/>
                      <w14:textFill>
                        <w14:solidFill>
                          <w14:schemeClr w14:val="tx1"/>
                        </w14:solidFill>
                      </w14:textFill>
                    </w:rPr>
                    <w:t>；</w:t>
                  </w:r>
                  <w:r>
                    <w:rPr>
                      <w:rFonts w:hint="eastAsia" w:ascii="Times New Roman" w:hAnsi="Times New Roman" w:cs="Times New Roman"/>
                      <w:color w:val="000000"/>
                      <w:sz w:val="21"/>
                      <w:szCs w:val="21"/>
                      <w:u w:val="none" w:color="auto"/>
                      <w:lang w:val="en-US" w:eastAsia="zh-CN"/>
                    </w:rPr>
                    <w:t>并按要求与省厅联网；在线监测数据至少保存最近 12 个月的 1 分钟均值、36 个月的 1 小时均值及 60 个月的日均值和月均值</w:t>
                  </w:r>
                  <w:r>
                    <w:rPr>
                      <w:rFonts w:hint="eastAsia" w:cs="Times New Roman"/>
                      <w:color w:val="000000"/>
                      <w:sz w:val="21"/>
                      <w:szCs w:val="21"/>
                      <w:u w:val="none" w:color="auto"/>
                      <w:lang w:val="en-US" w:eastAsia="zh-CN"/>
                    </w:rPr>
                    <w:t>。</w:t>
                  </w:r>
                </w:p>
                <w:p w14:paraId="223F7415">
                  <w:pPr>
                    <w:pStyle w:val="99"/>
                    <w:keepNext w:val="0"/>
                    <w:keepLines w:val="0"/>
                    <w:numPr>
                      <w:ilvl w:val="0"/>
                      <w:numId w:val="11"/>
                    </w:numPr>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宋体"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按生态环境部门要求规范设置废气排放口标志牌、二维码标识和采样平台、采样孔；各废气排放口按照排污许可要求开展自行监测</w:t>
                  </w:r>
                  <w:r>
                    <w:rPr>
                      <w:rFonts w:hint="eastAsia" w:ascii="Times New Roman" w:hAnsi="宋体" w:cs="Times New Roman"/>
                      <w:color w:val="000000"/>
                      <w:sz w:val="21"/>
                      <w:szCs w:val="21"/>
                      <w:u w:val="none" w:color="auto"/>
                      <w:lang w:val="en-US" w:eastAsia="zh-CN"/>
                    </w:rPr>
                    <w:t>；</w:t>
                  </w:r>
                </w:p>
                <w:p w14:paraId="30554921">
                  <w:pPr>
                    <w:pStyle w:val="99"/>
                    <w:keepNext w:val="0"/>
                    <w:keepLines w:val="0"/>
                    <w:numPr>
                      <w:ilvl w:val="0"/>
                      <w:numId w:val="11"/>
                    </w:numPr>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本项目将按照要求在涉气</w:t>
                  </w:r>
                  <w:r>
                    <w:rPr>
                      <w:rFonts w:hint="eastAsia" w:ascii="Times New Roman" w:hAnsi="Times New Roman" w:cs="Times New Roman"/>
                      <w:color w:val="000000"/>
                      <w:sz w:val="21"/>
                      <w:szCs w:val="21"/>
                      <w:u w:val="none" w:color="auto"/>
                      <w:lang w:val="en-US" w:eastAsia="zh-CN"/>
                    </w:rPr>
                    <w:t>生产设施主要投料口安装高清视频监控系统，视频监控数据保存6个月以上。</w:t>
                  </w:r>
                </w:p>
              </w:tc>
              <w:tc>
                <w:tcPr>
                  <w:tcW w:w="955" w:type="dxa"/>
                  <w:tcBorders>
                    <w:tl2br w:val="nil"/>
                    <w:tr2bl w:val="nil"/>
                  </w:tcBorders>
                  <w:vAlign w:val="center"/>
                </w:tcPr>
                <w:p w14:paraId="78D535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color w:val="000000"/>
                      <w:szCs w:val="21"/>
                      <w:u w:val="none" w:color="auto"/>
                      <w:lang w:val="en-US" w:eastAsia="zh-CN"/>
                    </w:rPr>
                    <w:t>符合</w:t>
                  </w:r>
                </w:p>
              </w:tc>
            </w:tr>
            <w:tr w14:paraId="591E61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35" w:type="dxa"/>
                  <w:vMerge w:val="restart"/>
                  <w:tcBorders>
                    <w:tl2br w:val="nil"/>
                    <w:tr2bl w:val="nil"/>
                  </w:tcBorders>
                  <w:vAlign w:val="center"/>
                </w:tcPr>
                <w:p w14:paraId="647C7F62">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hAnsi="宋体" w:eastAsia="宋体"/>
                      <w:color w:val="000000"/>
                      <w:sz w:val="21"/>
                      <w:szCs w:val="21"/>
                      <w:u w:val="none" w:color="auto"/>
                      <w:vertAlign w:val="baseline"/>
                      <w:lang w:val="en-US" w:eastAsia="zh-CN"/>
                    </w:rPr>
                  </w:pPr>
                  <w:r>
                    <w:rPr>
                      <w:rFonts w:hint="eastAsia" w:ascii="Times New Roman" w:hAnsi="宋体" w:cs="Times New Roman"/>
                      <w:color w:val="000000"/>
                      <w:sz w:val="21"/>
                      <w:szCs w:val="21"/>
                      <w:u w:val="none" w:color="auto"/>
                      <w:lang w:val="en-US" w:eastAsia="zh-CN"/>
                    </w:rPr>
                    <w:t>环境管理水平</w:t>
                  </w:r>
                </w:p>
              </w:tc>
              <w:tc>
                <w:tcPr>
                  <w:tcW w:w="455" w:type="dxa"/>
                  <w:tcBorders>
                    <w:tl2br w:val="nil"/>
                    <w:tr2bl w:val="nil"/>
                  </w:tcBorders>
                  <w:vAlign w:val="center"/>
                </w:tcPr>
                <w:p w14:paraId="272F528D">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hAnsi="宋体" w:eastAsia="宋体"/>
                      <w:color w:val="000000"/>
                      <w:sz w:val="21"/>
                      <w:szCs w:val="21"/>
                      <w:u w:val="none" w:color="auto"/>
                      <w:vertAlign w:val="baseline"/>
                      <w:lang w:val="en-US" w:eastAsia="zh-CN"/>
                    </w:rPr>
                  </w:pPr>
                  <w:r>
                    <w:rPr>
                      <w:rFonts w:hint="eastAsia" w:ascii="Times New Roman" w:hAnsi="宋体" w:cs="Times New Roman"/>
                      <w:color w:val="000000"/>
                      <w:sz w:val="21"/>
                      <w:szCs w:val="21"/>
                      <w:u w:val="none" w:color="auto"/>
                      <w:lang w:val="en-US" w:eastAsia="zh-CN"/>
                    </w:rPr>
                    <w:t>环保档案</w:t>
                  </w:r>
                </w:p>
              </w:tc>
              <w:tc>
                <w:tcPr>
                  <w:tcW w:w="3046" w:type="dxa"/>
                  <w:tcBorders>
                    <w:tl2br w:val="nil"/>
                    <w:tr2bl w:val="nil"/>
                  </w:tcBorders>
                  <w:vAlign w:val="center"/>
                </w:tcPr>
                <w:p w14:paraId="5A3B7F98">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21"/>
                      <w:szCs w:val="21"/>
                      <w:u w:val="none" w:color="auto"/>
                      <w:lang w:val="en-US" w:eastAsia="zh-CN" w:bidi="ar"/>
                    </w:rPr>
                  </w:pPr>
                  <w:r>
                    <w:rPr>
                      <w:rFonts w:hint="default" w:ascii="Times New Roman" w:hAnsi="Times New Roman" w:eastAsia="宋体" w:cs="Times New Roman"/>
                      <w:color w:val="000000"/>
                      <w:kern w:val="0"/>
                      <w:sz w:val="21"/>
                      <w:szCs w:val="21"/>
                      <w:u w:val="none" w:color="auto"/>
                      <w:lang w:val="en-US" w:eastAsia="zh-CN" w:bidi="ar"/>
                    </w:rPr>
                    <w:t xml:space="preserve">1.环评批复文件和竣工环保验收文件或环境现状评估备案证明； </w:t>
                  </w:r>
                </w:p>
                <w:p w14:paraId="7ED6AEF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21"/>
                      <w:szCs w:val="21"/>
                      <w:u w:val="none" w:color="auto"/>
                      <w:lang w:val="en-US" w:eastAsia="zh-CN" w:bidi="ar"/>
                    </w:rPr>
                  </w:pPr>
                  <w:r>
                    <w:rPr>
                      <w:rFonts w:hint="default" w:ascii="Times New Roman" w:hAnsi="Times New Roman" w:eastAsia="宋体" w:cs="Times New Roman"/>
                      <w:color w:val="000000"/>
                      <w:kern w:val="0"/>
                      <w:sz w:val="21"/>
                      <w:szCs w:val="21"/>
                      <w:u w:val="none" w:color="auto"/>
                      <w:lang w:val="en-US" w:eastAsia="zh-CN" w:bidi="ar"/>
                    </w:rPr>
                    <w:t xml:space="preserve">2.国家版排污许可证； </w:t>
                  </w:r>
                </w:p>
                <w:p w14:paraId="6BAE9D7A">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21"/>
                      <w:szCs w:val="21"/>
                      <w:u w:val="none" w:color="auto"/>
                      <w:lang w:val="en-US" w:eastAsia="zh-CN" w:bidi="ar"/>
                    </w:rPr>
                  </w:pPr>
                  <w:r>
                    <w:rPr>
                      <w:rFonts w:hint="default" w:ascii="Times New Roman" w:hAnsi="Times New Roman" w:eastAsia="宋体" w:cs="Times New Roman"/>
                      <w:color w:val="000000"/>
                      <w:kern w:val="0"/>
                      <w:sz w:val="21"/>
                      <w:szCs w:val="21"/>
                      <w:u w:val="none" w:color="auto"/>
                      <w:lang w:val="en-US" w:eastAsia="zh-CN" w:bidi="ar"/>
                    </w:rPr>
                    <w:t xml:space="preserve">3.环境管理制度（有组织、无组织排放长效管理机制，主要包括日常操作规程、岗位责任制度、污染物排放公示制度和定期巡查维护制度等）； </w:t>
                  </w:r>
                </w:p>
                <w:p w14:paraId="7C70C8E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21"/>
                      <w:szCs w:val="21"/>
                      <w:u w:val="none" w:color="auto"/>
                      <w:lang w:val="en-US" w:eastAsia="zh-CN" w:bidi="ar"/>
                    </w:rPr>
                  </w:pPr>
                  <w:r>
                    <w:rPr>
                      <w:rFonts w:hint="default" w:ascii="Times New Roman" w:hAnsi="Times New Roman" w:eastAsia="宋体" w:cs="Times New Roman"/>
                      <w:color w:val="000000"/>
                      <w:kern w:val="0"/>
                      <w:sz w:val="21"/>
                      <w:szCs w:val="21"/>
                      <w:u w:val="none" w:color="auto"/>
                      <w:lang w:val="en-US" w:eastAsia="zh-CN" w:bidi="ar"/>
                    </w:rPr>
                    <w:t xml:space="preserve">4.废气污染治理设施稳定运行管理规程； </w:t>
                  </w:r>
                </w:p>
                <w:p w14:paraId="3669A602">
                  <w:pPr>
                    <w:keepNext w:val="0"/>
                    <w:keepLines w:val="0"/>
                    <w:widowControl/>
                    <w:suppressLineNumbers w:val="0"/>
                    <w:spacing w:before="0" w:beforeAutospacing="0" w:after="0" w:afterAutospacing="0"/>
                    <w:ind w:left="0" w:right="0"/>
                    <w:jc w:val="both"/>
                    <w:rPr>
                      <w:rFonts w:hint="default" w:hAnsi="宋体"/>
                      <w:color w:val="000000"/>
                      <w:sz w:val="21"/>
                      <w:szCs w:val="21"/>
                      <w:u w:val="none" w:color="auto"/>
                      <w:vertAlign w:val="baseline"/>
                    </w:rPr>
                  </w:pPr>
                  <w:r>
                    <w:rPr>
                      <w:rFonts w:hint="default" w:ascii="Times New Roman" w:hAnsi="Times New Roman" w:eastAsia="宋体" w:cs="Times New Roman"/>
                      <w:color w:val="000000"/>
                      <w:kern w:val="0"/>
                      <w:sz w:val="21"/>
                      <w:szCs w:val="21"/>
                      <w:u w:val="none" w:color="auto"/>
                      <w:lang w:val="en-US" w:eastAsia="zh-CN" w:bidi="ar"/>
                    </w:rPr>
                    <w:t>5.一年内废气监测报告（符合排污许可证监测项目及频次要求）。</w:t>
                  </w:r>
                </w:p>
              </w:tc>
              <w:tc>
                <w:tcPr>
                  <w:tcW w:w="2488" w:type="dxa"/>
                  <w:tcBorders>
                    <w:tl2br w:val="nil"/>
                    <w:tr2bl w:val="nil"/>
                  </w:tcBorders>
                  <w:vAlign w:val="center"/>
                </w:tcPr>
                <w:p w14:paraId="26857448">
                  <w:pPr>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default" w:hAnsi="宋体"/>
                      <w:color w:val="000000"/>
                      <w:sz w:val="21"/>
                      <w:szCs w:val="21"/>
                      <w:u w:val="none" w:color="auto"/>
                      <w:vertAlign w:val="baseline"/>
                    </w:rPr>
                  </w:pPr>
                  <w:r>
                    <w:rPr>
                      <w:rFonts w:hint="eastAsia" w:ascii="Times New Roman" w:hAnsi="宋体" w:cs="Times New Roman"/>
                      <w:color w:val="000000"/>
                      <w:sz w:val="21"/>
                      <w:szCs w:val="21"/>
                      <w:u w:val="none" w:color="auto"/>
                      <w:lang w:val="en-US" w:eastAsia="zh-CN"/>
                    </w:rPr>
                    <w:t>本项目按照环保要求履行环保手续，按时申报排污许可证，定期进行年度监测，排污口设置排污口标识。</w:t>
                  </w:r>
                </w:p>
              </w:tc>
              <w:tc>
                <w:tcPr>
                  <w:tcW w:w="955" w:type="dxa"/>
                  <w:tcBorders>
                    <w:tl2br w:val="nil"/>
                    <w:tr2bl w:val="nil"/>
                  </w:tcBorders>
                  <w:vAlign w:val="center"/>
                </w:tcPr>
                <w:p w14:paraId="7B169C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sz w:val="21"/>
                      <w:szCs w:val="21"/>
                      <w:u w:val="none" w:color="auto"/>
                      <w:lang w:val="en-US" w:eastAsia="zh-CN"/>
                    </w:rPr>
                  </w:pPr>
                  <w:r>
                    <w:rPr>
                      <w:rFonts w:hint="eastAsia"/>
                      <w:sz w:val="21"/>
                      <w:szCs w:val="21"/>
                      <w:u w:val="none" w:color="auto"/>
                      <w:lang w:val="en-US" w:eastAsia="zh-CN"/>
                    </w:rPr>
                    <w:t>符合</w:t>
                  </w:r>
                </w:p>
              </w:tc>
            </w:tr>
            <w:tr w14:paraId="76E191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435" w:type="dxa"/>
                  <w:vMerge w:val="continue"/>
                  <w:tcBorders>
                    <w:tl2br w:val="nil"/>
                    <w:tr2bl w:val="nil"/>
                  </w:tcBorders>
                  <w:vAlign w:val="center"/>
                </w:tcPr>
                <w:p w14:paraId="28FA7259">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hAnsi="宋体" w:eastAsia="宋体"/>
                      <w:color w:val="000000"/>
                      <w:sz w:val="21"/>
                      <w:szCs w:val="21"/>
                      <w:u w:val="none" w:color="auto"/>
                      <w:vertAlign w:val="baseline"/>
                      <w:lang w:val="en-US" w:eastAsia="zh-CN"/>
                    </w:rPr>
                  </w:pPr>
                </w:p>
              </w:tc>
              <w:tc>
                <w:tcPr>
                  <w:tcW w:w="455" w:type="dxa"/>
                  <w:tcBorders>
                    <w:tl2br w:val="nil"/>
                    <w:tr2bl w:val="nil"/>
                  </w:tcBorders>
                  <w:vAlign w:val="center"/>
                </w:tcPr>
                <w:p w14:paraId="225D7A19">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hAnsi="宋体" w:eastAsia="宋体"/>
                      <w:color w:val="000000"/>
                      <w:sz w:val="21"/>
                      <w:szCs w:val="21"/>
                      <w:u w:val="none" w:color="auto"/>
                      <w:vertAlign w:val="baseline"/>
                      <w:lang w:val="en-US" w:eastAsia="zh-CN"/>
                    </w:rPr>
                  </w:pPr>
                  <w:r>
                    <w:rPr>
                      <w:rFonts w:hint="eastAsia" w:ascii="Times New Roman" w:hAnsi="宋体" w:cs="Times New Roman"/>
                      <w:color w:val="000000"/>
                      <w:sz w:val="21"/>
                      <w:szCs w:val="21"/>
                      <w:u w:val="none" w:color="auto"/>
                      <w:lang w:val="en-US" w:eastAsia="zh-CN"/>
                    </w:rPr>
                    <w:t>台账记录</w:t>
                  </w:r>
                </w:p>
              </w:tc>
              <w:tc>
                <w:tcPr>
                  <w:tcW w:w="3046" w:type="dxa"/>
                  <w:tcBorders>
                    <w:tl2br w:val="nil"/>
                    <w:tr2bl w:val="nil"/>
                  </w:tcBorders>
                  <w:vAlign w:val="center"/>
                </w:tcPr>
                <w:p w14:paraId="7A1732A4">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21"/>
                      <w:szCs w:val="21"/>
                      <w:u w:val="none" w:color="auto"/>
                      <w:lang w:val="en-US" w:eastAsia="zh-CN" w:bidi="ar"/>
                    </w:rPr>
                  </w:pPr>
                  <w:r>
                    <w:rPr>
                      <w:rFonts w:hint="default" w:ascii="Times New Roman" w:hAnsi="Times New Roman" w:eastAsia="宋体" w:cs="Times New Roman"/>
                      <w:color w:val="000000"/>
                      <w:kern w:val="0"/>
                      <w:sz w:val="21"/>
                      <w:szCs w:val="21"/>
                      <w:u w:val="none" w:color="auto"/>
                      <w:lang w:val="en-US" w:eastAsia="zh-CN" w:bidi="ar"/>
                    </w:rPr>
                    <w:t xml:space="preserve">1.生产设施运行管理信息（生产时间、运行负荷、产品产量等）； </w:t>
                  </w:r>
                </w:p>
                <w:p w14:paraId="160B889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21"/>
                      <w:szCs w:val="21"/>
                      <w:u w:val="none" w:color="auto"/>
                      <w:lang w:val="en-US" w:eastAsia="zh-CN" w:bidi="ar"/>
                    </w:rPr>
                  </w:pPr>
                  <w:r>
                    <w:rPr>
                      <w:rFonts w:hint="default" w:ascii="Times New Roman" w:hAnsi="Times New Roman" w:eastAsia="宋体" w:cs="Times New Roman"/>
                      <w:color w:val="000000"/>
                      <w:kern w:val="0"/>
                      <w:sz w:val="21"/>
                      <w:szCs w:val="21"/>
                      <w:u w:val="none" w:color="auto"/>
                      <w:lang w:val="en-US" w:eastAsia="zh-CN" w:bidi="ar"/>
                    </w:rPr>
                    <w:t xml:space="preserve">2.废气污染治理设施运行、维护、管理信息（包括但不限于废气收集系统和污染治理设施的名称规格、设计参数、运行参数、巡检记录、污染治理易耗品与药剂用量（吸附剂、催化剂、脱硫剂、脱硝剂、过滤耗材等）、操作记录以及维护记录、运行要求等）； </w:t>
                  </w:r>
                </w:p>
                <w:p w14:paraId="18438738">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21"/>
                      <w:szCs w:val="21"/>
                      <w:u w:val="none" w:color="auto"/>
                      <w:lang w:val="en-US" w:eastAsia="zh-CN" w:bidi="ar"/>
                    </w:rPr>
                  </w:pPr>
                  <w:r>
                    <w:rPr>
                      <w:rFonts w:hint="default" w:ascii="Times New Roman" w:hAnsi="Times New Roman" w:eastAsia="宋体" w:cs="Times New Roman"/>
                      <w:color w:val="000000"/>
                      <w:kern w:val="0"/>
                      <w:sz w:val="21"/>
                      <w:szCs w:val="21"/>
                      <w:u w:val="none" w:color="auto"/>
                      <w:lang w:val="en-US" w:eastAsia="zh-CN" w:bidi="ar"/>
                    </w:rPr>
                    <w:t xml:space="preserve">3.监测记录信息（主要污染排放口废气排放记录等）； </w:t>
                  </w:r>
                </w:p>
                <w:p w14:paraId="7B3F0EB7">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21"/>
                      <w:szCs w:val="21"/>
                      <w:u w:val="none" w:color="auto"/>
                      <w:lang w:val="en-US" w:eastAsia="zh-CN" w:bidi="ar"/>
                    </w:rPr>
                  </w:pPr>
                  <w:r>
                    <w:rPr>
                      <w:rFonts w:hint="default" w:ascii="Times New Roman" w:hAnsi="Times New Roman" w:eastAsia="宋体" w:cs="Times New Roman"/>
                      <w:color w:val="000000"/>
                      <w:kern w:val="0"/>
                      <w:sz w:val="21"/>
                      <w:szCs w:val="21"/>
                      <w:u w:val="none" w:color="auto"/>
                      <w:lang w:val="en-US" w:eastAsia="zh-CN" w:bidi="ar"/>
                    </w:rPr>
                    <w:t xml:space="preserve">4.主要原辅材料消耗记录； </w:t>
                  </w:r>
                </w:p>
                <w:p w14:paraId="303DEDFC">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21"/>
                      <w:szCs w:val="21"/>
                      <w:u w:val="none" w:color="auto"/>
                      <w:lang w:val="en-US" w:eastAsia="zh-CN" w:bidi="ar"/>
                    </w:rPr>
                  </w:pPr>
                  <w:r>
                    <w:rPr>
                      <w:rFonts w:hint="default" w:ascii="Times New Roman" w:hAnsi="Times New Roman" w:eastAsia="宋体" w:cs="Times New Roman"/>
                      <w:color w:val="000000"/>
                      <w:kern w:val="0"/>
                      <w:sz w:val="21"/>
                      <w:szCs w:val="21"/>
                      <w:u w:val="none" w:color="auto"/>
                      <w:lang w:val="en-US" w:eastAsia="zh-CN" w:bidi="ar"/>
                    </w:rPr>
                    <w:t xml:space="preserve">5.燃料消耗记录； </w:t>
                  </w:r>
                </w:p>
                <w:p w14:paraId="57489D97">
                  <w:pPr>
                    <w:keepNext w:val="0"/>
                    <w:keepLines w:val="0"/>
                    <w:widowControl/>
                    <w:suppressLineNumbers w:val="0"/>
                    <w:spacing w:before="0" w:beforeAutospacing="0" w:after="0" w:afterAutospacing="0"/>
                    <w:ind w:left="0" w:right="0"/>
                    <w:jc w:val="left"/>
                    <w:rPr>
                      <w:rFonts w:hint="default" w:hAnsi="宋体"/>
                      <w:color w:val="000000"/>
                      <w:sz w:val="21"/>
                      <w:szCs w:val="21"/>
                      <w:u w:val="none" w:color="auto"/>
                      <w:vertAlign w:val="baseline"/>
                    </w:rPr>
                  </w:pPr>
                  <w:r>
                    <w:rPr>
                      <w:rFonts w:hint="default" w:ascii="Times New Roman" w:hAnsi="Times New Roman" w:eastAsia="宋体" w:cs="Times New Roman"/>
                      <w:color w:val="000000"/>
                      <w:kern w:val="0"/>
                      <w:sz w:val="21"/>
                      <w:szCs w:val="21"/>
                      <w:u w:val="none" w:color="auto"/>
                      <w:lang w:val="en-US" w:eastAsia="zh-CN" w:bidi="ar"/>
                    </w:rPr>
                    <w:t>6.固废、危废暂存、处理记录。</w:t>
                  </w:r>
                </w:p>
              </w:tc>
              <w:tc>
                <w:tcPr>
                  <w:tcW w:w="2488" w:type="dxa"/>
                  <w:tcBorders>
                    <w:tl2br w:val="nil"/>
                    <w:tr2bl w:val="nil"/>
                  </w:tcBorders>
                  <w:vAlign w:val="center"/>
                </w:tcPr>
                <w:p w14:paraId="16830E67">
                  <w:pPr>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1、本环评要求企业设置生产设施运行管理信息；</w:t>
                  </w:r>
                </w:p>
                <w:p w14:paraId="4647B792">
                  <w:pPr>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2、本环评要求企业按照要求设置废气污染治理台账；</w:t>
                  </w:r>
                </w:p>
                <w:p w14:paraId="76D65E59">
                  <w:pPr>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3、本环评要求企业按要求进行年度自行监测；</w:t>
                  </w:r>
                </w:p>
                <w:p w14:paraId="513E2D60">
                  <w:pPr>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4、本环评要求企业做好主要原辅料台账记录；</w:t>
                  </w:r>
                </w:p>
                <w:p w14:paraId="3C532600">
                  <w:pPr>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eastAsia" w:ascii="Times New Roman" w:hAnsi="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5、本项目不使用燃料；</w:t>
                  </w:r>
                </w:p>
                <w:p w14:paraId="0F7B0E99">
                  <w:pPr>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default" w:hAnsi="宋体"/>
                      <w:color w:val="000000"/>
                      <w:sz w:val="21"/>
                      <w:szCs w:val="21"/>
                      <w:u w:val="none" w:color="auto"/>
                      <w:vertAlign w:val="baseline"/>
                    </w:rPr>
                  </w:pPr>
                  <w:r>
                    <w:rPr>
                      <w:rFonts w:hint="eastAsia" w:ascii="Times New Roman" w:hAnsi="宋体" w:cs="Times New Roman"/>
                      <w:color w:val="000000"/>
                      <w:sz w:val="21"/>
                      <w:szCs w:val="21"/>
                      <w:u w:val="none" w:color="auto"/>
                      <w:lang w:val="en-US" w:eastAsia="zh-CN"/>
                    </w:rPr>
                    <w:t>6、本项目设置固废及危废台账记录。</w:t>
                  </w:r>
                </w:p>
              </w:tc>
              <w:tc>
                <w:tcPr>
                  <w:tcW w:w="955" w:type="dxa"/>
                  <w:tcBorders>
                    <w:tl2br w:val="nil"/>
                    <w:tr2bl w:val="nil"/>
                  </w:tcBorders>
                  <w:vAlign w:val="center"/>
                </w:tcPr>
                <w:p w14:paraId="443EB0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sz w:val="21"/>
                      <w:szCs w:val="21"/>
                      <w:u w:val="none" w:color="auto"/>
                      <w:lang w:val="en-US" w:eastAsia="zh-CN"/>
                    </w:rPr>
                    <w:t>符合</w:t>
                  </w:r>
                </w:p>
              </w:tc>
            </w:tr>
            <w:tr w14:paraId="1296FA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435" w:type="dxa"/>
                  <w:vMerge w:val="continue"/>
                  <w:tcBorders>
                    <w:tl2br w:val="nil"/>
                    <w:tr2bl w:val="nil"/>
                  </w:tcBorders>
                  <w:vAlign w:val="center"/>
                </w:tcPr>
                <w:p w14:paraId="788AE2F4">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hAnsi="宋体" w:eastAsia="宋体"/>
                      <w:color w:val="000000"/>
                      <w:sz w:val="21"/>
                      <w:szCs w:val="21"/>
                      <w:u w:val="none" w:color="auto"/>
                      <w:vertAlign w:val="baseline"/>
                      <w:lang w:val="en-US" w:eastAsia="zh-CN"/>
                    </w:rPr>
                  </w:pPr>
                </w:p>
              </w:tc>
              <w:tc>
                <w:tcPr>
                  <w:tcW w:w="455" w:type="dxa"/>
                  <w:tcBorders>
                    <w:tl2br w:val="nil"/>
                    <w:tr2bl w:val="nil"/>
                  </w:tcBorders>
                  <w:vAlign w:val="center"/>
                </w:tcPr>
                <w:p w14:paraId="1050D6CE">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hAnsi="宋体" w:eastAsia="宋体"/>
                      <w:color w:val="000000"/>
                      <w:sz w:val="21"/>
                      <w:szCs w:val="21"/>
                      <w:u w:val="none" w:color="auto"/>
                      <w:vertAlign w:val="baseline"/>
                      <w:lang w:val="en-US" w:eastAsia="zh-CN"/>
                    </w:rPr>
                  </w:pPr>
                  <w:r>
                    <w:rPr>
                      <w:rFonts w:hint="eastAsia" w:ascii="Times New Roman" w:hAnsi="宋体" w:cs="Times New Roman"/>
                      <w:color w:val="000000"/>
                      <w:sz w:val="21"/>
                      <w:szCs w:val="21"/>
                      <w:u w:val="none" w:color="auto"/>
                      <w:lang w:val="en-US" w:eastAsia="zh-CN"/>
                    </w:rPr>
                    <w:t>人员配置</w:t>
                  </w:r>
                </w:p>
              </w:tc>
              <w:tc>
                <w:tcPr>
                  <w:tcW w:w="3046" w:type="dxa"/>
                  <w:tcBorders>
                    <w:tl2br w:val="nil"/>
                    <w:tr2bl w:val="nil"/>
                  </w:tcBorders>
                  <w:vAlign w:val="center"/>
                </w:tcPr>
                <w:p w14:paraId="7CF64805">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default" w:hAnsi="宋体"/>
                      <w:color w:val="000000"/>
                      <w:sz w:val="21"/>
                      <w:szCs w:val="21"/>
                      <w:u w:val="none" w:color="auto"/>
                      <w:vertAlign w:val="baseline"/>
                    </w:rPr>
                  </w:pPr>
                  <w:r>
                    <w:rPr>
                      <w:rFonts w:hint="eastAsia" w:ascii="Times New Roman" w:hAnsi="宋体" w:cs="Times New Roman"/>
                      <w:color w:val="000000"/>
                      <w:sz w:val="21"/>
                      <w:szCs w:val="21"/>
                      <w:u w:val="none" w:color="auto"/>
                      <w:lang w:val="en-US" w:eastAsia="zh-CN"/>
                    </w:rPr>
                    <w:t>设置环保部门，配备专职环保人员，并具备相应的环境管理能力（包括但不限于学历、培训、从业经验等）。</w:t>
                  </w:r>
                </w:p>
              </w:tc>
              <w:tc>
                <w:tcPr>
                  <w:tcW w:w="2488" w:type="dxa"/>
                  <w:tcBorders>
                    <w:tl2br w:val="nil"/>
                    <w:tr2bl w:val="nil"/>
                  </w:tcBorders>
                  <w:shd w:val="clear" w:color="auto" w:fill="auto"/>
                  <w:vAlign w:val="center"/>
                </w:tcPr>
                <w:p w14:paraId="6F764011">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default" w:ascii="Times New Roman" w:hAnsi="宋体" w:eastAsia="宋体" w:cs="Times New Roman"/>
                      <w:color w:val="000000"/>
                      <w:kern w:val="2"/>
                      <w:sz w:val="21"/>
                      <w:szCs w:val="21"/>
                      <w:u w:val="none" w:color="auto"/>
                      <w:vertAlign w:val="baseline"/>
                      <w:lang w:val="en-US" w:eastAsia="zh-CN" w:bidi="ar-SA"/>
                    </w:rPr>
                  </w:pPr>
                  <w:r>
                    <w:rPr>
                      <w:rFonts w:hint="eastAsia" w:ascii="Times New Roman" w:hAnsi="宋体" w:cs="Times New Roman"/>
                      <w:color w:val="000000"/>
                      <w:sz w:val="21"/>
                      <w:szCs w:val="21"/>
                      <w:u w:val="none" w:color="auto"/>
                      <w:lang w:val="en-US" w:eastAsia="zh-CN"/>
                    </w:rPr>
                    <w:t>本环评要求企业按照要求建立专门的环保机构负责环保相关工作。</w:t>
                  </w:r>
                </w:p>
              </w:tc>
              <w:tc>
                <w:tcPr>
                  <w:tcW w:w="955" w:type="dxa"/>
                  <w:tcBorders>
                    <w:tl2br w:val="nil"/>
                    <w:tr2bl w:val="nil"/>
                  </w:tcBorders>
                  <w:vAlign w:val="center"/>
                </w:tcPr>
                <w:p w14:paraId="3755AF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color w:val="000000"/>
                      <w:szCs w:val="21"/>
                      <w:u w:val="none" w:color="auto"/>
                      <w:lang w:val="en-US" w:eastAsia="zh-CN"/>
                    </w:rPr>
                    <w:t>符合</w:t>
                  </w:r>
                </w:p>
              </w:tc>
            </w:tr>
            <w:tr w14:paraId="61E911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2" w:hRule="atLeast"/>
                <w:jc w:val="center"/>
              </w:trPr>
              <w:tc>
                <w:tcPr>
                  <w:tcW w:w="890" w:type="dxa"/>
                  <w:gridSpan w:val="2"/>
                  <w:tcBorders>
                    <w:tl2br w:val="nil"/>
                    <w:tr2bl w:val="nil"/>
                  </w:tcBorders>
                  <w:vAlign w:val="center"/>
                </w:tcPr>
                <w:p w14:paraId="65BBA7C3">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hAnsi="宋体"/>
                      <w:color w:val="000000"/>
                      <w:sz w:val="21"/>
                      <w:szCs w:val="21"/>
                      <w:u w:val="none" w:color="auto"/>
                      <w:vertAlign w:val="baseline"/>
                      <w:lang w:val="en-US" w:eastAsia="zh-CN"/>
                    </w:rPr>
                  </w:pPr>
                  <w:r>
                    <w:rPr>
                      <w:rFonts w:hint="eastAsia" w:ascii="Times New Roman" w:hAnsi="宋体" w:cs="Times New Roman"/>
                      <w:color w:val="000000"/>
                      <w:sz w:val="21"/>
                      <w:szCs w:val="21"/>
                      <w:u w:val="none" w:color="auto"/>
                      <w:lang w:val="en-US" w:eastAsia="zh-CN"/>
                    </w:rPr>
                    <w:t>运输方式</w:t>
                  </w:r>
                </w:p>
              </w:tc>
              <w:tc>
                <w:tcPr>
                  <w:tcW w:w="3046" w:type="dxa"/>
                  <w:tcBorders>
                    <w:tl2br w:val="nil"/>
                    <w:tr2bl w:val="nil"/>
                  </w:tcBorders>
                  <w:vAlign w:val="center"/>
                </w:tcPr>
                <w:p w14:paraId="36F03FD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21"/>
                      <w:szCs w:val="21"/>
                      <w:u w:val="none" w:color="auto"/>
                      <w:lang w:val="en-US" w:eastAsia="zh-CN" w:bidi="ar"/>
                    </w:rPr>
                  </w:pPr>
                  <w:r>
                    <w:rPr>
                      <w:rFonts w:hint="default" w:ascii="Times New Roman" w:hAnsi="Times New Roman" w:eastAsia="宋体" w:cs="Times New Roman"/>
                      <w:color w:val="000000"/>
                      <w:kern w:val="0"/>
                      <w:sz w:val="21"/>
                      <w:szCs w:val="21"/>
                      <w:u w:val="none" w:color="auto"/>
                      <w:lang w:val="en-US" w:eastAsia="zh-CN" w:bidi="ar"/>
                    </w:rPr>
                    <w:t xml:space="preserve">1.物料、产品公路运输全部使用国五及以上排放标准的重型载货车辆（重型燃气车辆达到国六排放标准）或新能源车辆； </w:t>
                  </w:r>
                </w:p>
                <w:p w14:paraId="1A33F4FC">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21"/>
                      <w:szCs w:val="21"/>
                      <w:u w:val="none" w:color="auto"/>
                      <w:lang w:val="en-US" w:eastAsia="zh-CN" w:bidi="ar"/>
                    </w:rPr>
                  </w:pPr>
                  <w:r>
                    <w:rPr>
                      <w:rFonts w:hint="default" w:ascii="Times New Roman" w:hAnsi="Times New Roman" w:eastAsia="宋体" w:cs="Times New Roman"/>
                      <w:color w:val="000000"/>
                      <w:kern w:val="0"/>
                      <w:sz w:val="21"/>
                      <w:szCs w:val="21"/>
                      <w:u w:val="none" w:color="auto"/>
                      <w:lang w:val="en-US" w:eastAsia="zh-CN" w:bidi="ar"/>
                    </w:rPr>
                    <w:t xml:space="preserve">2.厂内车辆全部达到国五及以上排放标准（重型燃气车辆达到国六排放标准）或使用新能源车辆； </w:t>
                  </w:r>
                </w:p>
                <w:p w14:paraId="4D115488">
                  <w:pPr>
                    <w:keepNext w:val="0"/>
                    <w:keepLines w:val="0"/>
                    <w:widowControl/>
                    <w:suppressLineNumbers w:val="0"/>
                    <w:spacing w:before="0" w:beforeAutospacing="0" w:after="0" w:afterAutospacing="0"/>
                    <w:ind w:left="0" w:right="0"/>
                    <w:jc w:val="left"/>
                    <w:rPr>
                      <w:rFonts w:hint="default" w:hAnsi="宋体"/>
                      <w:color w:val="000000"/>
                      <w:sz w:val="21"/>
                      <w:szCs w:val="21"/>
                      <w:u w:val="none" w:color="auto"/>
                      <w:vertAlign w:val="baseline"/>
                    </w:rPr>
                  </w:pPr>
                  <w:r>
                    <w:rPr>
                      <w:rFonts w:hint="default" w:ascii="Times New Roman" w:hAnsi="Times New Roman" w:eastAsia="宋体" w:cs="Times New Roman"/>
                      <w:color w:val="000000"/>
                      <w:kern w:val="0"/>
                      <w:sz w:val="21"/>
                      <w:szCs w:val="21"/>
                      <w:u w:val="none" w:color="auto"/>
                      <w:lang w:val="en-US" w:eastAsia="zh-CN" w:bidi="ar"/>
                    </w:rPr>
                    <w:t>3.厂内非道路移动机械达到国三及以上排放标准或使用新能源机械。</w:t>
                  </w:r>
                </w:p>
              </w:tc>
              <w:tc>
                <w:tcPr>
                  <w:tcW w:w="2488" w:type="dxa"/>
                  <w:tcBorders>
                    <w:tl2br w:val="nil"/>
                    <w:tr2bl w:val="nil"/>
                  </w:tcBorders>
                  <w:vAlign w:val="center"/>
                </w:tcPr>
                <w:p w14:paraId="711CB653">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default" w:hAnsi="宋体"/>
                      <w:color w:val="000000"/>
                      <w:sz w:val="21"/>
                      <w:szCs w:val="21"/>
                      <w:u w:val="none" w:color="auto"/>
                      <w:vertAlign w:val="baseline"/>
                      <w:lang w:val="en-US"/>
                    </w:rPr>
                  </w:pPr>
                  <w:r>
                    <w:rPr>
                      <w:rFonts w:hint="eastAsia" w:ascii="Times New Roman" w:hAnsi="宋体" w:cs="Times New Roman"/>
                      <w:color w:val="000000"/>
                      <w:sz w:val="21"/>
                      <w:szCs w:val="21"/>
                      <w:u w:val="none" w:color="auto"/>
                      <w:lang w:val="en-US" w:eastAsia="zh-CN"/>
                    </w:rPr>
                    <w:t>企业公路运输采用国五</w:t>
                  </w:r>
                  <w:r>
                    <w:rPr>
                      <w:rFonts w:hint="eastAsia" w:hAnsi="宋体" w:cs="Times New Roman"/>
                      <w:color w:val="000000"/>
                      <w:sz w:val="21"/>
                      <w:szCs w:val="21"/>
                      <w:u w:val="none" w:color="auto"/>
                      <w:lang w:val="en-US" w:eastAsia="zh-CN"/>
                    </w:rPr>
                    <w:t>及以上排放标准</w:t>
                  </w:r>
                  <w:r>
                    <w:rPr>
                      <w:rFonts w:hint="eastAsia" w:ascii="Times New Roman" w:hAnsi="宋体" w:cs="Times New Roman"/>
                      <w:color w:val="000000"/>
                      <w:sz w:val="21"/>
                      <w:szCs w:val="21"/>
                      <w:u w:val="none" w:color="auto"/>
                      <w:lang w:val="en-US" w:eastAsia="zh-CN"/>
                    </w:rPr>
                    <w:t>汽车，厂内</w:t>
                  </w:r>
                  <w:r>
                    <w:rPr>
                      <w:rFonts w:hint="eastAsia" w:hAnsi="宋体" w:cs="Times New Roman"/>
                      <w:color w:val="000000"/>
                      <w:sz w:val="21"/>
                      <w:szCs w:val="21"/>
                      <w:u w:val="none" w:color="auto"/>
                      <w:lang w:val="en-US" w:eastAsia="zh-CN"/>
                    </w:rPr>
                    <w:t>运输物料采用新能源车辆或</w:t>
                  </w:r>
                  <w:r>
                    <w:rPr>
                      <w:rFonts w:hint="default" w:ascii="Times New Roman" w:hAnsi="Times New Roman" w:eastAsia="宋体" w:cs="Times New Roman"/>
                      <w:color w:val="000000"/>
                      <w:kern w:val="0"/>
                      <w:sz w:val="21"/>
                      <w:szCs w:val="21"/>
                      <w:u w:val="none" w:color="auto"/>
                      <w:lang w:val="en-US" w:eastAsia="zh-CN" w:bidi="ar"/>
                    </w:rPr>
                    <w:t>国五及以上排放标准</w:t>
                  </w:r>
                  <w:r>
                    <w:rPr>
                      <w:rFonts w:hint="eastAsia" w:cs="Times New Roman"/>
                      <w:color w:val="000000"/>
                      <w:kern w:val="0"/>
                      <w:sz w:val="21"/>
                      <w:szCs w:val="21"/>
                      <w:u w:val="none" w:color="auto"/>
                      <w:lang w:val="en-US" w:eastAsia="zh-CN" w:bidi="ar"/>
                    </w:rPr>
                    <w:t>汽车</w:t>
                  </w:r>
                  <w:r>
                    <w:rPr>
                      <w:rFonts w:hint="eastAsia" w:hAnsi="宋体" w:cs="Times New Roman"/>
                      <w:color w:val="000000"/>
                      <w:sz w:val="21"/>
                      <w:szCs w:val="21"/>
                      <w:u w:val="none" w:color="auto"/>
                      <w:lang w:val="en-US" w:eastAsia="zh-CN"/>
                    </w:rPr>
                    <w:t>。厂内非道路移动机械</w:t>
                  </w:r>
                  <w:r>
                    <w:rPr>
                      <w:rFonts w:hint="default" w:ascii="Times New Roman" w:hAnsi="Times New Roman" w:eastAsia="宋体" w:cs="Times New Roman"/>
                      <w:color w:val="000000"/>
                      <w:kern w:val="0"/>
                      <w:sz w:val="21"/>
                      <w:szCs w:val="21"/>
                      <w:u w:val="none" w:color="auto"/>
                      <w:lang w:val="en-US" w:eastAsia="zh-CN" w:bidi="ar"/>
                    </w:rPr>
                    <w:t>达到国三及以上排放标准或使用新能源机械</w:t>
                  </w:r>
                  <w:r>
                    <w:rPr>
                      <w:rFonts w:hint="eastAsia" w:cs="Times New Roman"/>
                      <w:color w:val="000000"/>
                      <w:kern w:val="0"/>
                      <w:sz w:val="21"/>
                      <w:szCs w:val="21"/>
                      <w:u w:val="none" w:color="auto"/>
                      <w:lang w:val="en-US" w:eastAsia="zh-CN" w:bidi="ar"/>
                    </w:rPr>
                    <w:t>。</w:t>
                  </w:r>
                </w:p>
              </w:tc>
              <w:tc>
                <w:tcPr>
                  <w:tcW w:w="955" w:type="dxa"/>
                  <w:tcBorders>
                    <w:tl2br w:val="nil"/>
                    <w:tr2bl w:val="nil"/>
                  </w:tcBorders>
                  <w:vAlign w:val="center"/>
                </w:tcPr>
                <w:p w14:paraId="398AE7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hAnsi="宋体"/>
                      <w:color w:val="000000"/>
                      <w:sz w:val="21"/>
                      <w:szCs w:val="21"/>
                      <w:u w:val="none" w:color="auto"/>
                      <w:vertAlign w:val="baseline"/>
                    </w:rPr>
                  </w:pPr>
                  <w:r>
                    <w:rPr>
                      <w:rFonts w:hint="eastAsia"/>
                      <w:color w:val="000000"/>
                      <w:szCs w:val="21"/>
                      <w:u w:val="none" w:color="auto"/>
                      <w:lang w:val="en-US" w:eastAsia="zh-CN"/>
                    </w:rPr>
                    <w:t>符合</w:t>
                  </w:r>
                </w:p>
              </w:tc>
            </w:tr>
            <w:tr w14:paraId="133558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90" w:type="dxa"/>
                  <w:gridSpan w:val="2"/>
                  <w:tcBorders>
                    <w:bottom w:val="single" w:color="auto" w:sz="8" w:space="0"/>
                  </w:tcBorders>
                  <w:vAlign w:val="center"/>
                </w:tcPr>
                <w:p w14:paraId="3E79AC6D">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hAnsi="宋体"/>
                      <w:color w:val="000000"/>
                      <w:sz w:val="21"/>
                      <w:szCs w:val="21"/>
                      <w:u w:val="none" w:color="auto"/>
                      <w:vertAlign w:val="baseline"/>
                      <w:lang w:val="en-US" w:eastAsia="zh-CN"/>
                    </w:rPr>
                  </w:pPr>
                  <w:r>
                    <w:rPr>
                      <w:rFonts w:hint="eastAsia" w:ascii="Times New Roman" w:hAnsi="宋体" w:cs="Times New Roman"/>
                      <w:color w:val="000000"/>
                      <w:sz w:val="21"/>
                      <w:szCs w:val="21"/>
                      <w:u w:val="none" w:color="auto"/>
                      <w:lang w:val="en-US" w:eastAsia="zh-CN"/>
                    </w:rPr>
                    <w:t>运输监管</w:t>
                  </w:r>
                </w:p>
              </w:tc>
              <w:tc>
                <w:tcPr>
                  <w:tcW w:w="3046" w:type="dxa"/>
                  <w:tcBorders>
                    <w:bottom w:val="single" w:color="auto" w:sz="8" w:space="0"/>
                  </w:tcBorders>
                  <w:vAlign w:val="center"/>
                </w:tcPr>
                <w:p w14:paraId="54951B6C">
                  <w:pPr>
                    <w:keepNext w:val="0"/>
                    <w:keepLines w:val="0"/>
                    <w:widowControl/>
                    <w:suppressLineNumbers w:val="0"/>
                    <w:spacing w:before="0" w:beforeAutospacing="0" w:after="0" w:afterAutospacing="0"/>
                    <w:ind w:left="0" w:right="0"/>
                    <w:jc w:val="both"/>
                    <w:rPr>
                      <w:rFonts w:hint="default" w:hAnsi="宋体"/>
                      <w:color w:val="000000"/>
                      <w:sz w:val="21"/>
                      <w:szCs w:val="21"/>
                      <w:u w:val="none" w:color="auto"/>
                      <w:vertAlign w:val="baseline"/>
                    </w:rPr>
                  </w:pPr>
                  <w:r>
                    <w:rPr>
                      <w:rFonts w:hint="default" w:ascii="Times New Roman" w:hAnsi="Times New Roman" w:eastAsia="宋体" w:cs="Times New Roman"/>
                      <w:color w:val="000000"/>
                      <w:kern w:val="0"/>
                      <w:sz w:val="21"/>
                      <w:szCs w:val="21"/>
                      <w:u w:val="none" w:color="auto"/>
                      <w:lang w:val="en-US" w:eastAsia="zh-CN" w:bidi="ar"/>
                    </w:rPr>
                    <w:t>日均进出货物 150 吨（或载货车辆日进出 10 辆次）及以上（货物包括原料、辅料、燃料、产品和其他与生产相关物料）的企业，参照《重污染天气重点行业移动源应急管理技术指南》建立门禁视频监控系统和电子台账；其他企业安装车辆运输视频监控（数据能保存 6 个月），并建立车辆运输手工台账。</w:t>
                  </w:r>
                </w:p>
              </w:tc>
              <w:tc>
                <w:tcPr>
                  <w:tcW w:w="2488" w:type="dxa"/>
                  <w:tcBorders>
                    <w:bottom w:val="single" w:color="auto" w:sz="8" w:space="0"/>
                  </w:tcBorders>
                  <w:vAlign w:val="center"/>
                </w:tcPr>
                <w:p w14:paraId="60B5A6F1">
                  <w:pPr>
                    <w:pStyle w:val="99"/>
                    <w:keepNext w:val="0"/>
                    <w:keepLines w:val="0"/>
                    <w:suppressLineNumbers w:val="0"/>
                    <w:adjustRightInd w:val="0"/>
                    <w:snapToGrid w:val="0"/>
                    <w:spacing w:before="0" w:beforeAutospacing="0" w:after="0" w:afterAutospacing="0" w:line="240" w:lineRule="auto"/>
                    <w:ind w:left="0" w:leftChars="0" w:right="0" w:rightChars="0" w:firstLine="0" w:firstLineChars="0"/>
                    <w:jc w:val="both"/>
                    <w:rPr>
                      <w:rFonts w:hint="default" w:hAnsi="宋体"/>
                      <w:color w:val="000000"/>
                      <w:sz w:val="21"/>
                      <w:szCs w:val="21"/>
                      <w:u w:val="none" w:color="auto"/>
                      <w:vertAlign w:val="baseline"/>
                    </w:rPr>
                  </w:pPr>
                  <w:r>
                    <w:rPr>
                      <w:rFonts w:hint="eastAsia" w:ascii="Times New Roman" w:hAnsi="宋体" w:cs="Times New Roman"/>
                      <w:color w:val="000000"/>
                      <w:sz w:val="21"/>
                      <w:szCs w:val="21"/>
                      <w:u w:val="none" w:color="auto"/>
                      <w:lang w:val="en-US" w:eastAsia="zh-CN"/>
                    </w:rPr>
                    <w:t>本企业日均进出货物</w:t>
                  </w:r>
                  <w:r>
                    <w:rPr>
                      <w:rFonts w:hint="eastAsia" w:hAnsi="宋体" w:cs="Times New Roman"/>
                      <w:color w:val="000000"/>
                      <w:sz w:val="21"/>
                      <w:szCs w:val="21"/>
                      <w:u w:val="none" w:color="auto"/>
                      <w:lang w:val="en-US" w:eastAsia="zh-CN"/>
                    </w:rPr>
                    <w:t>小</w:t>
                  </w:r>
                  <w:r>
                    <w:rPr>
                      <w:rFonts w:hint="eastAsia" w:ascii="Times New Roman" w:hAnsi="宋体" w:cs="Times New Roman"/>
                      <w:color w:val="000000"/>
                      <w:sz w:val="21"/>
                      <w:szCs w:val="21"/>
                      <w:u w:val="none" w:color="auto"/>
                      <w:lang w:val="en-US" w:eastAsia="zh-CN"/>
                    </w:rPr>
                    <w:t>于150吨，</w:t>
                  </w:r>
                  <w:r>
                    <w:rPr>
                      <w:rFonts w:hint="eastAsia" w:hAnsi="宋体" w:cs="Times New Roman"/>
                      <w:color w:val="000000"/>
                      <w:sz w:val="21"/>
                      <w:szCs w:val="21"/>
                      <w:u w:val="none" w:color="auto"/>
                      <w:lang w:val="en-US" w:eastAsia="zh-CN"/>
                    </w:rPr>
                    <w:t>要求</w:t>
                  </w:r>
                  <w:r>
                    <w:rPr>
                      <w:rFonts w:hint="default" w:ascii="Times New Roman" w:hAnsi="Times New Roman" w:eastAsia="宋体" w:cs="Times New Roman"/>
                      <w:color w:val="000000"/>
                      <w:kern w:val="0"/>
                      <w:sz w:val="21"/>
                      <w:szCs w:val="21"/>
                      <w:u w:val="none" w:color="auto"/>
                      <w:lang w:val="en-US" w:eastAsia="zh-CN" w:bidi="ar"/>
                    </w:rPr>
                    <w:t>企业安装车辆运输视频监控（数据能保存 6 个月），并建立车辆运输手工台账</w:t>
                  </w:r>
                  <w:r>
                    <w:rPr>
                      <w:rFonts w:hint="eastAsia" w:ascii="Times New Roman" w:hAnsi="宋体" w:cs="Times New Roman"/>
                      <w:color w:val="000000"/>
                      <w:sz w:val="21"/>
                      <w:szCs w:val="21"/>
                      <w:u w:val="none" w:color="auto"/>
                      <w:lang w:val="en-US" w:eastAsia="zh-CN"/>
                    </w:rPr>
                    <w:t>。</w:t>
                  </w:r>
                </w:p>
              </w:tc>
              <w:tc>
                <w:tcPr>
                  <w:tcW w:w="955" w:type="dxa"/>
                  <w:tcBorders>
                    <w:bottom w:val="single" w:color="auto" w:sz="8" w:space="0"/>
                  </w:tcBorders>
                  <w:vAlign w:val="center"/>
                </w:tcPr>
                <w:p w14:paraId="3E7528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hAnsi="宋体"/>
                      <w:color w:val="000000"/>
                      <w:sz w:val="21"/>
                      <w:szCs w:val="21"/>
                      <w:u w:val="none" w:color="auto"/>
                      <w:vertAlign w:val="baseline"/>
                    </w:rPr>
                  </w:pPr>
                  <w:r>
                    <w:rPr>
                      <w:rFonts w:hint="eastAsia"/>
                      <w:color w:val="000000"/>
                      <w:szCs w:val="21"/>
                      <w:u w:val="none" w:color="auto"/>
                      <w:lang w:val="en-US" w:eastAsia="zh-CN"/>
                    </w:rPr>
                    <w:t>符合</w:t>
                  </w:r>
                </w:p>
              </w:tc>
            </w:tr>
          </w:tbl>
          <w:p w14:paraId="27DE41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val="0"/>
                <w:bCs w:val="0"/>
                <w:color w:val="auto"/>
                <w:kern w:val="0"/>
                <w:sz w:val="24"/>
                <w:szCs w:val="24"/>
                <w:highlight w:val="none"/>
                <w:u w:val="none" w:color="auto"/>
                <w:lang w:val="en-US" w:eastAsia="zh-CN" w:bidi="ar"/>
              </w:rPr>
            </w:pPr>
            <w:r>
              <w:rPr>
                <w:rFonts w:hint="eastAsia" w:ascii="宋体" w:hAnsi="宋体" w:eastAsia="宋体" w:cs="宋体"/>
                <w:b w:val="0"/>
                <w:bCs w:val="0"/>
                <w:color w:val="auto"/>
                <w:kern w:val="2"/>
                <w:sz w:val="24"/>
                <w:szCs w:val="24"/>
                <w:highlight w:val="none"/>
                <w:u w:val="none" w:color="auto"/>
                <w:lang w:val="en-US" w:eastAsia="zh-CN" w:bidi="ar"/>
              </w:rPr>
              <w:t>由上表可知，本项目符合《河南省重污染天气重点行业应急减排措施制定技术指南》（</w:t>
            </w:r>
            <w:r>
              <w:rPr>
                <w:rFonts w:hint="eastAsia" w:cs="Times New Roman"/>
                <w:b w:val="0"/>
                <w:bCs w:val="0"/>
                <w:color w:val="auto"/>
                <w:kern w:val="2"/>
                <w:sz w:val="24"/>
                <w:szCs w:val="24"/>
                <w:highlight w:val="none"/>
                <w:u w:val="none" w:color="auto"/>
                <w:lang w:val="en-US" w:eastAsia="zh-CN" w:bidi="ar"/>
              </w:rPr>
              <w:t>2024年修订稿</w:t>
            </w:r>
            <w:r>
              <w:rPr>
                <w:rFonts w:hint="eastAsia" w:ascii="宋体" w:hAnsi="宋体" w:eastAsia="宋体" w:cs="宋体"/>
                <w:b w:val="0"/>
                <w:bCs w:val="0"/>
                <w:color w:val="auto"/>
                <w:kern w:val="2"/>
                <w:sz w:val="24"/>
                <w:szCs w:val="24"/>
                <w:highlight w:val="none"/>
                <w:u w:val="none" w:color="auto"/>
                <w:lang w:val="en-US" w:eastAsia="zh-CN" w:bidi="ar"/>
              </w:rPr>
              <w:t>）中</w:t>
            </w:r>
            <w:r>
              <w:rPr>
                <w:rFonts w:hint="eastAsia" w:cs="Times New Roman"/>
                <w:color w:val="auto"/>
                <w:sz w:val="24"/>
                <w:u w:val="none" w:color="auto"/>
                <w:lang w:val="en-US" w:eastAsia="zh-CN"/>
              </w:rPr>
              <w:t>电池制造</w:t>
            </w:r>
            <w:r>
              <w:rPr>
                <w:rFonts w:hint="default" w:ascii="Times New Roman" w:hAnsi="Times New Roman" w:cs="Times New Roman"/>
                <w:color w:val="auto"/>
                <w:sz w:val="24"/>
                <w:u w:val="none" w:color="auto"/>
                <w:lang w:val="en-US" w:eastAsia="zh-CN"/>
              </w:rPr>
              <w:t>企业绩效</w:t>
            </w:r>
            <w:r>
              <w:rPr>
                <w:rFonts w:hint="eastAsia" w:ascii="Times New Roman" w:hAnsi="Times New Roman" w:cs="Times New Roman"/>
                <w:color w:val="auto"/>
                <w:sz w:val="24"/>
                <w:u w:val="none" w:color="auto"/>
                <w:lang w:val="en-US" w:eastAsia="zh-CN"/>
              </w:rPr>
              <w:t>分级A级</w:t>
            </w:r>
            <w:r>
              <w:rPr>
                <w:rFonts w:hint="eastAsia" w:ascii="宋体" w:hAnsi="宋体" w:eastAsia="宋体" w:cs="宋体"/>
                <w:b w:val="0"/>
                <w:bCs w:val="0"/>
                <w:color w:val="auto"/>
                <w:kern w:val="0"/>
                <w:sz w:val="24"/>
                <w:szCs w:val="24"/>
                <w:highlight w:val="none"/>
                <w:u w:val="none" w:color="auto"/>
                <w:lang w:val="en-US" w:eastAsia="zh-CN" w:bidi="ar"/>
              </w:rPr>
              <w:t>要求。</w:t>
            </w:r>
          </w:p>
          <w:p w14:paraId="13FD032A">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baseline"/>
              <w:rPr>
                <w:rFonts w:hint="default" w:ascii="Times New Roman" w:hAnsi="Times New Roman" w:eastAsia="宋体" w:cs="Times New Roman"/>
                <w:b/>
                <w:bCs/>
                <w:sz w:val="24"/>
                <w:u w:val="none" w:color="auto"/>
                <w:lang w:val="en-US" w:eastAsia="zh-CN"/>
              </w:rPr>
            </w:pPr>
            <w:r>
              <w:rPr>
                <w:rFonts w:hint="eastAsia" w:ascii="Times New Roman" w:hAnsi="Times New Roman" w:eastAsia="宋体" w:cs="Times New Roman"/>
                <w:b/>
                <w:bCs/>
                <w:sz w:val="24"/>
                <w:u w:val="none" w:color="auto"/>
                <w:lang w:val="en-US" w:eastAsia="zh-CN"/>
              </w:rPr>
              <w:t>6、本项目与《锂离子电池及相关电池材料制造建设项目环境影响评价文件审批原则》（2024年版）对照分析</w:t>
            </w:r>
          </w:p>
          <w:p w14:paraId="2C24E1F9">
            <w:pPr>
              <w:keepNext w:val="0"/>
              <w:keepLines w:val="0"/>
              <w:pageBreakBefore w:val="0"/>
              <w:widowControl/>
              <w:suppressLineNumbers w:val="0"/>
              <w:kinsoku/>
              <w:wordWrap/>
              <w:overflowPunct/>
              <w:topLinePunct w:val="0"/>
              <w:bidi w:val="0"/>
              <w:spacing w:line="440" w:lineRule="exact"/>
              <w:ind w:firstLine="482" w:firstLineChars="200"/>
              <w:jc w:val="center"/>
              <w:textAlignment w:val="auto"/>
              <w:rPr>
                <w:b/>
                <w:bCs/>
                <w:color w:val="000000" w:themeColor="text1"/>
                <w:sz w:val="24"/>
                <w:u w:val="none" w:color="auto"/>
                <w14:textFill>
                  <w14:solidFill>
                    <w14:schemeClr w14:val="tx1"/>
                  </w14:solidFill>
                </w14:textFill>
              </w:rPr>
            </w:pPr>
          </w:p>
          <w:p w14:paraId="7CEE0DE7">
            <w:pPr>
              <w:keepNext w:val="0"/>
              <w:keepLines w:val="0"/>
              <w:pageBreakBefore w:val="0"/>
              <w:widowControl/>
              <w:suppressLineNumbers w:val="0"/>
              <w:kinsoku/>
              <w:wordWrap/>
              <w:overflowPunct/>
              <w:topLinePunct w:val="0"/>
              <w:bidi w:val="0"/>
              <w:spacing w:line="440" w:lineRule="exact"/>
              <w:ind w:firstLine="482" w:firstLineChars="200"/>
              <w:jc w:val="center"/>
              <w:textAlignment w:val="auto"/>
              <w:rPr>
                <w:b/>
                <w:bCs/>
                <w:color w:val="000000" w:themeColor="text1"/>
                <w:sz w:val="24"/>
                <w:u w:val="none" w:color="auto"/>
                <w14:textFill>
                  <w14:solidFill>
                    <w14:schemeClr w14:val="tx1"/>
                  </w14:solidFill>
                </w14:textFill>
              </w:rPr>
            </w:pPr>
          </w:p>
          <w:p w14:paraId="7B19B465">
            <w:pPr>
              <w:keepNext w:val="0"/>
              <w:keepLines w:val="0"/>
              <w:pageBreakBefore w:val="0"/>
              <w:widowControl/>
              <w:suppressLineNumbers w:val="0"/>
              <w:kinsoku/>
              <w:wordWrap/>
              <w:overflowPunct/>
              <w:topLinePunct w:val="0"/>
              <w:bidi w:val="0"/>
              <w:spacing w:line="440" w:lineRule="exact"/>
              <w:ind w:firstLine="482" w:firstLineChars="200"/>
              <w:jc w:val="center"/>
              <w:textAlignment w:val="auto"/>
              <w:rPr>
                <w:b/>
                <w:bCs/>
                <w:color w:val="000000" w:themeColor="text1"/>
                <w:sz w:val="24"/>
                <w:u w:val="none" w:color="auto"/>
                <w14:textFill>
                  <w14:solidFill>
                    <w14:schemeClr w14:val="tx1"/>
                  </w14:solidFill>
                </w14:textFill>
              </w:rPr>
            </w:pPr>
          </w:p>
          <w:p w14:paraId="7722FCB3">
            <w:pPr>
              <w:keepNext w:val="0"/>
              <w:keepLines w:val="0"/>
              <w:pageBreakBefore w:val="0"/>
              <w:widowControl/>
              <w:suppressLineNumbers w:val="0"/>
              <w:kinsoku/>
              <w:wordWrap/>
              <w:overflowPunct/>
              <w:topLinePunct w:val="0"/>
              <w:bidi w:val="0"/>
              <w:spacing w:line="440" w:lineRule="exact"/>
              <w:ind w:firstLine="482" w:firstLineChars="200"/>
              <w:jc w:val="center"/>
              <w:textAlignment w:val="auto"/>
              <w:rPr>
                <w:b/>
                <w:bCs/>
                <w:color w:val="000000" w:themeColor="text1"/>
                <w:u w:val="none" w:color="auto"/>
                <w14:textFill>
                  <w14:solidFill>
                    <w14:schemeClr w14:val="tx1"/>
                  </w14:solidFill>
                </w14:textFill>
              </w:rPr>
            </w:pPr>
            <w:r>
              <w:rPr>
                <w:b/>
                <w:bCs/>
                <w:color w:val="000000" w:themeColor="text1"/>
                <w:sz w:val="24"/>
                <w:u w:val="none" w:color="auto"/>
                <w14:textFill>
                  <w14:solidFill>
                    <w14:schemeClr w14:val="tx1"/>
                  </w14:solidFill>
                </w14:textFill>
              </w:rPr>
              <w:t>表1-</w:t>
            </w:r>
            <w:r>
              <w:rPr>
                <w:rFonts w:hint="eastAsia"/>
                <w:b/>
                <w:bCs/>
                <w:color w:val="000000" w:themeColor="text1"/>
                <w:sz w:val="24"/>
                <w:u w:val="none" w:color="auto"/>
                <w:lang w:val="en-US" w:eastAsia="zh-CN"/>
                <w14:textFill>
                  <w14:solidFill>
                    <w14:schemeClr w14:val="tx1"/>
                  </w14:solidFill>
                </w14:textFill>
              </w:rPr>
              <w:t>10</w:t>
            </w:r>
            <w:r>
              <w:rPr>
                <w:b/>
                <w:bCs/>
                <w:color w:val="000000" w:themeColor="text1"/>
                <w:sz w:val="24"/>
                <w:u w:val="none" w:color="auto"/>
                <w14:textFill>
                  <w14:solidFill>
                    <w14:schemeClr w14:val="tx1"/>
                  </w14:solidFill>
                </w14:textFill>
              </w:rPr>
              <w:t xml:space="preserve"> </w:t>
            </w:r>
            <w:r>
              <w:rPr>
                <w:rFonts w:hint="eastAsia"/>
                <w:b/>
                <w:bCs/>
                <w:color w:val="000000" w:themeColor="text1"/>
                <w:sz w:val="24"/>
                <w:u w:val="none" w:color="auto"/>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4"/>
                <w:szCs w:val="24"/>
                <w:u w:val="none" w:color="auto"/>
                <w:lang w:val="en-US" w:eastAsia="zh-CN" w:bidi="ar"/>
                <w14:textFill>
                  <w14:solidFill>
                    <w14:schemeClr w14:val="tx1"/>
                  </w14:solidFill>
                </w14:textFill>
              </w:rPr>
              <w:t>本项目</w:t>
            </w:r>
            <w:r>
              <w:rPr>
                <w:rFonts w:hint="eastAsia" w:hAnsi="宋体" w:cs="Times New Roman"/>
                <w:b/>
                <w:bCs/>
                <w:color w:val="000000"/>
                <w:sz w:val="24"/>
                <w:szCs w:val="24"/>
                <w:highlight w:val="none"/>
                <w:u w:val="none" w:color="auto"/>
                <w:lang w:val="en-US" w:eastAsia="zh-CN"/>
              </w:rPr>
              <w:t>与《</w:t>
            </w:r>
            <w:r>
              <w:rPr>
                <w:rFonts w:hint="eastAsia"/>
                <w:b/>
                <w:bCs/>
                <w:color w:val="auto"/>
                <w:sz w:val="24"/>
                <w:u w:val="none" w:color="auto"/>
                <w:lang w:val="en-US" w:eastAsia="zh-CN"/>
              </w:rPr>
              <w:t>审批原则</w:t>
            </w:r>
            <w:r>
              <w:rPr>
                <w:rFonts w:hint="eastAsia" w:hAnsi="宋体" w:cs="Times New Roman"/>
                <w:b/>
                <w:bCs/>
                <w:color w:val="000000"/>
                <w:sz w:val="24"/>
                <w:szCs w:val="24"/>
                <w:highlight w:val="none"/>
                <w:u w:val="none" w:color="auto"/>
                <w:lang w:val="en-US" w:eastAsia="zh-CN"/>
              </w:rPr>
              <w:t>》</w:t>
            </w:r>
            <w:r>
              <w:rPr>
                <w:rFonts w:hint="eastAsia" w:hAnsi="宋体"/>
                <w:b/>
                <w:bCs/>
                <w:color w:val="000000"/>
                <w:sz w:val="24"/>
                <w:highlight w:val="none"/>
                <w:u w:val="none" w:color="auto"/>
                <w:lang w:val="en-US" w:eastAsia="zh-CN"/>
              </w:rPr>
              <w:t>对照分</w:t>
            </w:r>
            <w:r>
              <w:rPr>
                <w:rFonts w:hint="eastAsia" w:hAnsi="宋体" w:cs="Times New Roman"/>
                <w:b/>
                <w:bCs/>
                <w:color w:val="000000"/>
                <w:sz w:val="24"/>
                <w:szCs w:val="24"/>
                <w:highlight w:val="none"/>
                <w:u w:val="none" w:color="auto"/>
                <w:lang w:val="en-US" w:eastAsia="zh-CN"/>
              </w:rPr>
              <w:t>析</w:t>
            </w:r>
          </w:p>
          <w:tbl>
            <w:tblPr>
              <w:tblStyle w:val="33"/>
              <w:tblW w:w="741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93"/>
              <w:gridCol w:w="2659"/>
              <w:gridCol w:w="567"/>
            </w:tblGrid>
            <w:tr w14:paraId="45E38E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193" w:type="dxa"/>
                  <w:tcBorders>
                    <w:top w:val="single" w:color="auto" w:sz="8" w:space="0"/>
                    <w:bottom w:val="single" w:color="auto" w:sz="8" w:space="0"/>
                    <w:right w:val="single" w:color="auto" w:sz="8" w:space="0"/>
                  </w:tcBorders>
                  <w:vAlign w:val="center"/>
                </w:tcPr>
                <w:p w14:paraId="744C9825">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hAnsi="宋体" w:eastAsia="宋体"/>
                      <w:b/>
                      <w:bCs/>
                      <w:color w:val="000000"/>
                      <w:sz w:val="21"/>
                      <w:szCs w:val="21"/>
                      <w:u w:val="none" w:color="auto"/>
                      <w:vertAlign w:val="baseline"/>
                      <w:lang w:val="en-US" w:eastAsia="zh-CN"/>
                    </w:rPr>
                  </w:pPr>
                  <w:r>
                    <w:rPr>
                      <w:rFonts w:hint="eastAsia" w:hAnsi="宋体"/>
                      <w:b/>
                      <w:bCs/>
                      <w:color w:val="000000"/>
                      <w:sz w:val="21"/>
                      <w:szCs w:val="21"/>
                      <w:u w:val="none" w:color="auto"/>
                      <w:vertAlign w:val="baseline"/>
                      <w:lang w:val="en-US" w:eastAsia="zh-CN"/>
                    </w:rPr>
                    <w:t>A级企业</w:t>
                  </w:r>
                </w:p>
              </w:tc>
              <w:tc>
                <w:tcPr>
                  <w:tcW w:w="2659" w:type="dxa"/>
                  <w:tcBorders>
                    <w:top w:val="single" w:color="auto" w:sz="8" w:space="0"/>
                    <w:left w:val="single" w:color="auto" w:sz="8" w:space="0"/>
                    <w:bottom w:val="single" w:color="auto" w:sz="8" w:space="0"/>
                    <w:right w:val="single" w:color="auto" w:sz="8" w:space="0"/>
                  </w:tcBorders>
                  <w:vAlign w:val="center"/>
                </w:tcPr>
                <w:p w14:paraId="46E95AB7">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hAnsi="宋体" w:eastAsia="宋体"/>
                      <w:b/>
                      <w:bCs/>
                      <w:color w:val="000000"/>
                      <w:sz w:val="21"/>
                      <w:szCs w:val="21"/>
                      <w:u w:val="none" w:color="auto"/>
                      <w:vertAlign w:val="baseline"/>
                      <w:lang w:val="en-US" w:eastAsia="zh-CN"/>
                    </w:rPr>
                  </w:pPr>
                  <w:r>
                    <w:rPr>
                      <w:rFonts w:hint="eastAsia" w:hAnsi="宋体"/>
                      <w:b/>
                      <w:bCs/>
                      <w:color w:val="000000"/>
                      <w:sz w:val="21"/>
                      <w:szCs w:val="21"/>
                      <w:u w:val="none" w:color="auto"/>
                      <w:vertAlign w:val="baseline"/>
                      <w:lang w:val="en-US" w:eastAsia="zh-CN"/>
                    </w:rPr>
                    <w:t>本项目情况</w:t>
                  </w:r>
                </w:p>
              </w:tc>
              <w:tc>
                <w:tcPr>
                  <w:tcW w:w="567" w:type="dxa"/>
                  <w:tcBorders>
                    <w:top w:val="single" w:color="auto" w:sz="8" w:space="0"/>
                    <w:left w:val="single" w:color="auto" w:sz="8" w:space="0"/>
                    <w:bottom w:val="single" w:color="auto" w:sz="8" w:space="0"/>
                  </w:tcBorders>
                  <w:vAlign w:val="center"/>
                </w:tcPr>
                <w:p w14:paraId="2F0D5D6E">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hAnsi="宋体" w:eastAsia="宋体"/>
                      <w:b/>
                      <w:bCs/>
                      <w:color w:val="000000"/>
                      <w:sz w:val="21"/>
                      <w:szCs w:val="21"/>
                      <w:u w:val="none" w:color="auto"/>
                      <w:vertAlign w:val="baseline"/>
                      <w:lang w:val="en-US" w:eastAsia="zh-CN"/>
                    </w:rPr>
                  </w:pPr>
                  <w:r>
                    <w:rPr>
                      <w:rFonts w:hint="eastAsia" w:hAnsi="宋体"/>
                      <w:b/>
                      <w:bCs/>
                      <w:color w:val="000000"/>
                      <w:sz w:val="21"/>
                      <w:szCs w:val="21"/>
                      <w:u w:val="none" w:color="auto"/>
                      <w:vertAlign w:val="baseline"/>
                      <w:lang w:val="en-US" w:eastAsia="zh-CN"/>
                    </w:rPr>
                    <w:t>相符性</w:t>
                  </w:r>
                </w:p>
              </w:tc>
            </w:tr>
            <w:tr w14:paraId="6A458D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193" w:type="dxa"/>
                  <w:tcBorders>
                    <w:top w:val="single" w:color="auto" w:sz="8" w:space="0"/>
                    <w:bottom w:val="single" w:color="auto" w:sz="4" w:space="0"/>
                    <w:right w:val="single" w:color="auto" w:sz="8" w:space="0"/>
                  </w:tcBorders>
                  <w:vAlign w:val="center"/>
                </w:tcPr>
                <w:p w14:paraId="28359826">
                  <w:pPr>
                    <w:pStyle w:val="99"/>
                    <w:keepNext/>
                    <w:keepLines/>
                    <w:pageBreakBefore w:val="0"/>
                    <w:numPr>
                      <w:ilvl w:val="0"/>
                      <w:numId w:val="12"/>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rPr>
                    <w:t>本审批原则适用于锂离子电池及相关正极材料、负极材料制造建设项目环境影响评价文件的审批。其中，正极材料制造包括前驱体、锂盐（碳酸锂、氢氧化锂等）制造，以及以前驱体、锂盐等为原料进行三元材料、磷酸铁锂、锰酸锂等正极材料制造，不包括制备前驱体所需的原料制造；负极材料制造不含石油焦等焦原料制造。具体涉及《建设项目环境影响评价分类管理名录（2021年版）》中基础化学原料制造261、石墨及其他非金属矿物制品制造309、电池制造384、电子元件及电子专用材料制造398行业中的锂离子电池及电池材料制造建设项目。</w:t>
                  </w:r>
                </w:p>
              </w:tc>
              <w:tc>
                <w:tcPr>
                  <w:tcW w:w="2659" w:type="dxa"/>
                  <w:tcBorders>
                    <w:top w:val="single" w:color="auto" w:sz="8" w:space="0"/>
                    <w:left w:val="single" w:color="auto" w:sz="8" w:space="0"/>
                    <w:bottom w:val="single" w:color="auto" w:sz="4" w:space="0"/>
                    <w:right w:val="single" w:color="auto" w:sz="8" w:space="0"/>
                  </w:tcBorders>
                  <w:vAlign w:val="center"/>
                </w:tcPr>
                <w:p w14:paraId="21C0DE8C">
                  <w:pPr>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hAnsi="宋体"/>
                      <w:b/>
                      <w:bCs/>
                      <w:color w:val="000000"/>
                      <w:sz w:val="21"/>
                      <w:szCs w:val="21"/>
                      <w:u w:val="none" w:color="auto"/>
                      <w:vertAlign w:val="baseline"/>
                      <w:lang w:val="en-US" w:eastAsia="zh-CN"/>
                    </w:rPr>
                  </w:pPr>
                  <w:r>
                    <w:rPr>
                      <w:rFonts w:hint="eastAsia" w:hAnsi="宋体"/>
                      <w:color w:val="000000"/>
                      <w:sz w:val="21"/>
                      <w:szCs w:val="21"/>
                      <w:u w:val="none" w:color="auto"/>
                      <w:vertAlign w:val="baseline"/>
                      <w:lang w:val="en-US" w:eastAsia="zh-CN"/>
                    </w:rPr>
                    <w:t>本项目属于C3841锂电池制造。</w:t>
                  </w:r>
                </w:p>
              </w:tc>
              <w:tc>
                <w:tcPr>
                  <w:tcW w:w="567" w:type="dxa"/>
                  <w:tcBorders>
                    <w:top w:val="single" w:color="auto" w:sz="8" w:space="0"/>
                    <w:left w:val="single" w:color="auto" w:sz="8" w:space="0"/>
                    <w:bottom w:val="single" w:color="auto" w:sz="4" w:space="0"/>
                  </w:tcBorders>
                  <w:vAlign w:val="center"/>
                </w:tcPr>
                <w:p w14:paraId="5A2B2368">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hAnsi="宋体"/>
                      <w:b/>
                      <w:bCs/>
                      <w:color w:val="000000"/>
                      <w:sz w:val="21"/>
                      <w:szCs w:val="21"/>
                      <w:u w:val="none" w:color="auto"/>
                      <w:vertAlign w:val="baseline"/>
                      <w:lang w:val="en-US" w:eastAsia="zh-CN"/>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6CCF0C4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193" w:type="dxa"/>
                  <w:tcBorders>
                    <w:top w:val="single" w:color="auto" w:sz="4" w:space="0"/>
                    <w:bottom w:val="single" w:color="auto" w:sz="4" w:space="0"/>
                    <w:right w:val="single" w:color="auto" w:sz="8" w:space="0"/>
                  </w:tcBorders>
                  <w:vAlign w:val="center"/>
                </w:tcPr>
                <w:p w14:paraId="39C8E191">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sz w:val="21"/>
                      <w:szCs w:val="21"/>
                      <w:u w:val="none" w:color="auto"/>
                    </w:rPr>
                  </w:pPr>
                  <w:r>
                    <w:rPr>
                      <w:rFonts w:hint="default" w:ascii="宋体" w:hAnsi="宋体" w:eastAsia="宋体" w:cs="宋体"/>
                      <w:sz w:val="21"/>
                      <w:szCs w:val="21"/>
                      <w:u w:val="none" w:color="auto"/>
                    </w:rPr>
                    <w:t>第二条 项目应符合生态环境保护相关法律法规、法定规划，以及相关产业结构调整、区域及行业碳达峰碳中和目标、重点污染物总量控制等政策要求。</w:t>
                  </w:r>
                </w:p>
              </w:tc>
              <w:tc>
                <w:tcPr>
                  <w:tcW w:w="2659" w:type="dxa"/>
                  <w:tcBorders>
                    <w:top w:val="single" w:color="auto" w:sz="4" w:space="0"/>
                    <w:left w:val="single" w:color="auto" w:sz="8" w:space="0"/>
                    <w:bottom w:val="single" w:color="auto" w:sz="4" w:space="0"/>
                    <w:right w:val="single" w:color="auto" w:sz="8" w:space="0"/>
                  </w:tcBorders>
                  <w:vAlign w:val="center"/>
                </w:tcPr>
                <w:p w14:paraId="7506F97A">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hAnsi="宋体" w:eastAsia="宋体"/>
                      <w:color w:val="000000"/>
                      <w:sz w:val="21"/>
                      <w:szCs w:val="21"/>
                      <w:u w:val="none" w:color="auto"/>
                      <w:vertAlign w:val="baseline"/>
                      <w:lang w:val="en-US" w:eastAsia="zh-CN"/>
                    </w:rPr>
                  </w:pPr>
                  <w:r>
                    <w:rPr>
                      <w:rFonts w:hint="eastAsia" w:hAnsi="宋体"/>
                      <w:color w:val="000000"/>
                      <w:sz w:val="21"/>
                      <w:szCs w:val="21"/>
                      <w:u w:val="none" w:color="auto"/>
                      <w:vertAlign w:val="baseline"/>
                      <w:lang w:val="en-US" w:eastAsia="zh-CN"/>
                    </w:rPr>
                    <w:t>本项目符合</w:t>
                  </w:r>
                  <w:r>
                    <w:rPr>
                      <w:rFonts w:hint="default" w:ascii="宋体" w:hAnsi="宋体" w:eastAsia="宋体" w:cs="宋体"/>
                      <w:sz w:val="21"/>
                      <w:szCs w:val="21"/>
                      <w:u w:val="none" w:color="auto"/>
                    </w:rPr>
                    <w:t>生态环境保护相关法律法规、法定规划，以及相关产业结构调整、区域及行业碳达峰碳中和目标、重点污染物总量控制等政策要求</w:t>
                  </w:r>
                  <w:r>
                    <w:rPr>
                      <w:rFonts w:hint="eastAsia" w:ascii="宋体" w:hAnsi="宋体" w:cs="宋体"/>
                      <w:sz w:val="21"/>
                      <w:szCs w:val="21"/>
                      <w:u w:val="none" w:color="auto"/>
                      <w:lang w:eastAsia="zh-CN"/>
                    </w:rPr>
                    <w:t>。</w:t>
                  </w:r>
                </w:p>
              </w:tc>
              <w:tc>
                <w:tcPr>
                  <w:tcW w:w="567" w:type="dxa"/>
                  <w:tcBorders>
                    <w:top w:val="single" w:color="auto" w:sz="4" w:space="0"/>
                    <w:left w:val="single" w:color="auto" w:sz="8" w:space="0"/>
                    <w:bottom w:val="single" w:color="auto" w:sz="4" w:space="0"/>
                  </w:tcBorders>
                  <w:vAlign w:val="center"/>
                </w:tcPr>
                <w:p w14:paraId="6A44AC09">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val="0"/>
                      <w:bCs/>
                      <w:color w:val="000000"/>
                      <w:kern w:val="2"/>
                      <w:sz w:val="21"/>
                      <w:szCs w:val="21"/>
                      <w:u w:val="none" w:color="auto"/>
                      <w:lang w:val="en-US" w:eastAsia="zh-CN" w:bidi="ar"/>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007AB7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4193" w:type="dxa"/>
                  <w:tcBorders>
                    <w:top w:val="single" w:color="auto" w:sz="4" w:space="0"/>
                    <w:tl2br w:val="nil"/>
                    <w:tr2bl w:val="nil"/>
                  </w:tcBorders>
                  <w:vAlign w:val="center"/>
                </w:tcPr>
                <w:p w14:paraId="2D7BC831">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hAnsi="宋体"/>
                      <w:color w:val="000000"/>
                      <w:sz w:val="21"/>
                      <w:szCs w:val="21"/>
                      <w:u w:val="none" w:color="auto"/>
                      <w:vertAlign w:val="baseline"/>
                    </w:rPr>
                  </w:pPr>
                  <w:r>
                    <w:rPr>
                      <w:rFonts w:hint="default" w:ascii="宋体" w:hAnsi="宋体" w:eastAsia="宋体" w:cs="宋体"/>
                      <w:sz w:val="21"/>
                      <w:szCs w:val="21"/>
                      <w:u w:val="none" w:color="auto"/>
                    </w:rPr>
                    <w:t>第三条 项目选址应符合生态环境分区管控要求，不得位于法律法规明令禁止建设的区域，应避开生态保护红线。新建、扩建涉及正极材料前驱体和锂盐制造的建设项目（盐湖资源类锂盐制造项目除外）应布设在依法合规设立的产业园区内，符合园区规划及规划环境影响评价要求。</w:t>
                  </w:r>
                </w:p>
              </w:tc>
              <w:tc>
                <w:tcPr>
                  <w:tcW w:w="2659" w:type="dxa"/>
                  <w:tcBorders>
                    <w:top w:val="single" w:color="auto" w:sz="4" w:space="0"/>
                    <w:tl2br w:val="nil"/>
                    <w:tr2bl w:val="nil"/>
                  </w:tcBorders>
                  <w:vAlign w:val="center"/>
                </w:tcPr>
                <w:p w14:paraId="448FA98B">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宋体" w:cs="Times New Roman"/>
                      <w:color w:val="auto"/>
                      <w:sz w:val="21"/>
                      <w:szCs w:val="21"/>
                      <w:u w:val="none" w:color="auto"/>
                      <w:lang w:val="en-US" w:eastAsia="zh-CN"/>
                    </w:rPr>
                  </w:pPr>
                  <w:r>
                    <w:rPr>
                      <w:rFonts w:hint="eastAsia" w:ascii="Times New Roman" w:hAnsi="宋体" w:cs="Times New Roman"/>
                      <w:color w:val="auto"/>
                      <w:sz w:val="21"/>
                      <w:szCs w:val="21"/>
                      <w:u w:val="none" w:color="auto"/>
                      <w:lang w:val="en-US" w:eastAsia="zh-CN"/>
                    </w:rPr>
                    <w:t>本项目位于新乡市高新技术产业开发区范围内</w:t>
                  </w:r>
                  <w:r>
                    <w:rPr>
                      <w:rFonts w:hint="eastAsia" w:ascii="Times New Roman" w:hAnsi="Times New Roman" w:cs="Times New Roman"/>
                      <w:color w:val="auto"/>
                      <w:sz w:val="21"/>
                      <w:szCs w:val="21"/>
                      <w:u w:val="none" w:color="auto"/>
                      <w:lang w:val="en-US" w:eastAsia="zh-CN"/>
                    </w:rPr>
                    <w:t>，</w:t>
                  </w:r>
                  <w:r>
                    <w:rPr>
                      <w:rFonts w:hint="eastAsia" w:ascii="Times New Roman" w:hAnsi="Times New Roman" w:cs="Times New Roman"/>
                      <w:color w:val="000000" w:themeColor="text1"/>
                      <w:sz w:val="21"/>
                      <w:szCs w:val="21"/>
                      <w:u w:val="none" w:color="auto"/>
                      <w:lang w:val="en-US" w:eastAsia="zh-CN"/>
                      <w14:textFill>
                        <w14:solidFill>
                          <w14:schemeClr w14:val="tx1"/>
                        </w14:solidFill>
                      </w14:textFill>
                    </w:rPr>
                    <w:t>项目所占用地属于工业用地，选址符合生态环境分期</w:t>
                  </w:r>
                  <w:r>
                    <w:rPr>
                      <w:rFonts w:hint="eastAsia" w:ascii="Times New Roman" w:hAnsi="Times New Roman" w:cs="Times New Roman"/>
                      <w:color w:val="auto"/>
                      <w:sz w:val="21"/>
                      <w:szCs w:val="21"/>
                      <w:u w:val="none" w:color="auto"/>
                      <w:lang w:val="en-US" w:eastAsia="zh-CN"/>
                    </w:rPr>
                    <w:t>管控要求。</w:t>
                  </w:r>
                </w:p>
              </w:tc>
              <w:tc>
                <w:tcPr>
                  <w:tcW w:w="567" w:type="dxa"/>
                  <w:tcBorders>
                    <w:top w:val="single" w:color="auto" w:sz="4" w:space="0"/>
                    <w:tl2br w:val="nil"/>
                    <w:tr2bl w:val="nil"/>
                  </w:tcBorders>
                  <w:vAlign w:val="center"/>
                </w:tcPr>
                <w:p w14:paraId="07691933">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752545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4193" w:type="dxa"/>
                  <w:tcBorders>
                    <w:tl2br w:val="nil"/>
                    <w:tr2bl w:val="nil"/>
                  </w:tcBorders>
                  <w:vAlign w:val="center"/>
                </w:tcPr>
                <w:p w14:paraId="7DAF2DBD">
                  <w:pPr>
                    <w:keepNext/>
                    <w:keepLines/>
                    <w:pageBreakBefore w:val="0"/>
                    <w:widowControl/>
                    <w:suppressLineNumbers w:val="0"/>
                    <w:kinsoku/>
                    <w:wordWrap/>
                    <w:overflowPunct/>
                    <w:topLinePunct w:val="0"/>
                    <w:autoSpaceDE/>
                    <w:autoSpaceDN/>
                    <w:bidi w:val="0"/>
                    <w:spacing w:before="0" w:beforeAutospacing="0" w:after="0" w:afterAutospacing="0"/>
                    <w:ind w:left="0" w:right="0"/>
                    <w:jc w:val="left"/>
                    <w:textAlignment w:val="auto"/>
                    <w:rPr>
                      <w:rFonts w:hint="eastAsia" w:ascii="Times New Roman" w:hAnsi="Times New Roman" w:cs="Times New Roman"/>
                      <w:color w:val="000000"/>
                      <w:sz w:val="21"/>
                      <w:szCs w:val="21"/>
                      <w:u w:val="none" w:color="auto"/>
                      <w:lang w:val="en-US" w:eastAsia="zh-CN"/>
                    </w:rPr>
                  </w:pPr>
                  <w:r>
                    <w:rPr>
                      <w:rFonts w:hint="default" w:ascii="宋体" w:hAnsi="宋体" w:eastAsia="宋体" w:cs="宋体"/>
                      <w:sz w:val="21"/>
                      <w:szCs w:val="21"/>
                      <w:u w:val="none" w:color="auto"/>
                    </w:rPr>
                    <w:t>第四条 新建、改建、扩建项目应采用资源利用率高、污染物产生量小的清洁生产技术、工艺和设备，单位产品的能耗、物耗、水耗、资源综合利用和污染物控制等指标应达到行业先进水平。新建锂离子电池制造项目清洁生产指标宜达到《电池行业清洁生产评价指标体系》中国内清洁生产先进水平。</w:t>
                  </w:r>
                </w:p>
              </w:tc>
              <w:tc>
                <w:tcPr>
                  <w:tcW w:w="2659" w:type="dxa"/>
                  <w:tcBorders>
                    <w:tl2br w:val="nil"/>
                    <w:tr2bl w:val="nil"/>
                  </w:tcBorders>
                  <w:vAlign w:val="center"/>
                </w:tcPr>
                <w:p w14:paraId="32816898">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宋体" w:eastAsia="宋体" w:cs="Times New Roman"/>
                      <w:color w:val="auto"/>
                      <w:sz w:val="21"/>
                      <w:szCs w:val="21"/>
                      <w:u w:val="none" w:color="auto"/>
                      <w:lang w:val="en-US" w:eastAsia="zh-CN"/>
                    </w:rPr>
                  </w:pPr>
                  <w:r>
                    <w:rPr>
                      <w:rFonts w:hint="eastAsia" w:ascii="Times New Roman" w:hAnsi="宋体" w:cs="Times New Roman" w:eastAsiaTheme="minorEastAsia"/>
                      <w:color w:val="auto"/>
                      <w:sz w:val="21"/>
                      <w:szCs w:val="21"/>
                      <w:u w:val="none" w:color="auto"/>
                      <w:lang w:val="en-US" w:eastAsia="zh-CN"/>
                    </w:rPr>
                    <w:t>本项目污染物产生量较小，</w:t>
                  </w:r>
                  <w:r>
                    <w:rPr>
                      <w:rFonts w:hint="default" w:ascii="宋体" w:hAnsi="宋体" w:eastAsia="宋体" w:cs="宋体"/>
                      <w:sz w:val="21"/>
                      <w:szCs w:val="21"/>
                      <w:u w:val="none" w:color="auto"/>
                    </w:rPr>
                    <w:t>单位产品的能耗、物耗、水耗、资源综合利用和污染物控制等指标达到行业先进水平</w:t>
                  </w:r>
                  <w:r>
                    <w:rPr>
                      <w:rFonts w:hint="eastAsia" w:ascii="宋体" w:hAnsi="宋体" w:cs="宋体"/>
                      <w:sz w:val="21"/>
                      <w:szCs w:val="21"/>
                      <w:u w:val="none" w:color="auto"/>
                      <w:lang w:eastAsia="zh-CN"/>
                    </w:rPr>
                    <w:t>。</w:t>
                  </w:r>
                </w:p>
              </w:tc>
              <w:tc>
                <w:tcPr>
                  <w:tcW w:w="567" w:type="dxa"/>
                  <w:tcBorders>
                    <w:tl2br w:val="nil"/>
                    <w:tr2bl w:val="nil"/>
                  </w:tcBorders>
                  <w:vAlign w:val="center"/>
                </w:tcPr>
                <w:p w14:paraId="1C3DE030">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7AB882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4193" w:type="dxa"/>
                  <w:tcBorders>
                    <w:tl2br w:val="nil"/>
                    <w:tr2bl w:val="nil"/>
                  </w:tcBorders>
                  <w:vAlign w:val="center"/>
                </w:tcPr>
                <w:p w14:paraId="56FE32D7">
                  <w:pPr>
                    <w:keepNext/>
                    <w:keepLines/>
                    <w:pageBreakBefore w:val="0"/>
                    <w:widowControl/>
                    <w:numPr>
                      <w:ilvl w:val="0"/>
                      <w:numId w:val="13"/>
                    </w:numPr>
                    <w:suppressLineNumbers w:val="0"/>
                    <w:kinsoku/>
                    <w:wordWrap/>
                    <w:overflowPunct/>
                    <w:topLinePunct w:val="0"/>
                    <w:autoSpaceDE/>
                    <w:autoSpaceDN/>
                    <w:bidi w:val="0"/>
                    <w:spacing w:before="0" w:beforeAutospacing="0" w:after="0" w:afterAutospacing="0"/>
                    <w:ind w:left="0" w:right="0"/>
                    <w:jc w:val="both"/>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项目应根据工程内容、原辅材料性质、工艺流程情况配备高效的除尘、脱硫、脱硝以及特征污染物治理设施，依据废气特征等合理选择治理技术。</w:t>
                  </w:r>
                </w:p>
                <w:p w14:paraId="3CBE69D3">
                  <w:pPr>
                    <w:keepNext/>
                    <w:keepLines/>
                    <w:pageBreakBefore w:val="0"/>
                    <w:widowControl/>
                    <w:numPr>
                      <w:ilvl w:val="0"/>
                      <w:numId w:val="0"/>
                    </w:numPr>
                    <w:suppressLineNumbers w:val="0"/>
                    <w:kinsoku/>
                    <w:wordWrap/>
                    <w:overflowPunct/>
                    <w:topLinePunct w:val="0"/>
                    <w:autoSpaceDE/>
                    <w:autoSpaceDN/>
                    <w:bidi w:val="0"/>
                    <w:spacing w:before="0" w:beforeAutospacing="0" w:after="0" w:afterAutospacing="0"/>
                    <w:ind w:left="0" w:right="0" w:rightChars="0"/>
                    <w:jc w:val="both"/>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锂离子电池涂布、极片烘烤工序应配备N-甲基吡咯烷酮（NMP）回收装置，设置挥发性有机物吸附或燃烧等装置，排放的废气污染物应符合《电池工业污染物排放标准》（GB 30484）要求。</w:t>
                  </w:r>
                </w:p>
                <w:p w14:paraId="036398DA">
                  <w:pPr>
                    <w:keepNext/>
                    <w:keepLines/>
                    <w:pageBreakBefore w:val="0"/>
                    <w:widowControl/>
                    <w:numPr>
                      <w:ilvl w:val="0"/>
                      <w:numId w:val="0"/>
                    </w:numPr>
                    <w:suppressLineNumbers w:val="0"/>
                    <w:kinsoku/>
                    <w:wordWrap/>
                    <w:overflowPunct/>
                    <w:topLinePunct w:val="0"/>
                    <w:autoSpaceDE/>
                    <w:autoSpaceDN/>
                    <w:bidi w:val="0"/>
                    <w:spacing w:before="0" w:beforeAutospacing="0" w:after="0" w:afterAutospacing="0"/>
                    <w:ind w:left="0" w:right="0" w:rightChars="0"/>
                    <w:jc w:val="both"/>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正极材料制造涉及氨、硫酸雾、磷酸雾排放的应配备吸收、洗涤装置。以锂辉石、锂云母、锂渣等为原料进行焙烧生产锂盐及其他中间产品的，焙烧烟气净化装置应具备去除氟化物（锂云母类）、重金属等污染物的功能，硫酸酸化焙烧等工序还应配备酸雾吸收装置。锂盐制造和正极材料制造项目排放的废气污染物应符合《无机化学工业污染物排放标准》（GB 31573）要求。</w:t>
                  </w:r>
                </w:p>
                <w:p w14:paraId="077FD363">
                  <w:pPr>
                    <w:keepNext/>
                    <w:keepLines/>
                    <w:pageBreakBefore w:val="0"/>
                    <w:widowControl/>
                    <w:numPr>
                      <w:ilvl w:val="0"/>
                      <w:numId w:val="0"/>
                    </w:numPr>
                    <w:suppressLineNumbers w:val="0"/>
                    <w:kinsoku/>
                    <w:wordWrap/>
                    <w:overflowPunct/>
                    <w:topLinePunct w:val="0"/>
                    <w:autoSpaceDE/>
                    <w:autoSpaceDN/>
                    <w:bidi w:val="0"/>
                    <w:spacing w:before="0" w:beforeAutospacing="0" w:after="0" w:afterAutospacing="0"/>
                    <w:ind w:left="0" w:right="0" w:rightChars="0"/>
                    <w:jc w:val="both"/>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负极材料制造涉及使用沥青物料的应设置沥青烟、苯并[a]芘、挥发性有机物治理设施，采用吸附或燃烧等方法处理；包覆、炭化、石墨化工序应配备高效烟气收集系统及除尘设施，并根据原燃料类型、填充物料含硫量及烟气特征设置必要的脱硫、脱硝设施。石墨化工序应优化炉窑设备选型，优先采用低含硫率的填充物料。钛酸锂负极材料制造项目排放的废气污染物应符合《无机化学工业污染物排放标准》（GB 31573）要求；石墨类负极材料制造项目炉窑烟气执行《工业炉窑大气污染物排放标准》（GB 9078），其他环节废气执行《大气污染物综合排放标准》（GB 16297）要求。</w:t>
                  </w:r>
                </w:p>
                <w:p w14:paraId="723BF5D9">
                  <w:pPr>
                    <w:keepNext/>
                    <w:keepLines/>
                    <w:pageBreakBefore w:val="0"/>
                    <w:widowControl/>
                    <w:numPr>
                      <w:ilvl w:val="0"/>
                      <w:numId w:val="0"/>
                    </w:numPr>
                    <w:suppressLineNumbers w:val="0"/>
                    <w:kinsoku/>
                    <w:wordWrap/>
                    <w:overflowPunct/>
                    <w:topLinePunct w:val="0"/>
                    <w:autoSpaceDE/>
                    <w:autoSpaceDN/>
                    <w:bidi w:val="0"/>
                    <w:spacing w:before="0" w:beforeAutospacing="0" w:after="0" w:afterAutospacing="0"/>
                    <w:ind w:left="0" w:right="0" w:rightChars="0"/>
                    <w:jc w:val="both"/>
                    <w:textAlignment w:val="auto"/>
                    <w:rPr>
                      <w:rFonts w:hint="default" w:hAnsi="宋体"/>
                      <w:color w:val="000000"/>
                      <w:sz w:val="21"/>
                      <w:szCs w:val="21"/>
                      <w:u w:val="none" w:color="auto"/>
                      <w:vertAlign w:val="baseline"/>
                    </w:rPr>
                  </w:pPr>
                  <w:r>
                    <w:rPr>
                      <w:rFonts w:hint="default" w:ascii="Times New Roman" w:hAnsi="Times New Roman" w:eastAsia="宋体" w:cs="Times New Roman"/>
                      <w:sz w:val="21"/>
                      <w:szCs w:val="21"/>
                      <w:u w:val="none" w:color="auto"/>
                    </w:rPr>
                    <w:t>涉及使用VOCs物料的，厂区内挥发性有机物无组织排放控制还应符合《挥发性有机物无组织排放控制标准》（GB 37822）相关要求。大气环境防护距离范围内不应有居民区、学校、医院等环境敏感目标。有地方污染物排放标准的，废气排放还应符合地方标准要求。</w:t>
                  </w:r>
                </w:p>
              </w:tc>
              <w:tc>
                <w:tcPr>
                  <w:tcW w:w="2659" w:type="dxa"/>
                  <w:tcBorders>
                    <w:tl2br w:val="nil"/>
                    <w:tr2bl w:val="nil"/>
                  </w:tcBorders>
                  <w:vAlign w:val="center"/>
                </w:tcPr>
                <w:p w14:paraId="0AF9DBAF">
                  <w:pPr>
                    <w:pStyle w:val="99"/>
                    <w:keepNext/>
                    <w:keepLines/>
                    <w:pageBreakBefore w:val="0"/>
                    <w:numPr>
                      <w:ilvl w:val="0"/>
                      <w:numId w:val="14"/>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cs="Times New Roman"/>
                      <w:color w:val="000000"/>
                      <w:sz w:val="21"/>
                      <w:szCs w:val="21"/>
                      <w:u w:val="none" w:color="auto"/>
                      <w:lang w:val="en-US" w:eastAsia="zh-CN"/>
                    </w:rPr>
                  </w:pPr>
                  <w:r>
                    <w:rPr>
                      <w:rFonts w:hint="eastAsia" w:cs="Times New Roman"/>
                      <w:color w:val="000000"/>
                      <w:sz w:val="21"/>
                      <w:szCs w:val="21"/>
                      <w:u w:val="none" w:color="auto"/>
                      <w:lang w:val="en-US" w:eastAsia="zh-CN"/>
                    </w:rPr>
                    <w:t>依据</w:t>
                  </w:r>
                  <w:r>
                    <w:rPr>
                      <w:rFonts w:hint="eastAsia" w:ascii="Times New Roman" w:hAnsi="Times New Roman" w:cs="Times New Roman"/>
                      <w:color w:val="000000"/>
                      <w:sz w:val="21"/>
                      <w:szCs w:val="21"/>
                      <w:u w:val="none" w:color="auto"/>
                      <w:lang w:val="en-US" w:eastAsia="zh-CN"/>
                    </w:rPr>
                    <w:t>《排污许可申请与核发技术规范 电池工业》（HJ967-2018），本项目采用活性炭吸附脱附+催化燃烧装置治理注液废气，采用NMP高塔回收系统治理正极配料、涂布烘干废气，采用滤芯过滤器废气治理设施均为排污许可技术规范中可行技术</w:t>
                  </w:r>
                  <w:r>
                    <w:rPr>
                      <w:rFonts w:hint="eastAsia" w:cs="Times New Roman"/>
                      <w:color w:val="000000"/>
                      <w:sz w:val="21"/>
                      <w:szCs w:val="21"/>
                      <w:u w:val="none" w:color="auto"/>
                      <w:lang w:val="en-US" w:eastAsia="zh-CN"/>
                    </w:rPr>
                    <w:t>；</w:t>
                  </w:r>
                </w:p>
                <w:p w14:paraId="10EEC8B3">
                  <w:pPr>
                    <w:pStyle w:val="99"/>
                    <w:keepNext/>
                    <w:keepLines/>
                    <w:pageBreakBefore w:val="0"/>
                    <w:numPr>
                      <w:ilvl w:val="0"/>
                      <w:numId w:val="14"/>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本项目</w:t>
                  </w:r>
                  <w:r>
                    <w:rPr>
                      <w:rFonts w:hint="eastAsia" w:cs="Times New Roman"/>
                      <w:color w:val="000000"/>
                      <w:sz w:val="21"/>
                      <w:szCs w:val="21"/>
                      <w:u w:val="none" w:color="auto"/>
                      <w:lang w:val="en-US" w:eastAsia="zh-CN"/>
                    </w:rPr>
                    <w:t>不涉及正极材料制造</w:t>
                  </w:r>
                  <w:r>
                    <w:rPr>
                      <w:rFonts w:hint="eastAsia" w:ascii="Times New Roman" w:hAnsi="Times New Roman" w:cs="Times New Roman"/>
                      <w:color w:val="000000"/>
                      <w:sz w:val="21"/>
                      <w:szCs w:val="21"/>
                      <w:u w:val="none" w:color="auto"/>
                      <w:lang w:val="en-US" w:eastAsia="zh-CN"/>
                    </w:rPr>
                    <w:t>；</w:t>
                  </w:r>
                </w:p>
                <w:p w14:paraId="5DC551F3">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3、本项目</w:t>
                  </w:r>
                  <w:r>
                    <w:rPr>
                      <w:rFonts w:hint="eastAsia" w:cs="Times New Roman"/>
                      <w:color w:val="000000"/>
                      <w:sz w:val="21"/>
                      <w:szCs w:val="21"/>
                      <w:u w:val="none" w:color="auto"/>
                      <w:lang w:val="en-US" w:eastAsia="zh-CN"/>
                    </w:rPr>
                    <w:t>不涉及负极材料制造</w:t>
                  </w:r>
                  <w:r>
                    <w:rPr>
                      <w:rFonts w:hint="eastAsia" w:ascii="Times New Roman" w:hAnsi="Times New Roman" w:cs="Times New Roman"/>
                      <w:color w:val="000000"/>
                      <w:sz w:val="21"/>
                      <w:szCs w:val="21"/>
                      <w:u w:val="none" w:color="auto"/>
                      <w:lang w:val="en-US" w:eastAsia="zh-CN"/>
                    </w:rPr>
                    <w:t>。</w:t>
                  </w:r>
                </w:p>
                <w:p w14:paraId="654CC41D">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cs="Times New Roman"/>
                      <w:color w:val="000000"/>
                      <w:sz w:val="21"/>
                      <w:szCs w:val="21"/>
                      <w:u w:val="none" w:color="auto"/>
                      <w:lang w:val="en-US" w:eastAsia="zh-CN"/>
                    </w:rPr>
                  </w:pPr>
                  <w:r>
                    <w:rPr>
                      <w:rFonts w:hint="eastAsia" w:ascii="Times New Roman" w:hAnsi="Times New Roman" w:cs="Times New Roman"/>
                      <w:color w:val="000000"/>
                      <w:sz w:val="21"/>
                      <w:szCs w:val="21"/>
                      <w:u w:val="none" w:color="auto"/>
                      <w:lang w:val="en-US" w:eastAsia="zh-CN"/>
                    </w:rPr>
                    <w:t>4、本项目</w:t>
                  </w:r>
                  <w:r>
                    <w:rPr>
                      <w:rFonts w:hint="default" w:ascii="Times New Roman" w:hAnsi="Times New Roman" w:eastAsia="宋体" w:cs="Times New Roman"/>
                      <w:sz w:val="21"/>
                      <w:szCs w:val="21"/>
                      <w:u w:val="none" w:color="auto"/>
                    </w:rPr>
                    <w:t>厂区内挥发性有机物无组织排放控制应符合《挥发性有机物无组织排放控制标准》（GB 37822</w:t>
                  </w:r>
                  <w:r>
                    <w:rPr>
                      <w:rFonts w:hint="eastAsia" w:ascii="Times New Roman" w:hAnsi="Times New Roman" w:cs="Times New Roman"/>
                      <w:sz w:val="21"/>
                      <w:szCs w:val="21"/>
                      <w:u w:val="none" w:color="auto"/>
                      <w:lang w:val="en-US" w:eastAsia="zh-CN"/>
                    </w:rPr>
                    <w:t>-2019</w:t>
                  </w:r>
                  <w:r>
                    <w:rPr>
                      <w:rFonts w:hint="default" w:ascii="Times New Roman" w:hAnsi="Times New Roman" w:eastAsia="宋体" w:cs="Times New Roman"/>
                      <w:sz w:val="21"/>
                      <w:szCs w:val="21"/>
                      <w:u w:val="none" w:color="auto"/>
                    </w:rPr>
                    <w:t>）相关要求。</w:t>
                  </w:r>
                  <w:r>
                    <w:rPr>
                      <w:rFonts w:hint="eastAsia" w:ascii="Times New Roman" w:hAnsi="Times New Roman" w:cs="Times New Roman"/>
                      <w:sz w:val="21"/>
                      <w:szCs w:val="21"/>
                      <w:u w:val="none" w:color="auto"/>
                      <w:lang w:val="en-US" w:eastAsia="zh-CN"/>
                    </w:rPr>
                    <w:t>本项目</w:t>
                  </w:r>
                  <w:r>
                    <w:rPr>
                      <w:rFonts w:hint="eastAsia" w:cs="Times New Roman"/>
                      <w:sz w:val="21"/>
                      <w:szCs w:val="21"/>
                      <w:u w:val="none" w:color="auto"/>
                      <w:lang w:val="en-US" w:eastAsia="zh-CN"/>
                    </w:rPr>
                    <w:t>不设大气防护距离。</w:t>
                  </w:r>
                </w:p>
              </w:tc>
              <w:tc>
                <w:tcPr>
                  <w:tcW w:w="567" w:type="dxa"/>
                  <w:tcBorders>
                    <w:tl2br w:val="nil"/>
                    <w:tr2bl w:val="nil"/>
                  </w:tcBorders>
                  <w:vAlign w:val="center"/>
                </w:tcPr>
                <w:p w14:paraId="006686B1">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0DB73F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4193" w:type="dxa"/>
                  <w:tcBorders>
                    <w:tl2br w:val="nil"/>
                    <w:tr2bl w:val="nil"/>
                  </w:tcBorders>
                  <w:vAlign w:val="center"/>
                </w:tcPr>
                <w:p w14:paraId="72B629D6">
                  <w:pPr>
                    <w:pStyle w:val="99"/>
                    <w:keepNext/>
                    <w:keepLines/>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jc w:val="both"/>
                    <w:textAlignment w:val="auto"/>
                    <w:rPr>
                      <w:rFonts w:hint="default" w:ascii="Times New Roman" w:hAnsi="Times New Roman" w:cs="Times New Roman"/>
                      <w:color w:val="000000"/>
                      <w:sz w:val="21"/>
                      <w:szCs w:val="21"/>
                      <w:u w:val="none" w:color="auto"/>
                      <w:vertAlign w:val="baseline"/>
                    </w:rPr>
                  </w:pPr>
                  <w:r>
                    <w:rPr>
                      <w:rFonts w:hint="default" w:ascii="Times New Roman" w:hAnsi="Times New Roman" w:eastAsia="宋体" w:cs="Times New Roman"/>
                      <w:sz w:val="21"/>
                      <w:szCs w:val="21"/>
                      <w:u w:val="none" w:color="auto"/>
                    </w:rPr>
                    <w:t>第六条 鼓励将温室气体排放纳入建设项目环境影响评价，核算项目温室气体排放量，推进减污降碳协同增效，推动减碳技术创新示范应用。优先采用电、天然气等清洁能源或新能源加热方式，鼓励高温烟气余热回收。</w:t>
                  </w:r>
                </w:p>
              </w:tc>
              <w:tc>
                <w:tcPr>
                  <w:tcW w:w="2659" w:type="dxa"/>
                  <w:tcBorders>
                    <w:tl2br w:val="nil"/>
                    <w:tr2bl w:val="nil"/>
                  </w:tcBorders>
                  <w:vAlign w:val="center"/>
                </w:tcPr>
                <w:p w14:paraId="2D354F36">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hAnsi="宋体"/>
                      <w:color w:val="000000"/>
                      <w:sz w:val="21"/>
                      <w:szCs w:val="21"/>
                      <w:u w:val="none" w:color="auto"/>
                      <w:vertAlign w:val="baseline"/>
                    </w:rPr>
                  </w:pPr>
                  <w:r>
                    <w:rPr>
                      <w:rFonts w:hint="eastAsia" w:ascii="Times New Roman" w:hAnsi="宋体" w:cs="Times New Roman"/>
                      <w:color w:val="auto"/>
                      <w:sz w:val="21"/>
                      <w:szCs w:val="21"/>
                      <w:u w:val="none" w:color="auto"/>
                      <w:lang w:val="en-US" w:eastAsia="zh-CN"/>
                    </w:rPr>
                    <w:t>本项目不涉及温室气体排放，项目使用电为能源。</w:t>
                  </w:r>
                </w:p>
              </w:tc>
              <w:tc>
                <w:tcPr>
                  <w:tcW w:w="567" w:type="dxa"/>
                  <w:tcBorders>
                    <w:tl2br w:val="nil"/>
                    <w:tr2bl w:val="nil"/>
                  </w:tcBorders>
                  <w:vAlign w:val="center"/>
                </w:tcPr>
                <w:p w14:paraId="71165C4F">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1E216D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4193" w:type="dxa"/>
                  <w:tcBorders>
                    <w:tl2br w:val="nil"/>
                    <w:tr2bl w:val="nil"/>
                  </w:tcBorders>
                  <w:vAlign w:val="center"/>
                </w:tcPr>
                <w:p w14:paraId="77D6CFAA">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both"/>
                    <w:textAlignment w:val="auto"/>
                    <w:rPr>
                      <w:rFonts w:hint="default" w:ascii="Times New Roman" w:hAnsi="Times New Roman" w:cs="Times New Roman"/>
                      <w:color w:val="000000"/>
                      <w:sz w:val="21"/>
                      <w:szCs w:val="21"/>
                      <w:u w:val="none" w:color="auto"/>
                      <w:vertAlign w:val="baseline"/>
                    </w:rPr>
                  </w:pPr>
                  <w:r>
                    <w:rPr>
                      <w:rFonts w:hint="default" w:ascii="Times New Roman" w:hAnsi="Times New Roman" w:eastAsia="宋体" w:cs="Times New Roman"/>
                      <w:sz w:val="21"/>
                      <w:szCs w:val="21"/>
                      <w:u w:val="none" w:color="auto"/>
                    </w:rPr>
                    <w:t>第七条 做好清污分流、雨污分流、分类收集、分质处理。生产废水优先回用，污染雨水收集处理。含盐废水应根据来水水质和排水去向，有针对性设置具备脱氮、脱盐、除氟（锂云母类）、除重金属等功能的处理设施。严禁生产废水未经有效处理直接排入城镇污水收集处理系统。锂离子电池制造项目废水排放执行《电池工业污染物排放标准》（GB 30484）要求；锂盐制造、正极材料制造、钛酸锂负极材料制造等项目排放的废水污染物应符合《无机化学工业污染物排放标准》（GB 31573）要求；石墨类负极材料制造等执行《污水综合排放标准》（GB 8978）相关要求。有地方污染物排放标准的，废水排放还应符合地方标准要求。</w:t>
                  </w:r>
                </w:p>
              </w:tc>
              <w:tc>
                <w:tcPr>
                  <w:tcW w:w="2659" w:type="dxa"/>
                  <w:tcBorders>
                    <w:tl2br w:val="nil"/>
                    <w:tr2bl w:val="nil"/>
                  </w:tcBorders>
                  <w:vAlign w:val="center"/>
                </w:tcPr>
                <w:p w14:paraId="03D8A3F5">
                  <w:pPr>
                    <w:pStyle w:val="99"/>
                    <w:keepNext/>
                    <w:keepLines/>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Times New Roman" w:hAnsi="宋体" w:eastAsia="宋体" w:cs="Times New Roman"/>
                      <w:color w:val="000000"/>
                      <w:sz w:val="21"/>
                      <w:szCs w:val="21"/>
                      <w:u w:val="none" w:color="auto"/>
                      <w:lang w:val="en-US" w:eastAsia="zh-CN"/>
                    </w:rPr>
                  </w:pPr>
                  <w:r>
                    <w:rPr>
                      <w:rFonts w:hint="eastAsia" w:ascii="Times New Roman" w:hAnsi="宋体" w:cs="Times New Roman"/>
                      <w:color w:val="000000" w:themeColor="text1"/>
                      <w:sz w:val="21"/>
                      <w:szCs w:val="21"/>
                      <w:highlight w:val="none"/>
                      <w:u w:val="none" w:color="auto"/>
                      <w:lang w:val="en-US" w:eastAsia="zh-CN"/>
                      <w14:textFill>
                        <w14:solidFill>
                          <w14:schemeClr w14:val="tx1"/>
                        </w14:solidFill>
                      </w14:textFill>
                    </w:rPr>
                    <w:t>厂区内做好</w:t>
                  </w:r>
                  <w:r>
                    <w:rPr>
                      <w:rFonts w:hint="default" w:ascii="Times New Roman" w:hAnsi="Times New Roman" w:eastAsia="宋体" w:cs="Times New Roman"/>
                      <w:sz w:val="21"/>
                      <w:szCs w:val="21"/>
                      <w:u w:val="none" w:color="auto"/>
                    </w:rPr>
                    <w:t>清污分流、雨污分流、分类收集、分质处理</w:t>
                  </w:r>
                  <w:r>
                    <w:rPr>
                      <w:rFonts w:hint="eastAsia" w:cs="Times New Roman"/>
                      <w:sz w:val="21"/>
                      <w:szCs w:val="21"/>
                      <w:u w:val="none" w:color="auto"/>
                      <w:lang w:eastAsia="zh-CN"/>
                    </w:rPr>
                    <w:t>。</w:t>
                  </w:r>
                  <w:r>
                    <w:rPr>
                      <w:rFonts w:hint="eastAsia" w:eastAsia="宋体"/>
                      <w:bCs/>
                      <w:sz w:val="21"/>
                      <w:szCs w:val="21"/>
                      <w:u w:val="none" w:color="auto"/>
                      <w:lang w:val="en-US" w:eastAsia="zh-CN"/>
                    </w:rPr>
                    <w:t>生活污水经化粪池</w:t>
                  </w:r>
                  <w:r>
                    <w:rPr>
                      <w:rFonts w:hint="eastAsia"/>
                      <w:bCs/>
                      <w:sz w:val="21"/>
                      <w:szCs w:val="21"/>
                      <w:u w:val="none" w:color="auto"/>
                      <w:lang w:val="en-US" w:eastAsia="zh-CN"/>
                    </w:rPr>
                    <w:t>处理后通过</w:t>
                  </w:r>
                  <w:r>
                    <w:rPr>
                      <w:rFonts w:hint="eastAsia" w:eastAsia="宋体"/>
                      <w:bCs/>
                      <w:sz w:val="21"/>
                      <w:szCs w:val="21"/>
                      <w:u w:val="none" w:color="auto"/>
                      <w:lang w:val="en-US" w:eastAsia="zh-CN"/>
                    </w:rPr>
                    <w:t>生活污水排放口排入</w:t>
                  </w:r>
                  <w:r>
                    <w:rPr>
                      <w:rFonts w:hint="default" w:eastAsia="宋体"/>
                      <w:bCs/>
                      <w:sz w:val="21"/>
                      <w:szCs w:val="21"/>
                      <w:u w:val="none" w:color="auto"/>
                      <w:lang w:val="en-US" w:eastAsia="zh-CN"/>
                    </w:rPr>
                    <w:t>新乡市贾屯污水处理厂进一步处理</w:t>
                  </w:r>
                  <w:r>
                    <w:rPr>
                      <w:rFonts w:hint="eastAsia" w:eastAsia="宋体"/>
                      <w:bCs/>
                      <w:sz w:val="21"/>
                      <w:szCs w:val="21"/>
                      <w:u w:val="none" w:color="auto"/>
                      <w:lang w:val="en-US" w:eastAsia="zh-CN"/>
                    </w:rPr>
                    <w:t>。</w:t>
                  </w:r>
                  <w:r>
                    <w:rPr>
                      <w:rFonts w:hint="eastAsia"/>
                      <w:sz w:val="21"/>
                      <w:szCs w:val="21"/>
                      <w:u w:val="none" w:color="auto"/>
                      <w:lang w:val="en-US" w:eastAsia="zh-CN"/>
                    </w:rPr>
                    <w:t>设备、地面清洗废水经混凝沉淀池预处理后与纯水制备浓水、反冲洗废水、电池清洗废水一并排入厂区污水处理站</w:t>
                  </w:r>
                  <w:r>
                    <w:rPr>
                      <w:rFonts w:hint="default" w:eastAsia="宋体"/>
                      <w:bCs/>
                      <w:sz w:val="21"/>
                      <w:szCs w:val="21"/>
                      <w:u w:val="none" w:color="auto"/>
                      <w:lang w:val="en-US" w:eastAsia="zh-CN"/>
                    </w:rPr>
                    <w:t>（处理能力：800t/d；处理工艺：“混凝沉淀+水解酸化+AO工艺”）</w:t>
                  </w:r>
                  <w:r>
                    <w:rPr>
                      <w:rFonts w:hint="eastAsia"/>
                      <w:bCs/>
                      <w:sz w:val="21"/>
                      <w:szCs w:val="21"/>
                      <w:u w:val="none" w:color="auto"/>
                      <w:lang w:val="en-US" w:eastAsia="zh-CN"/>
                    </w:rPr>
                    <w:t>后</w:t>
                  </w:r>
                  <w:r>
                    <w:rPr>
                      <w:rFonts w:hint="default" w:eastAsia="宋体"/>
                      <w:bCs/>
                      <w:sz w:val="21"/>
                      <w:szCs w:val="21"/>
                      <w:u w:val="none" w:color="auto"/>
                      <w:lang w:val="en-US" w:eastAsia="zh-CN"/>
                    </w:rPr>
                    <w:t>，</w:t>
                  </w:r>
                  <w:r>
                    <w:rPr>
                      <w:rFonts w:hint="eastAsia"/>
                      <w:bCs/>
                      <w:sz w:val="21"/>
                      <w:szCs w:val="21"/>
                      <w:u w:val="none" w:color="auto"/>
                      <w:lang w:val="en-US" w:eastAsia="zh-CN"/>
                    </w:rPr>
                    <w:t>通过生产废水排放口（DW002）</w:t>
                  </w:r>
                  <w:r>
                    <w:rPr>
                      <w:rFonts w:hint="default" w:eastAsia="宋体"/>
                      <w:bCs/>
                      <w:sz w:val="21"/>
                      <w:szCs w:val="21"/>
                      <w:u w:val="none" w:color="auto"/>
                      <w:lang w:val="en-US" w:eastAsia="zh-CN"/>
                    </w:rPr>
                    <w:t>排入新乡市贾屯污水处理厂进一步处理</w:t>
                  </w:r>
                  <w:r>
                    <w:rPr>
                      <w:rFonts w:hint="eastAsia"/>
                      <w:bCs/>
                      <w:sz w:val="21"/>
                      <w:szCs w:val="21"/>
                      <w:u w:val="none" w:color="auto"/>
                      <w:lang w:val="en-US" w:eastAsia="zh-CN"/>
                    </w:rPr>
                    <w:t>。</w:t>
                  </w:r>
                </w:p>
              </w:tc>
              <w:tc>
                <w:tcPr>
                  <w:tcW w:w="567" w:type="dxa"/>
                  <w:tcBorders>
                    <w:tl2br w:val="nil"/>
                    <w:tr2bl w:val="nil"/>
                  </w:tcBorders>
                  <w:vAlign w:val="center"/>
                </w:tcPr>
                <w:p w14:paraId="60E8BC95">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2EFCF45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4193" w:type="dxa"/>
                  <w:tcBorders>
                    <w:tl2br w:val="nil"/>
                    <w:tr2bl w:val="nil"/>
                  </w:tcBorders>
                  <w:vAlign w:val="center"/>
                </w:tcPr>
                <w:p w14:paraId="0B4330DF">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第八条 土壤及地下水污染防治应坚持源头控制、分区防控、跟踪监测和应急响应的防控原则。项目应对涉及有毒有害物质生产、使用、贮存、运输、回收、处置、排放的装置、设备设施及场所，提出防腐蚀、防渗漏、防流失、防扬散等土壤和地下水污染防治具体措施，并根据环境保护目标的敏感程度、项目平面布局、水文地质条件等采取分区防渗措施，提出有效的土壤、地下水监控和应急方案，避免污染土壤和地下水。对于可能受影响的地下水环境敏感目标，应提出保护措施；涉及饮用水功能的，强化地下水环境保护措施，确保饮用水安全。涉及土壤污染重点监管单位的新建、改建、扩建项目，需提出土壤污染隐患排查、土壤和地下水自行监测相关要求。</w:t>
                  </w:r>
                </w:p>
              </w:tc>
              <w:tc>
                <w:tcPr>
                  <w:tcW w:w="2659" w:type="dxa"/>
                  <w:tcBorders>
                    <w:tl2br w:val="nil"/>
                    <w:tr2bl w:val="nil"/>
                  </w:tcBorders>
                  <w:vAlign w:val="center"/>
                </w:tcPr>
                <w:p w14:paraId="1D14DE10">
                  <w:pPr>
                    <w:pStyle w:val="99"/>
                    <w:keepNext/>
                    <w:keepLines/>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宋体" w:cs="Times New Roman"/>
                      <w:color w:val="000000"/>
                      <w:sz w:val="21"/>
                      <w:szCs w:val="21"/>
                      <w:u w:val="none" w:color="auto"/>
                      <w:lang w:val="en-US" w:eastAsia="zh-CN"/>
                    </w:rPr>
                    <w:t>本项目对危废暂存间、沉淀池、污水处理站等进行重点防渗。</w:t>
                  </w:r>
                </w:p>
              </w:tc>
              <w:tc>
                <w:tcPr>
                  <w:tcW w:w="567" w:type="dxa"/>
                  <w:tcBorders>
                    <w:tl2br w:val="nil"/>
                    <w:tr2bl w:val="nil"/>
                  </w:tcBorders>
                  <w:vAlign w:val="center"/>
                </w:tcPr>
                <w:p w14:paraId="49EDF89D">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val="0"/>
                      <w:bCs/>
                      <w:color w:val="000000"/>
                      <w:kern w:val="2"/>
                      <w:sz w:val="21"/>
                      <w:szCs w:val="21"/>
                      <w:u w:val="none" w:color="auto"/>
                      <w:lang w:val="en-US" w:eastAsia="zh-CN" w:bidi="ar"/>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7E10E86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4193" w:type="dxa"/>
                  <w:tcBorders>
                    <w:tl2br w:val="nil"/>
                    <w:tr2bl w:val="nil"/>
                  </w:tcBorders>
                  <w:shd w:val="clear" w:color="auto" w:fill="auto"/>
                  <w:vAlign w:val="center"/>
                </w:tcPr>
                <w:p w14:paraId="0F3C899B">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kern w:val="2"/>
                      <w:sz w:val="21"/>
                      <w:szCs w:val="21"/>
                      <w:u w:val="none" w:color="auto"/>
                      <w:lang w:val="en-US" w:eastAsia="zh-CN" w:bidi="ar-SA"/>
                    </w:rPr>
                  </w:pPr>
                  <w:r>
                    <w:rPr>
                      <w:rFonts w:hint="default" w:ascii="Times New Roman" w:hAnsi="Times New Roman" w:eastAsia="宋体" w:cs="Times New Roman"/>
                      <w:sz w:val="21"/>
                      <w:szCs w:val="21"/>
                      <w:u w:val="none" w:color="auto"/>
                    </w:rPr>
                    <w:t>第九条 按照减量化、资源化、无害化原则，妥善处理处置固体废物。NMP废液、废浆料等应严格管理，规范其收集、贮存、资源化利用等过程各项环境管理要求；废水处理产生的结晶盐作为副产品外售的应满足适用的产品质量标准要求；鼓励锂渣综合利用，无法综合利用的明确处理或处置去向，属于危险废物的应落实危险废物相关管理要求。固体废物贮存和处置应符合《危险废物贮存污染控制标准》（GB 18597）、《危险废物填埋污染控制标准》（GB 18598）、《一般工业固体废物贮存和填埋污染控制标准》（GB 18599）、《危险废物焚烧污染控制标准》（GB 18484）等相关要求。</w:t>
                  </w:r>
                </w:p>
              </w:tc>
              <w:tc>
                <w:tcPr>
                  <w:tcW w:w="2659" w:type="dxa"/>
                  <w:tcBorders>
                    <w:tl2br w:val="nil"/>
                    <w:tr2bl w:val="nil"/>
                  </w:tcBorders>
                  <w:shd w:val="clear" w:color="auto" w:fill="auto"/>
                  <w:vAlign w:val="center"/>
                </w:tcPr>
                <w:p w14:paraId="6AC15D5E">
                  <w:pPr>
                    <w:pStyle w:val="99"/>
                    <w:keepNext/>
                    <w:keepLines/>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宋体" w:eastAsia="宋体" w:cs="Times New Roman"/>
                      <w:color w:val="000000"/>
                      <w:kern w:val="2"/>
                      <w:sz w:val="21"/>
                      <w:szCs w:val="21"/>
                      <w:u w:val="none" w:color="auto"/>
                      <w:lang w:val="en-US" w:eastAsia="zh-CN" w:bidi="ar-SA"/>
                    </w:rPr>
                  </w:pPr>
                  <w:r>
                    <w:rPr>
                      <w:rFonts w:hint="eastAsia" w:ascii="Times New Roman" w:hAnsi="宋体" w:cs="Times New Roman"/>
                      <w:color w:val="000000"/>
                      <w:sz w:val="21"/>
                      <w:szCs w:val="21"/>
                      <w:u w:val="none" w:color="auto"/>
                      <w:lang w:val="en-US" w:eastAsia="zh-CN"/>
                    </w:rPr>
                    <w:t>固废在厂区内分区分类存放，定期处置。</w:t>
                  </w:r>
                  <w:r>
                    <w:rPr>
                      <w:rFonts w:hint="eastAsia" w:ascii="Times New Roman" w:hAnsi="宋体" w:cs="Times New Roman"/>
                      <w:color w:val="000000" w:themeColor="text1"/>
                      <w:sz w:val="21"/>
                      <w:szCs w:val="21"/>
                      <w:u w:val="none" w:color="auto"/>
                      <w:lang w:val="en-US" w:eastAsia="zh-CN"/>
                      <w14:textFill>
                        <w14:solidFill>
                          <w14:schemeClr w14:val="tx1"/>
                        </w14:solidFill>
                      </w14:textFill>
                    </w:rPr>
                    <w:t>NMP废液在厂区内暂存，</w:t>
                  </w:r>
                  <w:r>
                    <w:rPr>
                      <w:rFonts w:hint="eastAsia" w:ascii="Times New Roman" w:hAnsi="宋体" w:cs="Times New Roman"/>
                      <w:color w:val="000000"/>
                      <w:sz w:val="21"/>
                      <w:szCs w:val="21"/>
                      <w:u w:val="none" w:color="auto"/>
                      <w:lang w:val="en-US" w:eastAsia="zh-CN"/>
                    </w:rPr>
                    <w:t>定期由厂家回收。</w:t>
                  </w:r>
                  <w:r>
                    <w:rPr>
                      <w:rFonts w:hint="default" w:ascii="Times New Roman" w:hAnsi="Times New Roman" w:eastAsia="宋体" w:cs="Times New Roman"/>
                      <w:sz w:val="21"/>
                      <w:szCs w:val="21"/>
                      <w:u w:val="none" w:color="auto"/>
                    </w:rPr>
                    <w:t>固体废物贮存和处置应符合《危险废物贮存污染控制标准》（GB 18597</w:t>
                  </w:r>
                  <w:r>
                    <w:rPr>
                      <w:rFonts w:hint="eastAsia" w:ascii="Times New Roman" w:hAnsi="Times New Roman" w:cs="Times New Roman"/>
                      <w:sz w:val="21"/>
                      <w:szCs w:val="21"/>
                      <w:u w:val="none" w:color="auto"/>
                      <w:lang w:val="en-US" w:eastAsia="zh-CN"/>
                    </w:rPr>
                    <w:t>-2023</w:t>
                  </w:r>
                  <w:r>
                    <w:rPr>
                      <w:rFonts w:hint="default" w:ascii="Times New Roman" w:hAnsi="Times New Roman" w:eastAsia="宋体" w:cs="Times New Roman"/>
                      <w:sz w:val="21"/>
                      <w:szCs w:val="21"/>
                      <w:u w:val="none" w:color="auto"/>
                    </w:rPr>
                    <w:t>）、《危险废物填埋污染控制标准》（GB 18598</w:t>
                  </w:r>
                  <w:r>
                    <w:rPr>
                      <w:rFonts w:hint="eastAsia" w:ascii="Times New Roman" w:hAnsi="Times New Roman" w:cs="Times New Roman"/>
                      <w:sz w:val="21"/>
                      <w:szCs w:val="21"/>
                      <w:u w:val="none" w:color="auto"/>
                      <w:lang w:val="en-US" w:eastAsia="zh-CN"/>
                    </w:rPr>
                    <w:t>-2019</w:t>
                  </w:r>
                  <w:r>
                    <w:rPr>
                      <w:rFonts w:hint="default" w:ascii="Times New Roman" w:hAnsi="Times New Roman" w:eastAsia="宋体" w:cs="Times New Roman"/>
                      <w:sz w:val="21"/>
                      <w:szCs w:val="21"/>
                      <w:u w:val="none" w:color="auto"/>
                    </w:rPr>
                    <w:t>）、《一般工业固体废物贮存和填埋污染控制标准》相关要求。</w:t>
                  </w:r>
                </w:p>
              </w:tc>
              <w:tc>
                <w:tcPr>
                  <w:tcW w:w="567" w:type="dxa"/>
                  <w:tcBorders>
                    <w:tl2br w:val="nil"/>
                    <w:tr2bl w:val="nil"/>
                  </w:tcBorders>
                  <w:vAlign w:val="center"/>
                </w:tcPr>
                <w:p w14:paraId="18AD2BE6">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val="0"/>
                      <w:bCs/>
                      <w:color w:val="000000"/>
                      <w:kern w:val="2"/>
                      <w:sz w:val="21"/>
                      <w:szCs w:val="21"/>
                      <w:u w:val="none" w:color="auto"/>
                      <w:lang w:val="en-US" w:eastAsia="zh-CN" w:bidi="ar"/>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2166027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64" w:hRule="atLeast"/>
                <w:jc w:val="center"/>
              </w:trPr>
              <w:tc>
                <w:tcPr>
                  <w:tcW w:w="4193" w:type="dxa"/>
                  <w:tcBorders>
                    <w:tl2br w:val="nil"/>
                    <w:tr2bl w:val="nil"/>
                  </w:tcBorders>
                  <w:vAlign w:val="center"/>
                </w:tcPr>
                <w:p w14:paraId="017F860E">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第十条 优化厂区平面布置，优先选择低噪声设备和工艺，采取减振、隔声、消声等措施有效控制噪声污染。加强厂区内固定设备、运输工具、货物装卸等噪声源管理，同时避免突发噪声扰民。厂界噪声应满足《工业企业厂界环境噪声排放标准》（GB 12348）要求。位于噪声敏感建筑物集中区域的改建、扩建项目，应强化噪 声污染防治措施，进一步降低噪声影响。</w:t>
                  </w:r>
                </w:p>
              </w:tc>
              <w:tc>
                <w:tcPr>
                  <w:tcW w:w="2659" w:type="dxa"/>
                  <w:tcBorders>
                    <w:tl2br w:val="nil"/>
                    <w:tr2bl w:val="nil"/>
                  </w:tcBorders>
                  <w:vAlign w:val="center"/>
                </w:tcPr>
                <w:p w14:paraId="5CFE061D">
                  <w:pPr>
                    <w:pStyle w:val="99"/>
                    <w:keepNext/>
                    <w:keepLines/>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Times New Roman" w:hAnsi="宋体" w:eastAsia="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本项目采取减振、隔声等措施控制噪声，厂界噪声满足</w:t>
                  </w:r>
                  <w:r>
                    <w:rPr>
                      <w:rFonts w:hint="default" w:ascii="Times New Roman" w:hAnsi="Times New Roman" w:eastAsia="宋体" w:cs="Times New Roman"/>
                      <w:sz w:val="21"/>
                      <w:szCs w:val="21"/>
                      <w:u w:val="none" w:color="auto"/>
                    </w:rPr>
                    <w:t>《工业企业厂界环境噪声排放标准》（GB 12348</w:t>
                  </w:r>
                  <w:r>
                    <w:rPr>
                      <w:rFonts w:hint="eastAsia" w:ascii="Times New Roman" w:hAnsi="Times New Roman" w:cs="Times New Roman"/>
                      <w:sz w:val="21"/>
                      <w:szCs w:val="21"/>
                      <w:u w:val="none" w:color="auto"/>
                      <w:lang w:val="en-US" w:eastAsia="zh-CN"/>
                    </w:rPr>
                    <w:t>-2008</w:t>
                  </w:r>
                  <w:r>
                    <w:rPr>
                      <w:rFonts w:hint="default" w:ascii="Times New Roman" w:hAnsi="Times New Roman" w:eastAsia="宋体" w:cs="Times New Roman"/>
                      <w:sz w:val="21"/>
                      <w:szCs w:val="21"/>
                      <w:u w:val="none" w:color="auto"/>
                    </w:rPr>
                    <w:t>）</w:t>
                  </w:r>
                  <w:r>
                    <w:rPr>
                      <w:rFonts w:hint="eastAsia" w:ascii="Times New Roman" w:hAnsi="Times New Roman" w:cs="Times New Roman"/>
                      <w:sz w:val="21"/>
                      <w:szCs w:val="21"/>
                      <w:u w:val="none" w:color="auto"/>
                      <w:lang w:val="en-US" w:eastAsia="zh-CN"/>
                    </w:rPr>
                    <w:t>3类</w:t>
                  </w:r>
                  <w:r>
                    <w:rPr>
                      <w:rFonts w:hint="default" w:ascii="Times New Roman" w:hAnsi="Times New Roman" w:eastAsia="宋体" w:cs="Times New Roman"/>
                      <w:sz w:val="21"/>
                      <w:szCs w:val="21"/>
                      <w:u w:val="none" w:color="auto"/>
                    </w:rPr>
                    <w:t>要求</w:t>
                  </w:r>
                  <w:r>
                    <w:rPr>
                      <w:rFonts w:hint="eastAsia" w:ascii="Times New Roman" w:hAnsi="Times New Roman" w:eastAsia="宋体" w:cs="Times New Roman"/>
                      <w:sz w:val="21"/>
                      <w:szCs w:val="21"/>
                      <w:u w:val="none" w:color="auto"/>
                      <w:lang w:eastAsia="zh-CN"/>
                    </w:rPr>
                    <w:t>。</w:t>
                  </w:r>
                </w:p>
              </w:tc>
              <w:tc>
                <w:tcPr>
                  <w:tcW w:w="567" w:type="dxa"/>
                  <w:tcBorders>
                    <w:tl2br w:val="nil"/>
                    <w:tr2bl w:val="nil"/>
                  </w:tcBorders>
                  <w:vAlign w:val="center"/>
                </w:tcPr>
                <w:p w14:paraId="46763BD4">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29737D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193" w:type="dxa"/>
                  <w:tcBorders>
                    <w:tl2br w:val="nil"/>
                    <w:tr2bl w:val="nil"/>
                  </w:tcBorders>
                  <w:vAlign w:val="center"/>
                </w:tcPr>
                <w:p w14:paraId="0F0A5576">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第十一条 严密防控项目环境风险，建立完善的环境风险防控体系，提升环境风险防控能力，确保环境风险防范和应急措施合理、有效。针对项目可能产生的突发环境事件制定有效的风险防范和应急措施，建立项目环境风险防范与应急管理体系，提出运行期突发环境事件应急预案编制要求。</w:t>
                  </w:r>
                </w:p>
              </w:tc>
              <w:tc>
                <w:tcPr>
                  <w:tcW w:w="2659" w:type="dxa"/>
                  <w:tcBorders>
                    <w:tl2br w:val="nil"/>
                    <w:tr2bl w:val="nil"/>
                  </w:tcBorders>
                  <w:vAlign w:val="center"/>
                </w:tcPr>
                <w:p w14:paraId="36C0B05E">
                  <w:pPr>
                    <w:pStyle w:val="99"/>
                    <w:keepNext/>
                    <w:keepLines/>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Times New Roman" w:hAnsi="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本企业已建立完善的环境风险防控体系，</w:t>
                  </w:r>
                  <w:r>
                    <w:rPr>
                      <w:rFonts w:hint="default" w:ascii="Times New Roman" w:hAnsi="Times New Roman" w:eastAsia="宋体" w:cs="Times New Roman"/>
                      <w:sz w:val="21"/>
                      <w:szCs w:val="21"/>
                      <w:u w:val="none" w:color="auto"/>
                    </w:rPr>
                    <w:t>针对项目可能产生的突发环境事件制定有效的风险防范和应急措施，建立项目环境风险防范与应急管理体系，提出运行期突发环境事件应急预案编制要求。</w:t>
                  </w:r>
                </w:p>
              </w:tc>
              <w:tc>
                <w:tcPr>
                  <w:tcW w:w="567" w:type="dxa"/>
                  <w:tcBorders>
                    <w:tl2br w:val="nil"/>
                    <w:tr2bl w:val="nil"/>
                  </w:tcBorders>
                  <w:vAlign w:val="center"/>
                </w:tcPr>
                <w:p w14:paraId="033A5B44">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2282B8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4193" w:type="dxa"/>
                  <w:tcBorders>
                    <w:tl2br w:val="nil"/>
                    <w:tr2bl w:val="nil"/>
                  </w:tcBorders>
                  <w:vAlign w:val="center"/>
                </w:tcPr>
                <w:p w14:paraId="250E6880">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第十二条 改、扩建项目应全面梳理现有工程存在的环保问题或减排潜力，提出有效整改或改进措施。</w:t>
                  </w:r>
                </w:p>
              </w:tc>
              <w:tc>
                <w:tcPr>
                  <w:tcW w:w="2659" w:type="dxa"/>
                  <w:tcBorders>
                    <w:tl2br w:val="nil"/>
                    <w:tr2bl w:val="nil"/>
                  </w:tcBorders>
                  <w:vAlign w:val="center"/>
                </w:tcPr>
                <w:p w14:paraId="0941F8F6">
                  <w:pPr>
                    <w:pStyle w:val="99"/>
                    <w:keepNext/>
                    <w:keepLines/>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Times New Roman" w:hAnsi="宋体" w:eastAsia="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本项目</w:t>
                  </w:r>
                  <w:r>
                    <w:rPr>
                      <w:rFonts w:hint="eastAsia" w:hAnsi="宋体" w:cs="Times New Roman"/>
                      <w:color w:val="000000"/>
                      <w:sz w:val="21"/>
                      <w:szCs w:val="21"/>
                      <w:u w:val="none" w:color="auto"/>
                      <w:lang w:val="en-US" w:eastAsia="zh-CN"/>
                    </w:rPr>
                    <w:t>不存在现</w:t>
                  </w:r>
                  <w:r>
                    <w:rPr>
                      <w:rFonts w:hint="default" w:ascii="Times New Roman" w:hAnsi="Times New Roman" w:eastAsia="宋体" w:cs="Times New Roman"/>
                      <w:sz w:val="21"/>
                      <w:szCs w:val="21"/>
                      <w:u w:val="none" w:color="auto"/>
                    </w:rPr>
                    <w:t>有工程存在的环保问题</w:t>
                  </w:r>
                  <w:r>
                    <w:rPr>
                      <w:rFonts w:hint="eastAsia" w:cs="Times New Roman"/>
                      <w:sz w:val="21"/>
                      <w:szCs w:val="21"/>
                      <w:u w:val="none" w:color="auto"/>
                      <w:lang w:eastAsia="zh-CN"/>
                    </w:rPr>
                    <w:t>。</w:t>
                  </w:r>
                </w:p>
              </w:tc>
              <w:tc>
                <w:tcPr>
                  <w:tcW w:w="567" w:type="dxa"/>
                  <w:tcBorders>
                    <w:tl2br w:val="nil"/>
                    <w:tr2bl w:val="nil"/>
                  </w:tcBorders>
                  <w:vAlign w:val="center"/>
                </w:tcPr>
                <w:p w14:paraId="066A4DBD">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ascii="Times New Roman" w:hAnsi="Times New Roman" w:eastAsia="宋体" w:cs="Times New Roman"/>
                      <w:b w:val="0"/>
                      <w:bCs/>
                      <w:color w:val="000000"/>
                      <w:kern w:val="2"/>
                      <w:sz w:val="21"/>
                      <w:szCs w:val="21"/>
                      <w:u w:val="none" w:color="auto"/>
                      <w:lang w:val="en-US" w:eastAsia="zh-CN" w:bidi="ar"/>
                    </w:rPr>
                    <w:t>不涉及</w:t>
                  </w:r>
                </w:p>
              </w:tc>
            </w:tr>
            <w:tr w14:paraId="0B16C8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193" w:type="dxa"/>
                  <w:tcBorders>
                    <w:tl2br w:val="nil"/>
                    <w:tr2bl w:val="nil"/>
                  </w:tcBorders>
                  <w:vAlign w:val="center"/>
                </w:tcPr>
                <w:p w14:paraId="3D5E54FA">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第十三条 明确项目实施后的环境管理要求和环境监测计划。根据自行监测技术指南和排污许可证申请与核发技术规范要求，制定废水、废气污染物排放及厂界环境噪声监测计划并开展监测，监测位置应符合技术规范要求。涉及水、大气有毒有害污染物名录以及重点控制的土壤有毒有害物质名录中污染物排放的，还应依法依 规制定周边环境监测计划。负极材料制造等项目应关注苯并[a]芘等特征污染物的累积环境影响。</w:t>
                  </w:r>
                </w:p>
              </w:tc>
              <w:tc>
                <w:tcPr>
                  <w:tcW w:w="2659" w:type="dxa"/>
                  <w:tcBorders>
                    <w:tl2br w:val="nil"/>
                    <w:tr2bl w:val="nil"/>
                  </w:tcBorders>
                  <w:vAlign w:val="center"/>
                </w:tcPr>
                <w:p w14:paraId="45291722">
                  <w:pPr>
                    <w:pStyle w:val="99"/>
                    <w:keepNext/>
                    <w:keepLines/>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Times New Roman" w:hAnsi="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本项目按照《排污单位自行监测技术指南 电池工业》（HJ 1204-2021）等要求制定废水、废气污染物监测计划。</w:t>
                  </w:r>
                </w:p>
              </w:tc>
              <w:tc>
                <w:tcPr>
                  <w:tcW w:w="567" w:type="dxa"/>
                  <w:tcBorders>
                    <w:tl2br w:val="nil"/>
                    <w:tr2bl w:val="nil"/>
                  </w:tcBorders>
                  <w:vAlign w:val="center"/>
                </w:tcPr>
                <w:p w14:paraId="201BA246">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00414D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193" w:type="dxa"/>
                  <w:tcBorders>
                    <w:tl2br w:val="nil"/>
                    <w:tr2bl w:val="nil"/>
                  </w:tcBorders>
                  <w:vAlign w:val="center"/>
                </w:tcPr>
                <w:p w14:paraId="6AEC9620">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第十四条 按相关规定开展信息公开和公众参与。</w:t>
                  </w:r>
                </w:p>
              </w:tc>
              <w:tc>
                <w:tcPr>
                  <w:tcW w:w="2659" w:type="dxa"/>
                  <w:tcBorders>
                    <w:tl2br w:val="nil"/>
                    <w:tr2bl w:val="nil"/>
                  </w:tcBorders>
                  <w:vAlign w:val="center"/>
                </w:tcPr>
                <w:p w14:paraId="5E4C51F6">
                  <w:pPr>
                    <w:pStyle w:val="99"/>
                    <w:keepNext/>
                    <w:keepLines/>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Times New Roman" w:hAnsi="宋体" w:cs="Times New Roman"/>
                      <w:color w:val="000000"/>
                      <w:sz w:val="21"/>
                      <w:szCs w:val="21"/>
                      <w:u w:val="none" w:color="auto"/>
                      <w:lang w:val="en-US" w:eastAsia="zh-CN"/>
                    </w:rPr>
                  </w:pPr>
                  <w:r>
                    <w:rPr>
                      <w:rFonts w:hint="eastAsia" w:ascii="Times New Roman" w:hAnsi="宋体" w:cs="Times New Roman"/>
                      <w:color w:val="000000"/>
                      <w:sz w:val="21"/>
                      <w:szCs w:val="21"/>
                      <w:u w:val="none" w:color="auto"/>
                      <w:lang w:val="en-US" w:eastAsia="zh-CN"/>
                    </w:rPr>
                    <w:t>本项目不涉及信息公开和公众参与</w:t>
                  </w:r>
                  <w:r>
                    <w:rPr>
                      <w:rFonts w:hint="eastAsia" w:hAnsi="宋体" w:cs="Times New Roman"/>
                      <w:color w:val="000000"/>
                      <w:sz w:val="21"/>
                      <w:szCs w:val="21"/>
                      <w:u w:val="none" w:color="auto"/>
                      <w:lang w:val="en-US" w:eastAsia="zh-CN"/>
                    </w:rPr>
                    <w:t>。</w:t>
                  </w:r>
                </w:p>
              </w:tc>
              <w:tc>
                <w:tcPr>
                  <w:tcW w:w="567" w:type="dxa"/>
                  <w:tcBorders>
                    <w:tl2br w:val="nil"/>
                    <w:tr2bl w:val="nil"/>
                  </w:tcBorders>
                  <w:vAlign w:val="center"/>
                </w:tcPr>
                <w:p w14:paraId="783E41C3">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1B61B8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4193" w:type="dxa"/>
                  <w:tcBorders>
                    <w:tl2br w:val="nil"/>
                    <w:tr2bl w:val="nil"/>
                  </w:tcBorders>
                  <w:vAlign w:val="center"/>
                </w:tcPr>
                <w:p w14:paraId="5D4884FC">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both"/>
                    <w:textAlignment w:val="auto"/>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第十五条 项目污染防治设施建设依照《中华人民共和国安全生产法》有关规定接受监督。</w:t>
                  </w:r>
                </w:p>
              </w:tc>
              <w:tc>
                <w:tcPr>
                  <w:tcW w:w="2659" w:type="dxa"/>
                  <w:tcBorders>
                    <w:tl2br w:val="nil"/>
                    <w:tr2bl w:val="nil"/>
                  </w:tcBorders>
                  <w:vAlign w:val="center"/>
                </w:tcPr>
                <w:p w14:paraId="749E2DCC">
                  <w:pPr>
                    <w:pStyle w:val="99"/>
                    <w:keepNext/>
                    <w:keepLines/>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Times New Roman" w:hAnsi="宋体" w:cs="Times New Roman"/>
                      <w:color w:val="000000"/>
                      <w:sz w:val="21"/>
                      <w:szCs w:val="21"/>
                      <w:u w:val="none" w:color="auto"/>
                      <w:lang w:val="en-US" w:eastAsia="zh-CN"/>
                    </w:rPr>
                  </w:pPr>
                  <w:r>
                    <w:rPr>
                      <w:rFonts w:hint="eastAsia" w:ascii="Times New Roman" w:hAnsi="Times New Roman" w:cs="Times New Roman"/>
                      <w:sz w:val="21"/>
                      <w:szCs w:val="21"/>
                      <w:u w:val="none" w:color="auto"/>
                      <w:lang w:val="en-US" w:eastAsia="zh-CN"/>
                    </w:rPr>
                    <w:t>本</w:t>
                  </w:r>
                  <w:r>
                    <w:rPr>
                      <w:rFonts w:hint="default" w:ascii="Times New Roman" w:hAnsi="Times New Roman" w:eastAsia="宋体" w:cs="Times New Roman"/>
                      <w:sz w:val="21"/>
                      <w:szCs w:val="21"/>
                      <w:u w:val="none" w:color="auto"/>
                    </w:rPr>
                    <w:t>项目污染防治设施建设依照《中华人民共和国安全生产法》有关规定接受监督。</w:t>
                  </w:r>
                </w:p>
              </w:tc>
              <w:tc>
                <w:tcPr>
                  <w:tcW w:w="567" w:type="dxa"/>
                  <w:tcBorders>
                    <w:tl2br w:val="nil"/>
                    <w:tr2bl w:val="nil"/>
                  </w:tcBorders>
                  <w:vAlign w:val="center"/>
                </w:tcPr>
                <w:p w14:paraId="25D26F1D">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u w:val="none" w:color="auto"/>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r w14:paraId="7CAE5A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4193" w:type="dxa"/>
                  <w:tcBorders>
                    <w:tl2br w:val="nil"/>
                    <w:tr2bl w:val="nil"/>
                  </w:tcBorders>
                  <w:vAlign w:val="center"/>
                </w:tcPr>
                <w:p w14:paraId="41180676">
                  <w:pPr>
                    <w:pStyle w:val="99"/>
                    <w:keepNext/>
                    <w:keepLines/>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both"/>
                    <w:textAlignment w:val="auto"/>
                    <w:rPr>
                      <w:rFonts w:hint="eastAsia" w:ascii="Times New Roman" w:hAnsi="Times New Roman" w:eastAsia="宋体" w:cs="Times New Roman"/>
                      <w:sz w:val="21"/>
                      <w:szCs w:val="21"/>
                      <w:u w:val="none" w:color="auto"/>
                      <w:lang w:eastAsia="zh-CN"/>
                    </w:rPr>
                  </w:pPr>
                  <w:r>
                    <w:rPr>
                      <w:rFonts w:hint="default" w:ascii="Times New Roman" w:hAnsi="Times New Roman" w:eastAsia="宋体" w:cs="Times New Roman"/>
                      <w:sz w:val="21"/>
                      <w:szCs w:val="21"/>
                      <w:u w:val="none" w:color="auto"/>
                    </w:rPr>
                    <w:t>第十六条 环境影响评价文件编制规范，基础资料数据应符合实际情况，内容完整、准确。环境影响评价结论应明确、合理，符合环境影响评价技术导则或建设项目环境影响报告表编制技术指南要求</w:t>
                  </w:r>
                  <w:r>
                    <w:rPr>
                      <w:rFonts w:hint="eastAsia" w:cs="Times New Roman"/>
                      <w:sz w:val="21"/>
                      <w:szCs w:val="21"/>
                      <w:u w:val="none" w:color="auto"/>
                      <w:lang w:eastAsia="zh-CN"/>
                    </w:rPr>
                    <w:t>。</w:t>
                  </w:r>
                </w:p>
              </w:tc>
              <w:tc>
                <w:tcPr>
                  <w:tcW w:w="2659" w:type="dxa"/>
                  <w:tcBorders>
                    <w:tl2br w:val="nil"/>
                    <w:tr2bl w:val="nil"/>
                  </w:tcBorders>
                  <w:vAlign w:val="center"/>
                </w:tcPr>
                <w:p w14:paraId="1E16F653">
                  <w:pPr>
                    <w:pStyle w:val="99"/>
                    <w:keepNext/>
                    <w:keepLines/>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Times New Roman" w:hAnsi="Times New Roman" w:cs="Times New Roman"/>
                      <w:sz w:val="21"/>
                      <w:szCs w:val="21"/>
                      <w:u w:val="none" w:color="auto"/>
                      <w:lang w:val="en-US" w:eastAsia="zh-CN"/>
                    </w:rPr>
                  </w:pPr>
                  <w:r>
                    <w:rPr>
                      <w:rFonts w:hint="eastAsia" w:ascii="Times New Roman" w:hAnsi="宋体" w:cs="Times New Roman"/>
                      <w:color w:val="000000"/>
                      <w:sz w:val="21"/>
                      <w:szCs w:val="21"/>
                      <w:u w:val="none" w:color="auto"/>
                      <w:lang w:val="en-US" w:eastAsia="zh-CN"/>
                    </w:rPr>
                    <w:t>本项目</w:t>
                  </w:r>
                  <w:r>
                    <w:rPr>
                      <w:rFonts w:hint="default" w:ascii="Times New Roman" w:hAnsi="Times New Roman" w:eastAsia="宋体" w:cs="Times New Roman"/>
                      <w:sz w:val="21"/>
                      <w:szCs w:val="21"/>
                      <w:u w:val="none" w:color="auto"/>
                    </w:rPr>
                    <w:t>环境影响评价文件编制规范，基础资料数据应符合实际情况，内容完整、准确。环境影响评价结论应明确、合理，符合环境影响评价技术导则或建设项目环境影响报告表编制技术指南要求</w:t>
                  </w:r>
                  <w:r>
                    <w:rPr>
                      <w:rFonts w:hint="eastAsia" w:ascii="Times New Roman" w:hAnsi="Times New Roman" w:cs="Times New Roman"/>
                      <w:sz w:val="21"/>
                      <w:szCs w:val="21"/>
                      <w:u w:val="none" w:color="auto"/>
                      <w:lang w:eastAsia="zh-CN"/>
                    </w:rPr>
                    <w:t>。</w:t>
                  </w:r>
                </w:p>
              </w:tc>
              <w:tc>
                <w:tcPr>
                  <w:tcW w:w="567" w:type="dxa"/>
                  <w:tcBorders>
                    <w:tl2br w:val="nil"/>
                    <w:tr2bl w:val="nil"/>
                  </w:tcBorders>
                  <w:vAlign w:val="center"/>
                </w:tcPr>
                <w:p w14:paraId="08EE52D6">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val="0"/>
                      <w:bCs/>
                      <w:color w:val="000000"/>
                      <w:kern w:val="2"/>
                      <w:sz w:val="21"/>
                      <w:szCs w:val="21"/>
                      <w:u w:val="none" w:color="auto"/>
                      <w:lang w:val="en-US" w:eastAsia="zh-CN" w:bidi="ar"/>
                    </w:rPr>
                  </w:pPr>
                  <w:r>
                    <w:rPr>
                      <w:rFonts w:hint="eastAsia" w:ascii="Times New Roman" w:hAnsi="Times New Roman" w:eastAsia="宋体" w:cs="Times New Roman"/>
                      <w:b w:val="0"/>
                      <w:bCs/>
                      <w:color w:val="000000"/>
                      <w:kern w:val="2"/>
                      <w:sz w:val="21"/>
                      <w:szCs w:val="21"/>
                      <w:u w:val="none" w:color="auto"/>
                      <w:lang w:val="en-US" w:eastAsia="zh-CN" w:bidi="ar"/>
                    </w:rPr>
                    <w:t>符合</w:t>
                  </w:r>
                </w:p>
              </w:tc>
            </w:tr>
          </w:tbl>
          <w:p w14:paraId="0B6DF25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both"/>
              <w:textAlignment w:val="auto"/>
              <w:rPr>
                <w:rFonts w:hint="default" w:ascii="Times New Roman" w:hAnsi="宋体" w:eastAsia="宋体" w:cs="Times New Roman"/>
                <w:b w:val="0"/>
                <w:bCs w:val="0"/>
                <w:color w:val="auto"/>
                <w:sz w:val="24"/>
                <w:highlight w:val="none"/>
                <w:u w:val="none" w:color="auto"/>
                <w:lang w:val="en-US" w:eastAsia="zh-CN"/>
              </w:rPr>
            </w:pPr>
            <w:r>
              <w:rPr>
                <w:rFonts w:hint="eastAsia" w:hAnsi="宋体" w:cs="Times New Roman"/>
                <w:b w:val="0"/>
                <w:bCs w:val="0"/>
                <w:color w:val="auto"/>
                <w:sz w:val="24"/>
                <w:highlight w:val="none"/>
                <w:u w:val="none" w:color="auto"/>
                <w:lang w:val="en-US" w:eastAsia="zh-CN"/>
              </w:rPr>
              <w:t>本项目符合</w:t>
            </w:r>
            <w:r>
              <w:rPr>
                <w:rFonts w:hint="default" w:ascii="Times New Roman" w:hAnsi="宋体" w:cs="Times New Roman"/>
                <w:b w:val="0"/>
                <w:bCs w:val="0"/>
                <w:color w:val="auto"/>
                <w:sz w:val="24"/>
                <w:highlight w:val="none"/>
                <w:u w:val="none" w:color="auto"/>
              </w:rPr>
              <w:t>《</w:t>
            </w:r>
            <w:r>
              <w:rPr>
                <w:rFonts w:hint="eastAsia"/>
                <w:b w:val="0"/>
                <w:bCs w:val="0"/>
                <w:color w:val="auto"/>
                <w:sz w:val="24"/>
                <w:u w:val="none" w:color="auto"/>
                <w:lang w:val="en-US" w:eastAsia="zh-CN"/>
              </w:rPr>
              <w:t>锂离子电池及相关电池材料制造建设项目环境影响评价文件审批原则</w:t>
            </w:r>
            <w:r>
              <w:rPr>
                <w:rFonts w:hint="default" w:ascii="Times New Roman" w:hAnsi="宋体" w:cs="Times New Roman"/>
                <w:b w:val="0"/>
                <w:bCs w:val="0"/>
                <w:color w:val="auto"/>
                <w:sz w:val="24"/>
                <w:highlight w:val="none"/>
                <w:u w:val="none" w:color="auto"/>
              </w:rPr>
              <w:t>》</w:t>
            </w:r>
            <w:r>
              <w:rPr>
                <w:rFonts w:hint="eastAsia" w:ascii="Times New Roman" w:hAnsi="宋体" w:cs="Times New Roman"/>
                <w:b w:val="0"/>
                <w:bCs w:val="0"/>
                <w:color w:val="auto"/>
                <w:sz w:val="24"/>
                <w:highlight w:val="none"/>
                <w:u w:val="none" w:color="auto"/>
              </w:rPr>
              <w:t>（20</w:t>
            </w:r>
            <w:r>
              <w:rPr>
                <w:rFonts w:hint="eastAsia" w:hAnsi="宋体" w:cs="Times New Roman"/>
                <w:b w:val="0"/>
                <w:bCs w:val="0"/>
                <w:color w:val="auto"/>
                <w:sz w:val="24"/>
                <w:highlight w:val="none"/>
                <w:u w:val="none" w:color="auto"/>
                <w:lang w:val="en-US" w:eastAsia="zh-CN"/>
              </w:rPr>
              <w:t>24</w:t>
            </w:r>
            <w:r>
              <w:rPr>
                <w:rFonts w:hint="eastAsia" w:ascii="Times New Roman" w:hAnsi="宋体" w:cs="Times New Roman"/>
                <w:b w:val="0"/>
                <w:bCs w:val="0"/>
                <w:color w:val="auto"/>
                <w:sz w:val="24"/>
                <w:highlight w:val="none"/>
                <w:u w:val="none" w:color="auto"/>
              </w:rPr>
              <w:t>年版）</w:t>
            </w:r>
            <w:r>
              <w:rPr>
                <w:rFonts w:hint="eastAsia" w:hAnsi="宋体" w:cs="Times New Roman"/>
                <w:b w:val="0"/>
                <w:bCs w:val="0"/>
                <w:color w:val="auto"/>
                <w:sz w:val="24"/>
                <w:highlight w:val="none"/>
                <w:u w:val="none" w:color="auto"/>
                <w:lang w:eastAsia="zh-CN"/>
              </w:rPr>
              <w:t>的</w:t>
            </w:r>
            <w:r>
              <w:rPr>
                <w:rFonts w:hint="eastAsia" w:hAnsi="宋体" w:cs="Times New Roman"/>
                <w:b w:val="0"/>
                <w:bCs w:val="0"/>
                <w:color w:val="auto"/>
                <w:sz w:val="24"/>
                <w:highlight w:val="none"/>
                <w:u w:val="none" w:color="auto"/>
                <w:lang w:val="en-US" w:eastAsia="zh-CN"/>
              </w:rPr>
              <w:t>要求。</w:t>
            </w:r>
          </w:p>
          <w:p w14:paraId="241B22DD">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Times New Roman" w:hAnsi="Times New Roman" w:eastAsia="宋体" w:cs="Times New Roman"/>
                <w:sz w:val="24"/>
                <w:u w:val="none" w:color="auto"/>
              </w:rPr>
            </w:pPr>
          </w:p>
          <w:p w14:paraId="54883EE4">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Times New Roman" w:hAnsi="Times New Roman" w:eastAsia="宋体" w:cs="Times New Roman"/>
                <w:sz w:val="24"/>
                <w:u w:val="none" w:color="auto"/>
              </w:rPr>
            </w:pPr>
          </w:p>
          <w:p w14:paraId="04FBA9BF">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Times New Roman" w:hAnsi="Times New Roman" w:eastAsia="宋体" w:cs="Times New Roman"/>
                <w:sz w:val="24"/>
                <w:u w:val="none" w:color="auto"/>
              </w:rPr>
            </w:pPr>
          </w:p>
          <w:p w14:paraId="3303E4C2">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Times New Roman" w:hAnsi="Times New Roman" w:eastAsia="宋体" w:cs="Times New Roman"/>
                <w:sz w:val="24"/>
                <w:u w:val="none" w:color="auto"/>
              </w:rPr>
            </w:pPr>
          </w:p>
          <w:p w14:paraId="1479DC8D">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Times New Roman" w:hAnsi="Times New Roman" w:eastAsia="宋体" w:cs="Times New Roman"/>
                <w:sz w:val="24"/>
                <w:u w:val="none" w:color="auto"/>
              </w:rPr>
            </w:pPr>
          </w:p>
          <w:p w14:paraId="12ECC81F">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Times New Roman" w:hAnsi="Times New Roman" w:eastAsia="宋体" w:cs="Times New Roman"/>
                <w:sz w:val="24"/>
                <w:u w:val="none" w:color="auto"/>
              </w:rPr>
            </w:pPr>
          </w:p>
          <w:p w14:paraId="0DDF85D8">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Times New Roman" w:hAnsi="Times New Roman" w:eastAsia="宋体" w:cs="Times New Roman"/>
                <w:sz w:val="24"/>
                <w:u w:val="none" w:color="auto"/>
                <w:lang w:val="en-US" w:eastAsia="zh-CN"/>
              </w:rPr>
            </w:pPr>
          </w:p>
          <w:p w14:paraId="78F2DB09">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Times New Roman" w:hAnsi="Times New Roman" w:eastAsia="宋体" w:cs="Times New Roman"/>
                <w:sz w:val="24"/>
                <w:u w:val="none" w:color="auto"/>
                <w:lang w:val="en-US" w:eastAsia="zh-CN"/>
              </w:rPr>
            </w:pPr>
          </w:p>
          <w:p w14:paraId="40BCC212">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Times New Roman" w:hAnsi="Times New Roman" w:eastAsia="宋体" w:cs="Times New Roman"/>
                <w:sz w:val="24"/>
                <w:u w:val="none" w:color="auto"/>
                <w:lang w:val="en-US" w:eastAsia="zh-CN"/>
              </w:rPr>
            </w:pPr>
          </w:p>
          <w:p w14:paraId="15A4F613">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Times New Roman" w:hAnsi="Times New Roman" w:eastAsia="宋体" w:cs="Times New Roman"/>
                <w:sz w:val="24"/>
                <w:u w:val="none" w:color="auto"/>
                <w:lang w:val="en-US" w:eastAsia="zh-CN"/>
              </w:rPr>
            </w:pPr>
          </w:p>
          <w:p w14:paraId="27DEDB1F">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Times New Roman" w:hAnsi="Times New Roman" w:eastAsia="宋体" w:cs="Times New Roman"/>
                <w:sz w:val="24"/>
                <w:u w:val="none" w:color="auto"/>
                <w:lang w:val="en-US" w:eastAsia="zh-CN"/>
              </w:rPr>
            </w:pPr>
          </w:p>
          <w:p w14:paraId="2686675A">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Times New Roman" w:hAnsi="Times New Roman" w:eastAsia="宋体" w:cs="Times New Roman"/>
                <w:sz w:val="24"/>
                <w:u w:val="none" w:color="auto"/>
                <w:lang w:val="en-US" w:eastAsia="zh-CN"/>
              </w:rPr>
            </w:pPr>
          </w:p>
        </w:tc>
      </w:tr>
    </w:tbl>
    <w:p w14:paraId="21CFFE2D">
      <w:pPr>
        <w:autoSpaceDE w:val="0"/>
        <w:autoSpaceDN w:val="0"/>
        <w:adjustRightInd w:val="0"/>
        <w:snapToGrid w:val="0"/>
        <w:jc w:val="center"/>
        <w:rPr>
          <w:kern w:val="0"/>
          <w:sz w:val="24"/>
          <w:highlight w:val="yellow"/>
          <w:u w:val="none" w:color="auto"/>
        </w:rPr>
        <w:sectPr>
          <w:footerReference r:id="rId10"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600A8084">
      <w:pPr>
        <w:pStyle w:val="29"/>
        <w:numPr>
          <w:ilvl w:val="0"/>
          <w:numId w:val="15"/>
        </w:numPr>
        <w:jc w:val="center"/>
        <w:outlineLvl w:val="0"/>
        <w:rPr>
          <w:rFonts w:ascii="Times New Roman" w:hAnsi="Times New Roman" w:eastAsia="黑体"/>
          <w:b/>
          <w:bCs/>
          <w:kern w:val="2"/>
          <w:sz w:val="30"/>
          <w:szCs w:val="30"/>
          <w:u w:val="none" w:color="auto"/>
          <w:vertAlign w:val="baseline"/>
        </w:rPr>
      </w:pPr>
      <w:bookmarkStart w:id="8" w:name="_Toc529"/>
      <w:bookmarkStart w:id="9" w:name="_Toc11235"/>
      <w:bookmarkStart w:id="10" w:name="_Toc29481"/>
      <w:r>
        <w:rPr>
          <w:rFonts w:ascii="Times New Roman" w:hAnsi="Times New Roman" w:eastAsia="黑体"/>
          <w:b/>
          <w:bCs/>
          <w:kern w:val="2"/>
          <w:sz w:val="30"/>
          <w:szCs w:val="30"/>
          <w:u w:val="none" w:color="auto"/>
        </w:rPr>
        <w:t>建设项目工程分析</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7691"/>
      </w:tblGrid>
      <w:tr w14:paraId="6471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8" w:hRule="atLeast"/>
        </w:trPr>
        <w:tc>
          <w:tcPr>
            <w:tcW w:w="826" w:type="dxa"/>
            <w:vAlign w:val="center"/>
          </w:tcPr>
          <w:p w14:paraId="7EBB432E">
            <w:pPr>
              <w:pStyle w:val="29"/>
              <w:numPr>
                <w:ilvl w:val="0"/>
                <w:numId w:val="0"/>
              </w:numPr>
              <w:jc w:val="both"/>
              <w:outlineLvl w:val="0"/>
              <w:rPr>
                <w:rFonts w:ascii="Times New Roman" w:hAnsi="Times New Roman" w:eastAsia="黑体"/>
                <w:b/>
                <w:bCs/>
                <w:kern w:val="2"/>
                <w:sz w:val="30"/>
                <w:szCs w:val="30"/>
                <w:u w:val="none" w:color="auto"/>
                <w:vertAlign w:val="baseline"/>
              </w:rPr>
            </w:pPr>
            <w:r>
              <w:rPr>
                <w:rFonts w:hint="eastAsia" w:ascii="Times New Roman" w:hAnsi="Times New Roman" w:cs="宋体"/>
                <w:sz w:val="21"/>
                <w:szCs w:val="21"/>
                <w:u w:val="none" w:color="auto"/>
              </w:rPr>
              <w:t>建设内容</w:t>
            </w:r>
          </w:p>
        </w:tc>
        <w:tc>
          <w:tcPr>
            <w:tcW w:w="7691" w:type="dxa"/>
            <w:vAlign w:val="center"/>
          </w:tcPr>
          <w:p w14:paraId="5A3527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b/>
                <w:bCs/>
                <w:sz w:val="24"/>
                <w:u w:val="none" w:color="auto"/>
              </w:rPr>
            </w:pPr>
            <w:bookmarkStart w:id="11" w:name="_Toc262219100"/>
            <w:r>
              <w:rPr>
                <w:b/>
                <w:bCs/>
                <w:sz w:val="24"/>
                <w:u w:val="none" w:color="auto"/>
              </w:rPr>
              <w:t>一、项目由来</w:t>
            </w:r>
          </w:p>
          <w:bookmarkEnd w:id="11"/>
          <w:p w14:paraId="093FA88E">
            <w:pPr>
              <w:keepNext w:val="0"/>
              <w:keepLines w:val="0"/>
              <w:pageBreakBefore w:val="0"/>
              <w:widowControl w:val="0"/>
              <w:tabs>
                <w:tab w:val="left" w:pos="5830"/>
              </w:tabs>
              <w:kinsoku/>
              <w:wordWrap/>
              <w:overflowPunct/>
              <w:topLinePunct w:val="0"/>
              <w:autoSpaceDE/>
              <w:autoSpaceDN/>
              <w:bidi w:val="0"/>
              <w:adjustRightInd w:val="0"/>
              <w:snapToGrid w:val="0"/>
              <w:spacing w:line="440" w:lineRule="exact"/>
              <w:ind w:firstLine="480" w:firstLineChars="200"/>
              <w:textAlignment w:val="auto"/>
              <w:rPr>
                <w:rFonts w:hint="default" w:eastAsia="宋体" w:cs="Times New Roman"/>
                <w:color w:val="000000"/>
                <w:sz w:val="24"/>
                <w:u w:val="none" w:color="auto"/>
                <w:lang w:val="en-US" w:eastAsia="zh-CN"/>
              </w:rPr>
            </w:pPr>
            <w:r>
              <w:rPr>
                <w:rFonts w:hint="eastAsia" w:ascii="Times New Roman" w:hAnsi="Times New Roman" w:eastAsia="宋体" w:cs="Times New Roman"/>
                <w:bCs/>
                <w:kern w:val="2"/>
                <w:sz w:val="24"/>
                <w:szCs w:val="24"/>
                <w:u w:val="none" w:color="auto"/>
                <w:lang w:val="en-US" w:eastAsia="zh-CN" w:bidi="ar-SA"/>
              </w:rPr>
              <w:t>随着国家新兴战略性产业规划的落实，新能源电池的需求迅速增长，将极大的推动锂电池市场的快速发展。因此</w:t>
            </w:r>
            <w:r>
              <w:rPr>
                <w:rFonts w:hint="eastAsia"/>
                <w:sz w:val="24"/>
                <w:u w:val="none" w:color="auto"/>
                <w:lang w:eastAsia="zh-CN"/>
              </w:rPr>
              <w:t>弘力新能源（新乡）有限公司</w:t>
            </w:r>
            <w:r>
              <w:rPr>
                <w:rFonts w:hint="eastAsia"/>
                <w:sz w:val="24"/>
                <w:u w:val="none" w:color="auto"/>
                <w:lang w:val="en-US" w:eastAsia="zh-CN"/>
              </w:rPr>
              <w:t>拟投资10000万元在</w:t>
            </w:r>
            <w:r>
              <w:rPr>
                <w:rFonts w:hint="default" w:eastAsia="宋体"/>
                <w:sz w:val="24"/>
                <w:u w:val="none" w:color="auto"/>
                <w:lang w:val="en-US" w:eastAsia="zh-CN"/>
              </w:rPr>
              <w:t>新乡市新乡高新技术产业开发区新中大道与德源路交叉口西南角</w:t>
            </w:r>
            <w:r>
              <w:rPr>
                <w:rFonts w:hint="eastAsia" w:eastAsia="宋体"/>
                <w:sz w:val="24"/>
                <w:u w:val="none" w:color="auto"/>
                <w:lang w:val="en-US" w:eastAsia="zh-CN"/>
              </w:rPr>
              <w:t>建设</w:t>
            </w:r>
            <w:r>
              <w:rPr>
                <w:rFonts w:hint="eastAsia"/>
                <w:sz w:val="24"/>
                <w:u w:val="none" w:color="auto"/>
                <w:lang w:val="en-US" w:eastAsia="zh-CN"/>
              </w:rPr>
              <w:t>年</w:t>
            </w:r>
            <w:r>
              <w:rPr>
                <w:rFonts w:hint="eastAsia" w:eastAsia="宋体"/>
                <w:sz w:val="24"/>
                <w:u w:val="none" w:color="auto"/>
                <w:lang w:eastAsia="zh-CN"/>
              </w:rPr>
              <w:t>产6亿支锂离子电池技改项目。</w:t>
            </w:r>
            <w:r>
              <w:rPr>
                <w:rFonts w:hint="eastAsia"/>
                <w:sz w:val="24"/>
                <w:u w:val="none" w:color="auto"/>
                <w:lang w:val="en-US" w:eastAsia="zh-CN"/>
              </w:rPr>
              <w:t>本项目利用厂区3#厂房作为生产车间，厂区内其他厂房（1#厂房、2#厂房、4#厂房）暂时作为企业预留厂房。</w:t>
            </w:r>
          </w:p>
          <w:p w14:paraId="75AEC628">
            <w:pPr>
              <w:keepNext w:val="0"/>
              <w:keepLines w:val="0"/>
              <w:pageBreakBefore w:val="0"/>
              <w:widowControl w:val="0"/>
              <w:tabs>
                <w:tab w:val="left" w:pos="5830"/>
              </w:tabs>
              <w:kinsoku/>
              <w:wordWrap/>
              <w:overflowPunct/>
              <w:topLinePunct w:val="0"/>
              <w:autoSpaceDE/>
              <w:autoSpaceDN/>
              <w:bidi w:val="0"/>
              <w:adjustRightInd w:val="0"/>
              <w:snapToGrid w:val="0"/>
              <w:spacing w:line="440" w:lineRule="exact"/>
              <w:ind w:firstLine="480" w:firstLineChars="200"/>
              <w:textAlignment w:val="auto"/>
              <w:rPr>
                <w:color w:val="000000" w:themeColor="text1"/>
                <w:sz w:val="24"/>
                <w:u w:val="none" w:color="auto"/>
                <w14:textFill>
                  <w14:solidFill>
                    <w14:schemeClr w14:val="tx1"/>
                  </w14:solidFill>
                </w14:textFill>
              </w:rPr>
            </w:pPr>
            <w:r>
              <w:rPr>
                <w:color w:val="000000" w:themeColor="text1"/>
                <w:sz w:val="24"/>
                <w:u w:val="none" w:color="auto"/>
                <w14:textFill>
                  <w14:solidFill>
                    <w14:schemeClr w14:val="tx1"/>
                  </w14:solidFill>
                </w14:textFill>
              </w:rPr>
              <w:t>经现场勘察，本项目设备未到位，不具备生产能力，不属于未批先建。</w:t>
            </w:r>
          </w:p>
          <w:p w14:paraId="073DB12A">
            <w:pPr>
              <w:pStyle w:val="17"/>
              <w:keepNext w:val="0"/>
              <w:keepLines w:val="0"/>
              <w:pageBreakBefore w:val="0"/>
              <w:widowControl w:val="0"/>
              <w:numPr>
                <w:ilvl w:val="0"/>
                <w:numId w:val="16"/>
              </w:numPr>
              <w:kinsoku/>
              <w:wordWrap/>
              <w:overflowPunct/>
              <w:topLinePunct w:val="0"/>
              <w:autoSpaceDE/>
              <w:autoSpaceDN/>
              <w:bidi w:val="0"/>
              <w:adjustRightInd w:val="0"/>
              <w:snapToGrid w:val="0"/>
              <w:spacing w:line="440" w:lineRule="exact"/>
              <w:ind w:left="172" w:leftChars="0" w:firstLine="458" w:firstLineChars="0"/>
              <w:jc w:val="both"/>
              <w:textAlignment w:val="baseline"/>
              <w:rPr>
                <w:rFonts w:hint="eastAsia" w:eastAsia="宋体"/>
                <w:bCs/>
                <w:color w:val="auto"/>
                <w:spacing w:val="-6"/>
                <w:sz w:val="24"/>
                <w:szCs w:val="24"/>
                <w:u w:val="none" w:color="auto"/>
                <w:lang w:val="en-US" w:eastAsia="zh-CN"/>
              </w:rPr>
            </w:pPr>
            <w:r>
              <w:rPr>
                <w:rFonts w:hint="eastAsia" w:eastAsia="宋体"/>
                <w:bCs/>
                <w:color w:val="auto"/>
                <w:spacing w:val="-6"/>
                <w:sz w:val="24"/>
                <w:szCs w:val="24"/>
                <w:u w:val="none" w:color="auto"/>
                <w:lang w:val="en-US" w:eastAsia="zh-CN"/>
              </w:rPr>
              <w:t>工程内容和规模</w:t>
            </w:r>
          </w:p>
          <w:p w14:paraId="18087314">
            <w:pPr>
              <w:keepNext w:val="0"/>
              <w:keepLines w:val="0"/>
              <w:pageBreakBefore w:val="0"/>
              <w:widowControl w:val="0"/>
              <w:numPr>
                <w:ilvl w:val="0"/>
                <w:numId w:val="17"/>
              </w:numPr>
              <w:kinsoku/>
              <w:wordWrap/>
              <w:overflowPunct/>
              <w:topLinePunct w:val="0"/>
              <w:autoSpaceDE/>
              <w:autoSpaceDN/>
              <w:bidi w:val="0"/>
              <w:spacing w:line="440" w:lineRule="exact"/>
              <w:ind w:left="480" w:leftChars="0" w:firstLine="0" w:firstLineChars="0"/>
              <w:rPr>
                <w:rFonts w:hint="eastAsia"/>
                <w:b/>
                <w:bCs/>
                <w:sz w:val="24"/>
                <w:szCs w:val="24"/>
                <w:u w:val="none" w:color="auto"/>
                <w:lang w:val="en-US" w:eastAsia="zh-CN"/>
              </w:rPr>
            </w:pPr>
            <w:r>
              <w:rPr>
                <w:rFonts w:hint="eastAsia"/>
                <w:b/>
                <w:bCs/>
                <w:sz w:val="24"/>
                <w:szCs w:val="24"/>
                <w:u w:val="none" w:color="auto"/>
                <w:lang w:val="en-US" w:eastAsia="zh-CN"/>
              </w:rPr>
              <w:t>项目概况</w:t>
            </w:r>
          </w:p>
          <w:p w14:paraId="0526AE1C">
            <w:pPr>
              <w:keepNext w:val="0"/>
              <w:keepLines w:val="0"/>
              <w:pageBreakBefore w:val="0"/>
              <w:widowControl w:val="0"/>
              <w:numPr>
                <w:ilvl w:val="0"/>
                <w:numId w:val="0"/>
              </w:numPr>
              <w:kinsoku/>
              <w:wordWrap/>
              <w:overflowPunct/>
              <w:topLinePunct w:val="0"/>
              <w:autoSpaceDE/>
              <w:autoSpaceDN/>
              <w:bidi w:val="0"/>
              <w:spacing w:line="440" w:lineRule="exact"/>
              <w:ind w:left="480" w:leftChars="0"/>
              <w:rPr>
                <w:rFonts w:hint="eastAsia"/>
                <w:b w:val="0"/>
                <w:bCs w:val="0"/>
                <w:sz w:val="24"/>
                <w:szCs w:val="24"/>
                <w:u w:val="none" w:color="auto"/>
                <w:lang w:val="en-US" w:eastAsia="zh-CN"/>
              </w:rPr>
            </w:pPr>
            <w:r>
              <w:rPr>
                <w:rFonts w:hint="eastAsia"/>
                <w:b w:val="0"/>
                <w:bCs w:val="0"/>
                <w:sz w:val="24"/>
                <w:szCs w:val="24"/>
                <w:u w:val="none" w:color="auto"/>
                <w:lang w:val="en-US" w:eastAsia="zh-CN"/>
              </w:rPr>
              <w:t>项目的基本情况见表2-1。</w:t>
            </w:r>
          </w:p>
          <w:p w14:paraId="4E377BF1">
            <w:pPr>
              <w:pStyle w:val="17"/>
              <w:keepNext w:val="0"/>
              <w:keepLines w:val="0"/>
              <w:pageBreakBefore w:val="0"/>
              <w:widowControl w:val="0"/>
              <w:kinsoku/>
              <w:wordWrap/>
              <w:overflowPunct/>
              <w:topLinePunct w:val="0"/>
              <w:autoSpaceDE/>
              <w:autoSpaceDN/>
              <w:bidi w:val="0"/>
              <w:adjustRightInd w:val="0"/>
              <w:snapToGrid w:val="0"/>
              <w:spacing w:line="440" w:lineRule="exact"/>
              <w:ind w:firstLine="458" w:firstLineChars="200"/>
              <w:textAlignment w:val="baseline"/>
              <w:rPr>
                <w:rFonts w:hint="eastAsia" w:eastAsia="宋体"/>
                <w:bCs/>
                <w:color w:val="auto"/>
                <w:spacing w:val="-6"/>
                <w:sz w:val="24"/>
                <w:szCs w:val="24"/>
                <w:u w:val="none" w:color="auto"/>
                <w:lang w:val="pt-BR"/>
              </w:rPr>
            </w:pPr>
            <w:r>
              <w:rPr>
                <w:rFonts w:hint="eastAsia" w:eastAsia="宋体"/>
                <w:bCs/>
                <w:color w:val="auto"/>
                <w:spacing w:val="-6"/>
                <w:sz w:val="24"/>
                <w:szCs w:val="24"/>
                <w:u w:val="none" w:color="auto"/>
              </w:rPr>
              <w:t xml:space="preserve">表2-1  </w:t>
            </w:r>
            <w:r>
              <w:rPr>
                <w:rFonts w:hint="eastAsia" w:eastAsia="宋体"/>
                <w:bCs/>
                <w:color w:val="auto"/>
                <w:spacing w:val="-6"/>
                <w:sz w:val="24"/>
                <w:szCs w:val="24"/>
                <w:u w:val="none" w:color="auto"/>
                <w:lang w:val="en-US" w:eastAsia="zh-CN"/>
              </w:rPr>
              <w:t xml:space="preserve">  </w:t>
            </w:r>
            <w:r>
              <w:rPr>
                <w:rFonts w:hint="eastAsia" w:eastAsia="宋体"/>
                <w:bCs/>
                <w:color w:val="auto"/>
                <w:spacing w:val="-6"/>
                <w:sz w:val="24"/>
                <w:szCs w:val="24"/>
                <w:u w:val="none" w:color="auto"/>
                <w:lang w:val="pt-BR"/>
              </w:rPr>
              <w:t>项目</w:t>
            </w:r>
            <w:r>
              <w:rPr>
                <w:rFonts w:hint="eastAsia" w:eastAsia="宋体"/>
                <w:bCs/>
                <w:color w:val="auto"/>
                <w:spacing w:val="-6"/>
                <w:sz w:val="24"/>
                <w:szCs w:val="24"/>
                <w:u w:val="none" w:color="auto"/>
                <w:lang w:val="en-US" w:eastAsia="zh-CN"/>
              </w:rPr>
              <w:t>基本情况</w:t>
            </w:r>
            <w:r>
              <w:rPr>
                <w:rFonts w:hint="eastAsia" w:eastAsia="宋体"/>
                <w:bCs/>
                <w:color w:val="auto"/>
                <w:spacing w:val="-6"/>
                <w:sz w:val="24"/>
                <w:szCs w:val="24"/>
                <w:u w:val="none" w:color="auto"/>
                <w:lang w:val="pt-BR"/>
              </w:rPr>
              <w:t>表</w:t>
            </w:r>
          </w:p>
          <w:tbl>
            <w:tblPr>
              <w:tblStyle w:val="32"/>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4"/>
              <w:gridCol w:w="4777"/>
            </w:tblGrid>
            <w:tr w14:paraId="47D0802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4" w:type="dxa"/>
                  <w:tcBorders>
                    <w:left w:val="nil"/>
                    <w:bottom w:val="single" w:color="auto" w:sz="8" w:space="0"/>
                  </w:tcBorders>
                  <w:noWrap w:val="0"/>
                  <w:vAlign w:val="center"/>
                </w:tcPr>
                <w:p w14:paraId="7E11CB2B">
                  <w:pPr>
                    <w:jc w:val="center"/>
                    <w:rPr>
                      <w:b/>
                      <w:sz w:val="21"/>
                      <w:szCs w:val="21"/>
                      <w:u w:val="none" w:color="auto"/>
                      <w:lang w:val="pt-BR"/>
                    </w:rPr>
                  </w:pPr>
                  <w:r>
                    <w:rPr>
                      <w:b/>
                      <w:sz w:val="21"/>
                      <w:szCs w:val="21"/>
                      <w:u w:val="none" w:color="auto"/>
                      <w:lang w:val="pt-BR"/>
                    </w:rPr>
                    <w:t>序号</w:t>
                  </w:r>
                </w:p>
              </w:tc>
              <w:tc>
                <w:tcPr>
                  <w:tcW w:w="1864" w:type="dxa"/>
                  <w:tcBorders>
                    <w:bottom w:val="single" w:color="auto" w:sz="8" w:space="0"/>
                  </w:tcBorders>
                  <w:noWrap w:val="0"/>
                  <w:vAlign w:val="center"/>
                </w:tcPr>
                <w:p w14:paraId="3B05925C">
                  <w:pPr>
                    <w:jc w:val="center"/>
                    <w:rPr>
                      <w:b/>
                      <w:sz w:val="21"/>
                      <w:szCs w:val="21"/>
                      <w:u w:val="none" w:color="auto"/>
                      <w:lang w:val="pt-BR"/>
                    </w:rPr>
                  </w:pPr>
                  <w:r>
                    <w:rPr>
                      <w:b/>
                      <w:sz w:val="21"/>
                      <w:szCs w:val="21"/>
                      <w:u w:val="none" w:color="auto"/>
                      <w:lang w:val="pt-BR"/>
                    </w:rPr>
                    <w:t>项目</w:t>
                  </w:r>
                </w:p>
              </w:tc>
              <w:tc>
                <w:tcPr>
                  <w:tcW w:w="4777" w:type="dxa"/>
                  <w:tcBorders>
                    <w:bottom w:val="single" w:color="auto" w:sz="8" w:space="0"/>
                    <w:right w:val="nil"/>
                  </w:tcBorders>
                  <w:noWrap w:val="0"/>
                  <w:vAlign w:val="center"/>
                </w:tcPr>
                <w:p w14:paraId="5F395751">
                  <w:pPr>
                    <w:jc w:val="center"/>
                    <w:rPr>
                      <w:b/>
                      <w:sz w:val="21"/>
                      <w:szCs w:val="21"/>
                      <w:u w:val="none" w:color="auto"/>
                      <w:lang w:val="pt-BR"/>
                    </w:rPr>
                  </w:pPr>
                  <w:r>
                    <w:rPr>
                      <w:b/>
                      <w:sz w:val="21"/>
                      <w:szCs w:val="21"/>
                      <w:u w:val="none" w:color="auto"/>
                      <w:lang w:val="pt-BR"/>
                    </w:rPr>
                    <w:t>内容</w:t>
                  </w:r>
                </w:p>
              </w:tc>
            </w:tr>
            <w:tr w14:paraId="0864E1D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4" w:type="dxa"/>
                  <w:tcBorders>
                    <w:top w:val="single" w:color="auto" w:sz="8" w:space="0"/>
                    <w:tl2br w:val="nil"/>
                    <w:tr2bl w:val="nil"/>
                  </w:tcBorders>
                  <w:noWrap w:val="0"/>
                  <w:vAlign w:val="center"/>
                </w:tcPr>
                <w:p w14:paraId="2E79B5DC">
                  <w:pPr>
                    <w:jc w:val="center"/>
                    <w:rPr>
                      <w:sz w:val="21"/>
                      <w:szCs w:val="21"/>
                      <w:u w:val="none" w:color="auto"/>
                    </w:rPr>
                  </w:pPr>
                  <w:r>
                    <w:rPr>
                      <w:sz w:val="21"/>
                      <w:szCs w:val="21"/>
                      <w:u w:val="none" w:color="auto"/>
                    </w:rPr>
                    <w:t>1</w:t>
                  </w:r>
                </w:p>
              </w:tc>
              <w:tc>
                <w:tcPr>
                  <w:tcW w:w="1864" w:type="dxa"/>
                  <w:tcBorders>
                    <w:top w:val="single" w:color="auto" w:sz="8" w:space="0"/>
                    <w:tl2br w:val="nil"/>
                    <w:tr2bl w:val="nil"/>
                  </w:tcBorders>
                  <w:noWrap w:val="0"/>
                  <w:vAlign w:val="center"/>
                </w:tcPr>
                <w:p w14:paraId="10E88A69">
                  <w:pPr>
                    <w:jc w:val="center"/>
                    <w:rPr>
                      <w:sz w:val="21"/>
                      <w:szCs w:val="21"/>
                      <w:u w:val="none" w:color="auto"/>
                    </w:rPr>
                  </w:pPr>
                  <w:r>
                    <w:rPr>
                      <w:sz w:val="21"/>
                      <w:szCs w:val="21"/>
                      <w:u w:val="none" w:color="auto"/>
                    </w:rPr>
                    <w:t>项目名称</w:t>
                  </w:r>
                </w:p>
              </w:tc>
              <w:tc>
                <w:tcPr>
                  <w:tcW w:w="4777" w:type="dxa"/>
                  <w:tcBorders>
                    <w:top w:val="single" w:color="auto" w:sz="8" w:space="0"/>
                    <w:tl2br w:val="nil"/>
                    <w:tr2bl w:val="nil"/>
                  </w:tcBorders>
                  <w:noWrap w:val="0"/>
                  <w:vAlign w:val="center"/>
                </w:tcPr>
                <w:p w14:paraId="759398D1">
                  <w:pPr>
                    <w:jc w:val="center"/>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sz w:val="21"/>
                      <w:szCs w:val="21"/>
                      <w:u w:val="none" w:color="auto"/>
                      <w:lang w:val="en-US" w:eastAsia="zh-CN"/>
                    </w:rPr>
                    <w:t>年</w:t>
                  </w:r>
                  <w:r>
                    <w:rPr>
                      <w:rFonts w:hint="eastAsia" w:ascii="Times New Roman" w:hAnsi="Times New Roman" w:eastAsia="宋体" w:cs="Times New Roman"/>
                      <w:sz w:val="21"/>
                      <w:szCs w:val="21"/>
                      <w:u w:val="none" w:color="auto"/>
                      <w:lang w:eastAsia="zh-CN"/>
                    </w:rPr>
                    <w:t>产6亿支锂离子电池技改项目</w:t>
                  </w:r>
                </w:p>
              </w:tc>
            </w:tr>
            <w:tr w14:paraId="4F1BA8C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34" w:type="dxa"/>
                  <w:tcBorders>
                    <w:tl2br w:val="nil"/>
                    <w:tr2bl w:val="nil"/>
                  </w:tcBorders>
                  <w:noWrap w:val="0"/>
                  <w:vAlign w:val="center"/>
                </w:tcPr>
                <w:p w14:paraId="10B60C81">
                  <w:pPr>
                    <w:jc w:val="center"/>
                    <w:rPr>
                      <w:sz w:val="21"/>
                      <w:szCs w:val="21"/>
                      <w:u w:val="none" w:color="auto"/>
                    </w:rPr>
                  </w:pPr>
                  <w:r>
                    <w:rPr>
                      <w:sz w:val="21"/>
                      <w:szCs w:val="21"/>
                      <w:u w:val="none" w:color="auto"/>
                    </w:rPr>
                    <w:t>2</w:t>
                  </w:r>
                </w:p>
              </w:tc>
              <w:tc>
                <w:tcPr>
                  <w:tcW w:w="1864" w:type="dxa"/>
                  <w:tcBorders>
                    <w:tl2br w:val="nil"/>
                    <w:tr2bl w:val="nil"/>
                  </w:tcBorders>
                  <w:noWrap w:val="0"/>
                  <w:vAlign w:val="center"/>
                </w:tcPr>
                <w:p w14:paraId="3444A6C3">
                  <w:pPr>
                    <w:jc w:val="center"/>
                    <w:rPr>
                      <w:sz w:val="21"/>
                      <w:szCs w:val="21"/>
                      <w:u w:val="none" w:color="auto"/>
                    </w:rPr>
                  </w:pPr>
                  <w:r>
                    <w:rPr>
                      <w:sz w:val="21"/>
                      <w:szCs w:val="21"/>
                      <w:u w:val="none" w:color="auto"/>
                    </w:rPr>
                    <w:t>建设单位</w:t>
                  </w:r>
                </w:p>
              </w:tc>
              <w:tc>
                <w:tcPr>
                  <w:tcW w:w="4777" w:type="dxa"/>
                  <w:tcBorders>
                    <w:tl2br w:val="nil"/>
                    <w:tr2bl w:val="nil"/>
                  </w:tcBorders>
                  <w:noWrap w:val="0"/>
                  <w:vAlign w:val="center"/>
                </w:tcPr>
                <w:p w14:paraId="5B43772E">
                  <w:pPr>
                    <w:jc w:val="center"/>
                    <w:rPr>
                      <w:rFonts w:hint="eastAsia" w:ascii="Times New Roman" w:hAnsi="Times New Roman" w:eastAsia="宋体" w:cs="Times New Roman"/>
                      <w:sz w:val="21"/>
                      <w:szCs w:val="21"/>
                      <w:u w:val="none" w:color="auto"/>
                      <w:lang w:eastAsia="zh-CN"/>
                    </w:rPr>
                  </w:pPr>
                  <w:r>
                    <w:rPr>
                      <w:rFonts w:hint="eastAsia" w:ascii="Times New Roman" w:hAnsi="Times New Roman" w:eastAsia="宋体" w:cs="Times New Roman"/>
                      <w:sz w:val="21"/>
                      <w:szCs w:val="21"/>
                      <w:u w:val="none" w:color="auto"/>
                      <w:lang w:eastAsia="zh-CN"/>
                    </w:rPr>
                    <w:t>弘力新能源（新乡）有限公司</w:t>
                  </w:r>
                </w:p>
              </w:tc>
            </w:tr>
            <w:tr w14:paraId="0145AF9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4" w:type="dxa"/>
                  <w:tcBorders>
                    <w:tl2br w:val="nil"/>
                    <w:tr2bl w:val="nil"/>
                  </w:tcBorders>
                  <w:noWrap w:val="0"/>
                  <w:vAlign w:val="center"/>
                </w:tcPr>
                <w:p w14:paraId="2A2D6465">
                  <w:pPr>
                    <w:jc w:val="center"/>
                    <w:rPr>
                      <w:sz w:val="21"/>
                      <w:szCs w:val="21"/>
                      <w:u w:val="none" w:color="auto"/>
                    </w:rPr>
                  </w:pPr>
                  <w:r>
                    <w:rPr>
                      <w:sz w:val="21"/>
                      <w:szCs w:val="21"/>
                      <w:u w:val="none" w:color="auto"/>
                    </w:rPr>
                    <w:t>3</w:t>
                  </w:r>
                </w:p>
              </w:tc>
              <w:tc>
                <w:tcPr>
                  <w:tcW w:w="1864" w:type="dxa"/>
                  <w:tcBorders>
                    <w:tl2br w:val="nil"/>
                    <w:tr2bl w:val="nil"/>
                  </w:tcBorders>
                  <w:noWrap w:val="0"/>
                  <w:vAlign w:val="center"/>
                </w:tcPr>
                <w:p w14:paraId="6F08BC70">
                  <w:pPr>
                    <w:jc w:val="center"/>
                    <w:rPr>
                      <w:rFonts w:hint="default" w:eastAsia="宋体"/>
                      <w:sz w:val="21"/>
                      <w:szCs w:val="21"/>
                      <w:u w:val="none" w:color="auto"/>
                      <w:lang w:val="en-US" w:eastAsia="zh-CN"/>
                    </w:rPr>
                  </w:pPr>
                  <w:r>
                    <w:rPr>
                      <w:rFonts w:hint="eastAsia"/>
                      <w:sz w:val="21"/>
                      <w:szCs w:val="21"/>
                      <w:u w:val="none" w:color="auto"/>
                      <w:lang w:val="en-US" w:eastAsia="zh-CN"/>
                    </w:rPr>
                    <w:t>建设规模</w:t>
                  </w:r>
                </w:p>
              </w:tc>
              <w:tc>
                <w:tcPr>
                  <w:tcW w:w="4777" w:type="dxa"/>
                  <w:tcBorders>
                    <w:tl2br w:val="nil"/>
                    <w:tr2bl w:val="nil"/>
                  </w:tcBorders>
                  <w:noWrap w:val="0"/>
                  <w:vAlign w:val="center"/>
                </w:tcPr>
                <w:p w14:paraId="3CA04550">
                  <w:pPr>
                    <w:jc w:val="center"/>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sz w:val="21"/>
                      <w:szCs w:val="21"/>
                      <w:u w:val="none" w:color="auto"/>
                      <w:lang w:val="en-US" w:eastAsia="zh-CN"/>
                    </w:rPr>
                    <w:t>年产</w:t>
                  </w:r>
                  <w:r>
                    <w:rPr>
                      <w:rFonts w:hint="eastAsia" w:ascii="Times New Roman" w:hAnsi="Times New Roman" w:eastAsia="宋体" w:cs="Times New Roman"/>
                      <w:sz w:val="21"/>
                      <w:szCs w:val="21"/>
                      <w:u w:val="none" w:color="auto"/>
                      <w:lang w:eastAsia="zh-CN"/>
                    </w:rPr>
                    <w:t>6亿支锂离子电池</w:t>
                  </w:r>
                </w:p>
              </w:tc>
            </w:tr>
            <w:tr w14:paraId="5CBB086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4" w:type="dxa"/>
                  <w:tcBorders>
                    <w:tl2br w:val="nil"/>
                    <w:tr2bl w:val="nil"/>
                  </w:tcBorders>
                  <w:noWrap w:val="0"/>
                  <w:vAlign w:val="center"/>
                </w:tcPr>
                <w:p w14:paraId="12E2E4F7">
                  <w:pPr>
                    <w:jc w:val="center"/>
                    <w:rPr>
                      <w:sz w:val="21"/>
                      <w:szCs w:val="21"/>
                      <w:u w:val="none" w:color="auto"/>
                    </w:rPr>
                  </w:pPr>
                  <w:r>
                    <w:rPr>
                      <w:sz w:val="21"/>
                      <w:szCs w:val="21"/>
                      <w:u w:val="none" w:color="auto"/>
                    </w:rPr>
                    <w:t>4</w:t>
                  </w:r>
                </w:p>
              </w:tc>
              <w:tc>
                <w:tcPr>
                  <w:tcW w:w="1864" w:type="dxa"/>
                  <w:tcBorders>
                    <w:tl2br w:val="nil"/>
                    <w:tr2bl w:val="nil"/>
                  </w:tcBorders>
                  <w:noWrap w:val="0"/>
                  <w:vAlign w:val="center"/>
                </w:tcPr>
                <w:p w14:paraId="46E4DAA4">
                  <w:pPr>
                    <w:jc w:val="center"/>
                    <w:rPr>
                      <w:rFonts w:hint="default"/>
                      <w:sz w:val="21"/>
                      <w:szCs w:val="21"/>
                      <w:u w:val="none" w:color="auto"/>
                      <w:lang w:val="en-US" w:eastAsia="zh-CN"/>
                    </w:rPr>
                  </w:pPr>
                  <w:r>
                    <w:rPr>
                      <w:rFonts w:hint="eastAsia"/>
                      <w:sz w:val="21"/>
                      <w:szCs w:val="21"/>
                      <w:u w:val="none" w:color="auto"/>
                      <w:lang w:val="en-US" w:eastAsia="zh-CN"/>
                    </w:rPr>
                    <w:t>建设性质</w:t>
                  </w:r>
                </w:p>
              </w:tc>
              <w:tc>
                <w:tcPr>
                  <w:tcW w:w="4777" w:type="dxa"/>
                  <w:tcBorders>
                    <w:tl2br w:val="nil"/>
                    <w:tr2bl w:val="nil"/>
                  </w:tcBorders>
                  <w:noWrap w:val="0"/>
                  <w:vAlign w:val="center"/>
                </w:tcPr>
                <w:p w14:paraId="69BDD244">
                  <w:pPr>
                    <w:jc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改</w:t>
                  </w:r>
                  <w:r>
                    <w:rPr>
                      <w:rFonts w:hint="eastAsia" w:ascii="Times New Roman" w:hAnsi="Times New Roman" w:eastAsia="宋体" w:cs="Times New Roman"/>
                      <w:sz w:val="21"/>
                      <w:szCs w:val="21"/>
                      <w:u w:val="none" w:color="auto"/>
                      <w:lang w:val="en-US" w:eastAsia="zh-CN"/>
                    </w:rPr>
                    <w:t>建</w:t>
                  </w:r>
                </w:p>
              </w:tc>
            </w:tr>
            <w:tr w14:paraId="3BB0A6C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4" w:type="dxa"/>
                  <w:tcBorders>
                    <w:tl2br w:val="nil"/>
                    <w:tr2bl w:val="nil"/>
                  </w:tcBorders>
                  <w:noWrap w:val="0"/>
                  <w:vAlign w:val="center"/>
                </w:tcPr>
                <w:p w14:paraId="5EBA3FE8">
                  <w:pPr>
                    <w:jc w:val="center"/>
                    <w:rPr>
                      <w:sz w:val="21"/>
                      <w:szCs w:val="21"/>
                      <w:u w:val="none" w:color="auto"/>
                    </w:rPr>
                  </w:pPr>
                  <w:r>
                    <w:rPr>
                      <w:sz w:val="21"/>
                      <w:szCs w:val="21"/>
                      <w:u w:val="none" w:color="auto"/>
                    </w:rPr>
                    <w:t>5</w:t>
                  </w:r>
                </w:p>
              </w:tc>
              <w:tc>
                <w:tcPr>
                  <w:tcW w:w="1864" w:type="dxa"/>
                  <w:tcBorders>
                    <w:tl2br w:val="nil"/>
                    <w:tr2bl w:val="nil"/>
                  </w:tcBorders>
                  <w:noWrap w:val="0"/>
                  <w:vAlign w:val="center"/>
                </w:tcPr>
                <w:p w14:paraId="5B8517CB">
                  <w:pPr>
                    <w:jc w:val="center"/>
                    <w:rPr>
                      <w:sz w:val="21"/>
                      <w:szCs w:val="21"/>
                      <w:u w:val="none" w:color="auto"/>
                    </w:rPr>
                  </w:pPr>
                  <w:r>
                    <w:rPr>
                      <w:sz w:val="21"/>
                      <w:szCs w:val="21"/>
                      <w:u w:val="none" w:color="auto"/>
                    </w:rPr>
                    <w:t>项目地址</w:t>
                  </w:r>
                </w:p>
              </w:tc>
              <w:tc>
                <w:tcPr>
                  <w:tcW w:w="4777" w:type="dxa"/>
                  <w:tcBorders>
                    <w:tl2br w:val="nil"/>
                    <w:tr2bl w:val="nil"/>
                  </w:tcBorders>
                  <w:noWrap w:val="0"/>
                  <w:vAlign w:val="center"/>
                </w:tcPr>
                <w:p w14:paraId="524D039E">
                  <w:pPr>
                    <w:jc w:val="center"/>
                    <w:rPr>
                      <w:rFonts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新乡市新乡高新技术产业开发区新中大道与德源路交叉口西南角</w:t>
                  </w:r>
                </w:p>
              </w:tc>
            </w:tr>
            <w:tr w14:paraId="44EE0F8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4" w:type="dxa"/>
                  <w:tcBorders>
                    <w:tl2br w:val="nil"/>
                    <w:tr2bl w:val="nil"/>
                  </w:tcBorders>
                  <w:noWrap w:val="0"/>
                  <w:vAlign w:val="center"/>
                </w:tcPr>
                <w:p w14:paraId="683F1E5C">
                  <w:pPr>
                    <w:jc w:val="center"/>
                    <w:rPr>
                      <w:sz w:val="21"/>
                      <w:szCs w:val="21"/>
                      <w:u w:val="none" w:color="auto"/>
                    </w:rPr>
                  </w:pPr>
                  <w:r>
                    <w:rPr>
                      <w:rFonts w:hint="eastAsia"/>
                      <w:sz w:val="21"/>
                      <w:szCs w:val="21"/>
                      <w:u w:val="none" w:color="auto"/>
                      <w:lang w:val="en-US" w:eastAsia="zh-CN"/>
                    </w:rPr>
                    <w:t>6</w:t>
                  </w:r>
                </w:p>
              </w:tc>
              <w:tc>
                <w:tcPr>
                  <w:tcW w:w="1864" w:type="dxa"/>
                  <w:tcBorders>
                    <w:tl2br w:val="nil"/>
                    <w:tr2bl w:val="nil"/>
                  </w:tcBorders>
                  <w:noWrap w:val="0"/>
                  <w:vAlign w:val="center"/>
                </w:tcPr>
                <w:p w14:paraId="06CF4F5D">
                  <w:pPr>
                    <w:jc w:val="center"/>
                    <w:rPr>
                      <w:color w:val="0000FF"/>
                      <w:sz w:val="21"/>
                      <w:szCs w:val="21"/>
                      <w:u w:val="none" w:color="auto"/>
                    </w:rPr>
                  </w:pPr>
                  <w:r>
                    <w:rPr>
                      <w:color w:val="000000" w:themeColor="text1"/>
                      <w:sz w:val="21"/>
                      <w:szCs w:val="21"/>
                      <w:u w:val="none" w:color="auto"/>
                      <w14:textFill>
                        <w14:solidFill>
                          <w14:schemeClr w14:val="tx1"/>
                        </w14:solidFill>
                      </w14:textFill>
                    </w:rPr>
                    <w:t>占地面积</w:t>
                  </w:r>
                </w:p>
              </w:tc>
              <w:tc>
                <w:tcPr>
                  <w:tcW w:w="4777" w:type="dxa"/>
                  <w:tcBorders>
                    <w:tl2br w:val="nil"/>
                    <w:tr2bl w:val="nil"/>
                  </w:tcBorders>
                  <w:noWrap w:val="0"/>
                  <w:vAlign w:val="center"/>
                </w:tcPr>
                <w:p w14:paraId="29AAE803">
                  <w:pPr>
                    <w:jc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51000</w:t>
                  </w:r>
                </w:p>
              </w:tc>
            </w:tr>
            <w:tr w14:paraId="749B03A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4" w:type="dxa"/>
                  <w:tcBorders>
                    <w:tl2br w:val="nil"/>
                    <w:tr2bl w:val="nil"/>
                  </w:tcBorders>
                  <w:noWrap w:val="0"/>
                  <w:vAlign w:val="center"/>
                </w:tcPr>
                <w:p w14:paraId="24CD84E0">
                  <w:pPr>
                    <w:jc w:val="center"/>
                    <w:rPr>
                      <w:rFonts w:hint="eastAsia" w:eastAsia="宋体"/>
                      <w:sz w:val="21"/>
                      <w:szCs w:val="21"/>
                      <w:u w:val="none" w:color="auto"/>
                      <w:lang w:val="en-US" w:eastAsia="zh-CN"/>
                    </w:rPr>
                  </w:pPr>
                  <w:r>
                    <w:rPr>
                      <w:rFonts w:hint="eastAsia"/>
                      <w:sz w:val="21"/>
                      <w:szCs w:val="21"/>
                      <w:u w:val="none" w:color="auto"/>
                      <w:lang w:val="en-US" w:eastAsia="zh-CN"/>
                    </w:rPr>
                    <w:t>7</w:t>
                  </w:r>
                </w:p>
              </w:tc>
              <w:tc>
                <w:tcPr>
                  <w:tcW w:w="1864" w:type="dxa"/>
                  <w:tcBorders>
                    <w:tl2br w:val="nil"/>
                    <w:tr2bl w:val="nil"/>
                  </w:tcBorders>
                  <w:noWrap w:val="0"/>
                  <w:vAlign w:val="center"/>
                </w:tcPr>
                <w:p w14:paraId="0527F692">
                  <w:pPr>
                    <w:jc w:val="center"/>
                    <w:rPr>
                      <w:sz w:val="21"/>
                      <w:szCs w:val="21"/>
                      <w:u w:val="none" w:color="auto"/>
                    </w:rPr>
                  </w:pPr>
                  <w:r>
                    <w:rPr>
                      <w:sz w:val="21"/>
                      <w:szCs w:val="21"/>
                      <w:u w:val="none" w:color="auto"/>
                    </w:rPr>
                    <w:t>总投资</w:t>
                  </w:r>
                </w:p>
              </w:tc>
              <w:tc>
                <w:tcPr>
                  <w:tcW w:w="4777" w:type="dxa"/>
                  <w:tcBorders>
                    <w:tl2br w:val="nil"/>
                    <w:tr2bl w:val="nil"/>
                  </w:tcBorders>
                  <w:noWrap w:val="0"/>
                  <w:vAlign w:val="center"/>
                </w:tcPr>
                <w:p w14:paraId="21EBBE0D">
                  <w:pPr>
                    <w:jc w:val="center"/>
                    <w:rPr>
                      <w:rFonts w:ascii="Times New Roman" w:hAnsi="Times New Roman" w:eastAsia="宋体" w:cs="Times New Roman"/>
                      <w:sz w:val="21"/>
                      <w:szCs w:val="21"/>
                      <w:u w:val="none" w:color="auto"/>
                    </w:rPr>
                  </w:pPr>
                  <w:r>
                    <w:rPr>
                      <w:rFonts w:hint="eastAsia" w:ascii="Times New Roman" w:hAnsi="Times New Roman" w:eastAsia="宋体" w:cs="Times New Roman"/>
                      <w:sz w:val="21"/>
                      <w:szCs w:val="21"/>
                      <w:u w:val="none" w:color="auto"/>
                      <w:lang w:val="en-US" w:eastAsia="zh-CN"/>
                    </w:rPr>
                    <w:t>10000</w:t>
                  </w:r>
                  <w:r>
                    <w:rPr>
                      <w:rFonts w:hint="eastAsia" w:ascii="Times New Roman" w:hAnsi="Times New Roman" w:eastAsia="宋体" w:cs="Times New Roman"/>
                      <w:sz w:val="21"/>
                      <w:szCs w:val="21"/>
                      <w:u w:val="none" w:color="auto"/>
                    </w:rPr>
                    <w:t>万元</w:t>
                  </w:r>
                </w:p>
              </w:tc>
            </w:tr>
            <w:tr w14:paraId="68E3552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4" w:type="dxa"/>
                  <w:tcBorders>
                    <w:tl2br w:val="nil"/>
                    <w:tr2bl w:val="nil"/>
                  </w:tcBorders>
                  <w:noWrap w:val="0"/>
                  <w:vAlign w:val="center"/>
                </w:tcPr>
                <w:p w14:paraId="5BEC85F7">
                  <w:pPr>
                    <w:jc w:val="center"/>
                    <w:rPr>
                      <w:rFonts w:hint="eastAsia" w:eastAsia="宋体"/>
                      <w:sz w:val="21"/>
                      <w:szCs w:val="21"/>
                      <w:u w:val="none" w:color="auto"/>
                      <w:lang w:val="en-US" w:eastAsia="zh-CN"/>
                    </w:rPr>
                  </w:pPr>
                  <w:r>
                    <w:rPr>
                      <w:rFonts w:hint="eastAsia"/>
                      <w:sz w:val="21"/>
                      <w:szCs w:val="21"/>
                      <w:u w:val="none" w:color="auto"/>
                      <w:lang w:val="en-US" w:eastAsia="zh-CN"/>
                    </w:rPr>
                    <w:t>8</w:t>
                  </w:r>
                </w:p>
              </w:tc>
              <w:tc>
                <w:tcPr>
                  <w:tcW w:w="1864" w:type="dxa"/>
                  <w:tcBorders>
                    <w:tl2br w:val="nil"/>
                    <w:tr2bl w:val="nil"/>
                  </w:tcBorders>
                  <w:noWrap w:val="0"/>
                  <w:vAlign w:val="center"/>
                </w:tcPr>
                <w:p w14:paraId="0D85E0C7">
                  <w:pPr>
                    <w:jc w:val="center"/>
                    <w:rPr>
                      <w:sz w:val="21"/>
                      <w:szCs w:val="21"/>
                      <w:u w:val="none" w:color="auto"/>
                    </w:rPr>
                  </w:pPr>
                  <w:r>
                    <w:rPr>
                      <w:sz w:val="21"/>
                      <w:szCs w:val="21"/>
                      <w:u w:val="none" w:color="auto"/>
                    </w:rPr>
                    <w:t>定员与工作制度</w:t>
                  </w:r>
                </w:p>
              </w:tc>
              <w:tc>
                <w:tcPr>
                  <w:tcW w:w="4777" w:type="dxa"/>
                  <w:tcBorders>
                    <w:tl2br w:val="nil"/>
                    <w:tr2bl w:val="nil"/>
                  </w:tcBorders>
                  <w:noWrap w:val="0"/>
                  <w:vAlign w:val="center"/>
                </w:tcPr>
                <w:p w14:paraId="26845E9E">
                  <w:pPr>
                    <w:jc w:val="center"/>
                    <w:rPr>
                      <w:rFonts w:hint="default" w:ascii="Times New Roman" w:hAnsi="Times New Roman" w:eastAsia="宋体" w:cs="Times New Roman"/>
                      <w:sz w:val="21"/>
                      <w:szCs w:val="21"/>
                      <w:u w:val="none" w:color="auto"/>
                      <w:lang w:val="en-US"/>
                    </w:rPr>
                  </w:pPr>
                  <w:r>
                    <w:rPr>
                      <w:rFonts w:hint="eastAsia" w:ascii="Times New Roman" w:hAnsi="Times New Roman" w:eastAsia="宋体" w:cs="Times New Roman"/>
                      <w:sz w:val="21"/>
                      <w:szCs w:val="21"/>
                      <w:u w:val="none" w:color="auto"/>
                    </w:rPr>
                    <w:t>本项目定员</w:t>
                  </w:r>
                  <w:r>
                    <w:rPr>
                      <w:rFonts w:hint="eastAsia" w:cs="Times New Roman"/>
                      <w:sz w:val="21"/>
                      <w:szCs w:val="21"/>
                      <w:u w:val="none" w:color="auto"/>
                      <w:lang w:val="en-US" w:eastAsia="zh-CN"/>
                    </w:rPr>
                    <w:t>150</w:t>
                  </w:r>
                  <w:r>
                    <w:rPr>
                      <w:rFonts w:hint="eastAsia" w:ascii="Times New Roman" w:hAnsi="Times New Roman" w:eastAsia="宋体" w:cs="Times New Roman"/>
                      <w:sz w:val="21"/>
                      <w:szCs w:val="21"/>
                      <w:u w:val="none" w:color="auto"/>
                    </w:rPr>
                    <w:t>人，</w:t>
                  </w:r>
                  <w:r>
                    <w:rPr>
                      <w:rFonts w:hint="eastAsia" w:ascii="Times New Roman" w:hAnsi="Times New Roman" w:eastAsia="宋体" w:cs="Times New Roman"/>
                      <w:sz w:val="21"/>
                      <w:szCs w:val="21"/>
                      <w:u w:val="none" w:color="auto"/>
                      <w:lang w:val="en-US" w:eastAsia="zh-CN"/>
                    </w:rPr>
                    <w:t>三班生产，每班8小时，年工作日330天</w:t>
                  </w:r>
                </w:p>
              </w:tc>
            </w:tr>
          </w:tbl>
          <w:p w14:paraId="74FE9072">
            <w:pPr>
              <w:autoSpaceDE w:val="0"/>
              <w:autoSpaceDN w:val="0"/>
              <w:adjustRightInd w:val="0"/>
              <w:snapToGrid w:val="0"/>
              <w:spacing w:line="360" w:lineRule="auto"/>
              <w:ind w:firstLine="482" w:firstLineChars="200"/>
              <w:rPr>
                <w:b/>
                <w:sz w:val="24"/>
                <w:u w:val="none" w:color="auto"/>
              </w:rPr>
            </w:pPr>
            <w:r>
              <w:rPr>
                <w:rFonts w:hint="eastAsia"/>
                <w:b/>
                <w:sz w:val="24"/>
                <w:u w:val="none" w:color="auto"/>
                <w:lang w:val="en-US" w:eastAsia="zh-CN"/>
              </w:rPr>
              <w:t>2</w:t>
            </w:r>
            <w:r>
              <w:rPr>
                <w:rFonts w:hint="eastAsia"/>
                <w:b/>
                <w:sz w:val="24"/>
                <w:u w:val="none" w:color="auto"/>
              </w:rPr>
              <w:t>、</w:t>
            </w:r>
            <w:r>
              <w:rPr>
                <w:b/>
                <w:sz w:val="24"/>
                <w:u w:val="none" w:color="auto"/>
                <w:lang w:val="zh-CN"/>
              </w:rPr>
              <w:t>项目</w:t>
            </w:r>
            <w:r>
              <w:rPr>
                <w:rFonts w:hint="eastAsia"/>
                <w:b/>
                <w:sz w:val="24"/>
                <w:u w:val="none" w:color="auto"/>
              </w:rPr>
              <w:t>组成</w:t>
            </w:r>
            <w:r>
              <w:rPr>
                <w:b/>
                <w:sz w:val="24"/>
                <w:u w:val="none" w:color="auto"/>
                <w:lang w:val="zh-CN"/>
              </w:rPr>
              <w:t>及主要内容</w:t>
            </w:r>
          </w:p>
          <w:p w14:paraId="2EDA40A0">
            <w:pPr>
              <w:autoSpaceDE w:val="0"/>
              <w:autoSpaceDN w:val="0"/>
              <w:adjustRightInd w:val="0"/>
              <w:snapToGrid w:val="0"/>
              <w:spacing w:line="360" w:lineRule="auto"/>
              <w:ind w:firstLine="480" w:firstLineChars="200"/>
              <w:rPr>
                <w:sz w:val="24"/>
                <w:u w:val="none" w:color="auto"/>
                <w:lang w:val="zh-CN"/>
              </w:rPr>
            </w:pPr>
            <w:r>
              <w:rPr>
                <w:sz w:val="24"/>
                <w:u w:val="none" w:color="auto"/>
                <w:lang w:val="zh-CN"/>
              </w:rPr>
              <w:t>本项目主要建设内容见下表。</w:t>
            </w:r>
          </w:p>
          <w:p w14:paraId="6FC2B7BB">
            <w:pPr>
              <w:pStyle w:val="17"/>
              <w:keepNext w:val="0"/>
              <w:adjustRightInd w:val="0"/>
              <w:snapToGrid w:val="0"/>
              <w:ind w:firstLine="458" w:firstLineChars="200"/>
              <w:textAlignment w:val="baseline"/>
              <w:rPr>
                <w:rFonts w:eastAsia="宋体"/>
                <w:bCs/>
                <w:color w:val="auto"/>
                <w:spacing w:val="-6"/>
                <w:sz w:val="24"/>
                <w:szCs w:val="24"/>
                <w:u w:val="none" w:color="auto"/>
              </w:rPr>
            </w:pPr>
            <w:r>
              <w:rPr>
                <w:rFonts w:hint="eastAsia" w:eastAsia="宋体"/>
                <w:bCs/>
                <w:color w:val="auto"/>
                <w:spacing w:val="-6"/>
                <w:sz w:val="24"/>
                <w:szCs w:val="24"/>
                <w:u w:val="none" w:color="auto"/>
              </w:rPr>
              <w:t xml:space="preserve">表2-2  </w:t>
            </w:r>
            <w:r>
              <w:rPr>
                <w:rFonts w:hint="eastAsia" w:eastAsia="宋体"/>
                <w:bCs/>
                <w:color w:val="auto"/>
                <w:spacing w:val="-6"/>
                <w:sz w:val="24"/>
                <w:szCs w:val="24"/>
                <w:u w:val="none" w:color="auto"/>
                <w:lang w:val="en-US" w:eastAsia="zh-CN"/>
              </w:rPr>
              <w:t xml:space="preserve">  </w:t>
            </w:r>
            <w:r>
              <w:rPr>
                <w:rFonts w:eastAsia="宋体"/>
                <w:bCs/>
                <w:color w:val="auto"/>
                <w:spacing w:val="-6"/>
                <w:sz w:val="24"/>
                <w:szCs w:val="24"/>
                <w:u w:val="none" w:color="auto"/>
              </w:rPr>
              <w:t>本项目组成及主要内容一览表</w:t>
            </w:r>
          </w:p>
          <w:tbl>
            <w:tblPr>
              <w:tblStyle w:val="32"/>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53"/>
              <w:gridCol w:w="663"/>
              <w:gridCol w:w="854"/>
              <w:gridCol w:w="4326"/>
              <w:gridCol w:w="1079"/>
            </w:tblGrid>
            <w:tr w14:paraId="5133995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369" w:type="pct"/>
                  <w:tcBorders>
                    <w:bottom w:val="single" w:color="auto" w:sz="8" w:space="0"/>
                  </w:tcBorders>
                  <w:vAlign w:val="center"/>
                </w:tcPr>
                <w:p w14:paraId="2C205467">
                  <w:pPr>
                    <w:adjustRightInd w:val="0"/>
                    <w:snapToGrid w:val="0"/>
                    <w:jc w:val="center"/>
                    <w:rPr>
                      <w:b/>
                      <w:color w:val="000000" w:themeColor="text1"/>
                      <w:kern w:val="36"/>
                      <w:szCs w:val="21"/>
                      <w:u w:val="none" w:color="auto"/>
                      <w14:textFill>
                        <w14:solidFill>
                          <w14:schemeClr w14:val="tx1"/>
                        </w14:solidFill>
                      </w14:textFill>
                    </w:rPr>
                  </w:pPr>
                  <w:r>
                    <w:rPr>
                      <w:rFonts w:hint="eastAsia"/>
                      <w:b/>
                      <w:color w:val="000000" w:themeColor="text1"/>
                      <w:kern w:val="36"/>
                      <w:szCs w:val="21"/>
                      <w:u w:val="none" w:color="auto"/>
                      <w14:textFill>
                        <w14:solidFill>
                          <w14:schemeClr w14:val="tx1"/>
                        </w14:solidFill>
                      </w14:textFill>
                    </w:rPr>
                    <w:t>序号</w:t>
                  </w:r>
                </w:p>
              </w:tc>
              <w:tc>
                <w:tcPr>
                  <w:tcW w:w="443" w:type="pct"/>
                  <w:tcBorders>
                    <w:bottom w:val="single" w:color="auto" w:sz="8" w:space="0"/>
                  </w:tcBorders>
                  <w:vAlign w:val="center"/>
                </w:tcPr>
                <w:p w14:paraId="00FCFD6D">
                  <w:pPr>
                    <w:adjustRightInd w:val="0"/>
                    <w:snapToGrid w:val="0"/>
                    <w:jc w:val="center"/>
                    <w:rPr>
                      <w:b/>
                      <w:color w:val="000000" w:themeColor="text1"/>
                      <w:kern w:val="36"/>
                      <w:szCs w:val="21"/>
                      <w:u w:val="none" w:color="auto"/>
                      <w14:textFill>
                        <w14:solidFill>
                          <w14:schemeClr w14:val="tx1"/>
                        </w14:solidFill>
                      </w14:textFill>
                    </w:rPr>
                  </w:pPr>
                  <w:r>
                    <w:rPr>
                      <w:rFonts w:hint="eastAsia"/>
                      <w:b/>
                      <w:color w:val="000000" w:themeColor="text1"/>
                      <w:kern w:val="36"/>
                      <w:szCs w:val="21"/>
                      <w:u w:val="none" w:color="auto"/>
                      <w14:textFill>
                        <w14:solidFill>
                          <w14:schemeClr w14:val="tx1"/>
                        </w14:solidFill>
                      </w14:textFill>
                    </w:rPr>
                    <w:t>项目</w:t>
                  </w:r>
                </w:p>
              </w:tc>
              <w:tc>
                <w:tcPr>
                  <w:tcW w:w="571" w:type="pct"/>
                  <w:tcBorders>
                    <w:bottom w:val="single" w:color="auto" w:sz="8" w:space="0"/>
                  </w:tcBorders>
                  <w:vAlign w:val="center"/>
                </w:tcPr>
                <w:p w14:paraId="3166EFCD">
                  <w:pPr>
                    <w:adjustRightInd w:val="0"/>
                    <w:snapToGrid w:val="0"/>
                    <w:jc w:val="center"/>
                    <w:rPr>
                      <w:b/>
                      <w:color w:val="000000" w:themeColor="text1"/>
                      <w:kern w:val="36"/>
                      <w:szCs w:val="21"/>
                      <w:u w:val="none" w:color="auto"/>
                      <w14:textFill>
                        <w14:solidFill>
                          <w14:schemeClr w14:val="tx1"/>
                        </w14:solidFill>
                      </w14:textFill>
                    </w:rPr>
                  </w:pPr>
                  <w:r>
                    <w:rPr>
                      <w:rFonts w:hint="eastAsia"/>
                      <w:b/>
                      <w:color w:val="000000" w:themeColor="text1"/>
                      <w:kern w:val="36"/>
                      <w:szCs w:val="21"/>
                      <w:u w:val="none" w:color="auto"/>
                      <w14:textFill>
                        <w14:solidFill>
                          <w14:schemeClr w14:val="tx1"/>
                        </w14:solidFill>
                      </w14:textFill>
                    </w:rPr>
                    <w:t>建设内容</w:t>
                  </w:r>
                </w:p>
              </w:tc>
              <w:tc>
                <w:tcPr>
                  <w:tcW w:w="2893" w:type="pct"/>
                  <w:tcBorders>
                    <w:bottom w:val="single" w:color="auto" w:sz="8" w:space="0"/>
                  </w:tcBorders>
                  <w:vAlign w:val="center"/>
                </w:tcPr>
                <w:p w14:paraId="6EAEC95D">
                  <w:pPr>
                    <w:adjustRightInd w:val="0"/>
                    <w:snapToGrid w:val="0"/>
                    <w:jc w:val="center"/>
                    <w:rPr>
                      <w:b/>
                      <w:color w:val="000000" w:themeColor="text1"/>
                      <w:kern w:val="36"/>
                      <w:szCs w:val="21"/>
                      <w:u w:val="none" w:color="auto"/>
                      <w14:textFill>
                        <w14:solidFill>
                          <w14:schemeClr w14:val="tx1"/>
                        </w14:solidFill>
                      </w14:textFill>
                    </w:rPr>
                  </w:pPr>
                  <w:r>
                    <w:rPr>
                      <w:rFonts w:hint="eastAsia"/>
                      <w:b/>
                      <w:color w:val="000000" w:themeColor="text1"/>
                      <w:kern w:val="36"/>
                      <w:szCs w:val="21"/>
                      <w:u w:val="none" w:color="auto"/>
                      <w14:textFill>
                        <w14:solidFill>
                          <w14:schemeClr w14:val="tx1"/>
                        </w14:solidFill>
                      </w14:textFill>
                    </w:rPr>
                    <w:t>数量、规模或要求</w:t>
                  </w:r>
                </w:p>
              </w:tc>
              <w:tc>
                <w:tcPr>
                  <w:tcW w:w="721" w:type="pct"/>
                  <w:tcBorders>
                    <w:bottom w:val="single" w:color="auto" w:sz="8" w:space="0"/>
                  </w:tcBorders>
                  <w:vAlign w:val="center"/>
                </w:tcPr>
                <w:p w14:paraId="41B4F569">
                  <w:pPr>
                    <w:adjustRightInd w:val="0"/>
                    <w:snapToGrid w:val="0"/>
                    <w:jc w:val="center"/>
                    <w:rPr>
                      <w:b/>
                      <w:color w:val="000000" w:themeColor="text1"/>
                      <w:kern w:val="36"/>
                      <w:szCs w:val="21"/>
                      <w:u w:val="none" w:color="auto"/>
                      <w14:textFill>
                        <w14:solidFill>
                          <w14:schemeClr w14:val="tx1"/>
                        </w14:solidFill>
                      </w14:textFill>
                    </w:rPr>
                  </w:pPr>
                  <w:r>
                    <w:rPr>
                      <w:rFonts w:hint="eastAsia"/>
                      <w:b/>
                      <w:color w:val="000000" w:themeColor="text1"/>
                      <w:kern w:val="36"/>
                      <w:szCs w:val="21"/>
                      <w:u w:val="none" w:color="auto"/>
                      <w14:textFill>
                        <w14:solidFill>
                          <w14:schemeClr w14:val="tx1"/>
                        </w14:solidFill>
                      </w14:textFill>
                    </w:rPr>
                    <w:t>备注</w:t>
                  </w:r>
                </w:p>
              </w:tc>
            </w:tr>
            <w:tr w14:paraId="579CCBA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69" w:type="pct"/>
                  <w:tcBorders>
                    <w:top w:val="single" w:color="auto" w:sz="8" w:space="0"/>
                    <w:tl2br w:val="nil"/>
                    <w:tr2bl w:val="nil"/>
                  </w:tcBorders>
                  <w:vAlign w:val="center"/>
                </w:tcPr>
                <w:p w14:paraId="3BB7D8D9">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14:textFill>
                        <w14:solidFill>
                          <w14:schemeClr w14:val="tx1"/>
                        </w14:solidFill>
                      </w14:textFill>
                    </w:rPr>
                    <w:t>1</w:t>
                  </w:r>
                </w:p>
              </w:tc>
              <w:tc>
                <w:tcPr>
                  <w:tcW w:w="443" w:type="pct"/>
                  <w:tcBorders>
                    <w:top w:val="single" w:color="auto" w:sz="8" w:space="0"/>
                    <w:tl2br w:val="nil"/>
                    <w:tr2bl w:val="nil"/>
                  </w:tcBorders>
                  <w:vAlign w:val="center"/>
                </w:tcPr>
                <w:p w14:paraId="5281F552">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14:textFill>
                        <w14:solidFill>
                          <w14:schemeClr w14:val="tx1"/>
                        </w14:solidFill>
                      </w14:textFill>
                    </w:rPr>
                    <w:t>主体工程</w:t>
                  </w:r>
                </w:p>
              </w:tc>
              <w:tc>
                <w:tcPr>
                  <w:tcW w:w="571" w:type="pct"/>
                  <w:tcBorders>
                    <w:top w:val="single" w:color="auto" w:sz="8" w:space="0"/>
                    <w:tl2br w:val="nil"/>
                    <w:tr2bl w:val="nil"/>
                  </w:tcBorders>
                  <w:vAlign w:val="center"/>
                </w:tcPr>
                <w:p w14:paraId="7EF81A38">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14:textFill>
                        <w14:solidFill>
                          <w14:schemeClr w14:val="tx1"/>
                        </w14:solidFill>
                      </w14:textFill>
                    </w:rPr>
                    <w:t>生产车间</w:t>
                  </w:r>
                </w:p>
              </w:tc>
              <w:tc>
                <w:tcPr>
                  <w:tcW w:w="2893" w:type="pct"/>
                  <w:tcBorders>
                    <w:top w:val="single" w:color="auto" w:sz="8" w:space="0"/>
                    <w:tl2br w:val="nil"/>
                    <w:tr2bl w:val="nil"/>
                  </w:tcBorders>
                  <w:vAlign w:val="center"/>
                </w:tcPr>
                <w:p w14:paraId="2E9562D0">
                  <w:pPr>
                    <w:adjustRightInd w:val="0"/>
                    <w:snapToGrid w:val="0"/>
                    <w:jc w:val="center"/>
                    <w:rPr>
                      <w:rFonts w:hint="default" w:eastAsia="宋体"/>
                      <w:color w:val="000000" w:themeColor="text1"/>
                      <w:kern w:val="36"/>
                      <w:szCs w:val="21"/>
                      <w:u w:val="none" w:color="auto"/>
                      <w:lang w:val="en-US" w:eastAsia="zh-CN"/>
                      <w14:textFill>
                        <w14:solidFill>
                          <w14:schemeClr w14:val="tx1"/>
                        </w14:solidFill>
                      </w14:textFill>
                    </w:rPr>
                  </w:pPr>
                  <w:r>
                    <w:rPr>
                      <w:rFonts w:hint="eastAsia"/>
                      <w:color w:val="000000" w:themeColor="text1"/>
                      <w:kern w:val="36"/>
                      <w:szCs w:val="21"/>
                      <w:u w:val="none" w:color="auto"/>
                      <w14:textFill>
                        <w14:solidFill>
                          <w14:schemeClr w14:val="tx1"/>
                        </w14:solidFill>
                      </w14:textFill>
                    </w:rPr>
                    <w:t>一座</w:t>
                  </w:r>
                  <w:r>
                    <w:rPr>
                      <w:rFonts w:hint="eastAsia"/>
                      <w:color w:val="000000" w:themeColor="text1"/>
                      <w:kern w:val="36"/>
                      <w:szCs w:val="21"/>
                      <w:u w:val="none" w:color="auto"/>
                      <w:lang w:val="en-US" w:eastAsia="zh-CN"/>
                      <w14:textFill>
                        <w14:solidFill>
                          <w14:schemeClr w14:val="tx1"/>
                        </w14:solidFill>
                      </w14:textFill>
                    </w:rPr>
                    <w:t>本项目占用厂区3#车间，1层，建筑面积42445.78m</w:t>
                  </w:r>
                  <w:r>
                    <w:rPr>
                      <w:rFonts w:hint="eastAsia"/>
                      <w:color w:val="000000" w:themeColor="text1"/>
                      <w:kern w:val="36"/>
                      <w:szCs w:val="21"/>
                      <w:u w:val="none" w:color="auto"/>
                      <w:vertAlign w:val="superscript"/>
                      <w:lang w:val="en-US" w:eastAsia="zh-CN"/>
                      <w14:textFill>
                        <w14:solidFill>
                          <w14:schemeClr w14:val="tx1"/>
                        </w14:solidFill>
                      </w14:textFill>
                    </w:rPr>
                    <w:t>2</w:t>
                  </w:r>
                </w:p>
              </w:tc>
              <w:tc>
                <w:tcPr>
                  <w:tcW w:w="721" w:type="pct"/>
                  <w:tcBorders>
                    <w:top w:val="single" w:color="auto" w:sz="8" w:space="0"/>
                    <w:tl2br w:val="nil"/>
                    <w:tr2bl w:val="nil"/>
                  </w:tcBorders>
                  <w:vAlign w:val="center"/>
                </w:tcPr>
                <w:p w14:paraId="79299F35">
                  <w:pPr>
                    <w:adjustRightInd w:val="0"/>
                    <w:snapToGrid w:val="0"/>
                    <w:jc w:val="center"/>
                    <w:rPr>
                      <w:rFonts w:hint="default" w:eastAsia="宋体"/>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利用厂区现有车间</w:t>
                  </w:r>
                </w:p>
              </w:tc>
            </w:tr>
            <w:tr w14:paraId="4FCEF34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69" w:type="pct"/>
                  <w:tcBorders>
                    <w:tl2br w:val="nil"/>
                    <w:tr2bl w:val="nil"/>
                  </w:tcBorders>
                  <w:vAlign w:val="center"/>
                </w:tcPr>
                <w:p w14:paraId="2ACF1D99">
                  <w:pPr>
                    <w:adjustRightInd w:val="0"/>
                    <w:snapToGrid w:val="0"/>
                    <w:jc w:val="center"/>
                    <w:rPr>
                      <w:rFonts w:hint="eastAsia"/>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lang w:val="en-US" w:eastAsia="zh-CN"/>
                      <w14:textFill>
                        <w14:solidFill>
                          <w14:schemeClr w14:val="tx1"/>
                        </w14:solidFill>
                      </w14:textFill>
                    </w:rPr>
                    <w:t>2</w:t>
                  </w:r>
                </w:p>
              </w:tc>
              <w:tc>
                <w:tcPr>
                  <w:tcW w:w="443" w:type="pct"/>
                  <w:tcBorders>
                    <w:tl2br w:val="nil"/>
                    <w:tr2bl w:val="nil"/>
                  </w:tcBorders>
                  <w:vAlign w:val="center"/>
                </w:tcPr>
                <w:p w14:paraId="5C0E0C56">
                  <w:pPr>
                    <w:adjustRightInd w:val="0"/>
                    <w:snapToGrid w:val="0"/>
                    <w:jc w:val="center"/>
                    <w:rPr>
                      <w:rFonts w:hint="default" w:eastAsia="宋体"/>
                      <w:color w:val="000000" w:themeColor="text1"/>
                      <w:kern w:val="36"/>
                      <w:szCs w:val="21"/>
                      <w:u w:val="none" w:color="auto"/>
                      <w:lang w:val="en-US" w:eastAsia="zh-CN"/>
                      <w14:textFill>
                        <w14:solidFill>
                          <w14:schemeClr w14:val="tx1"/>
                        </w14:solidFill>
                      </w14:textFill>
                    </w:rPr>
                  </w:pPr>
                  <w:r>
                    <w:rPr>
                      <w:rFonts w:hint="eastAsia"/>
                      <w:color w:val="000000" w:themeColor="text1"/>
                      <w:kern w:val="36"/>
                      <w:szCs w:val="21"/>
                      <w:u w:val="none" w:color="auto"/>
                      <w:lang w:val="en-US" w:eastAsia="zh-CN"/>
                      <w14:textFill>
                        <w14:solidFill>
                          <w14:schemeClr w14:val="tx1"/>
                        </w14:solidFill>
                      </w14:textFill>
                    </w:rPr>
                    <w:t>辅助工程</w:t>
                  </w:r>
                </w:p>
              </w:tc>
              <w:tc>
                <w:tcPr>
                  <w:tcW w:w="571" w:type="pct"/>
                  <w:tcBorders>
                    <w:tl2br w:val="nil"/>
                    <w:tr2bl w:val="nil"/>
                  </w:tcBorders>
                  <w:vAlign w:val="center"/>
                </w:tcPr>
                <w:p w14:paraId="226682DD">
                  <w:pPr>
                    <w:adjustRightInd w:val="0"/>
                    <w:snapToGrid w:val="0"/>
                    <w:jc w:val="center"/>
                    <w:rPr>
                      <w:rFonts w:hint="default" w:eastAsia="宋体"/>
                      <w:color w:val="000000" w:themeColor="text1"/>
                      <w:kern w:val="36"/>
                      <w:szCs w:val="21"/>
                      <w:u w:val="none" w:color="auto"/>
                      <w:lang w:val="en-US" w:eastAsia="zh-CN"/>
                      <w14:textFill>
                        <w14:solidFill>
                          <w14:schemeClr w14:val="tx1"/>
                        </w14:solidFill>
                      </w14:textFill>
                    </w:rPr>
                  </w:pPr>
                  <w:r>
                    <w:rPr>
                      <w:rFonts w:hint="eastAsia"/>
                      <w:color w:val="000000" w:themeColor="text1"/>
                      <w:kern w:val="36"/>
                      <w:szCs w:val="21"/>
                      <w:u w:val="none" w:color="auto"/>
                      <w:lang w:val="en-US" w:eastAsia="zh-CN"/>
                      <w14:textFill>
                        <w14:solidFill>
                          <w14:schemeClr w14:val="tx1"/>
                        </w14:solidFill>
                      </w14:textFill>
                    </w:rPr>
                    <w:t>办公楼</w:t>
                  </w:r>
                </w:p>
              </w:tc>
              <w:tc>
                <w:tcPr>
                  <w:tcW w:w="2893" w:type="pct"/>
                  <w:tcBorders>
                    <w:tl2br w:val="nil"/>
                    <w:tr2bl w:val="nil"/>
                  </w:tcBorders>
                  <w:vAlign w:val="center"/>
                </w:tcPr>
                <w:p w14:paraId="155EA12A">
                  <w:pPr>
                    <w:adjustRightInd w:val="0"/>
                    <w:snapToGrid w:val="0"/>
                    <w:jc w:val="center"/>
                    <w:rPr>
                      <w:rFonts w:hint="default" w:eastAsia="宋体"/>
                      <w:color w:val="000000" w:themeColor="text1"/>
                      <w:kern w:val="36"/>
                      <w:szCs w:val="21"/>
                      <w:u w:val="none" w:color="auto"/>
                      <w:lang w:val="en-US" w:eastAsia="zh-CN"/>
                      <w14:textFill>
                        <w14:solidFill>
                          <w14:schemeClr w14:val="tx1"/>
                        </w14:solidFill>
                      </w14:textFill>
                    </w:rPr>
                  </w:pPr>
                  <w:r>
                    <w:rPr>
                      <w:rFonts w:hint="eastAsia"/>
                      <w:color w:val="000000" w:themeColor="text1"/>
                      <w:kern w:val="36"/>
                      <w:szCs w:val="21"/>
                      <w:u w:val="none" w:color="auto"/>
                      <w:lang w:val="en-US" w:eastAsia="zh-CN"/>
                      <w14:textFill>
                        <w14:solidFill>
                          <w14:schemeClr w14:val="tx1"/>
                        </w14:solidFill>
                      </w14:textFill>
                    </w:rPr>
                    <w:t>一座，3层，建筑面积5202.32m</w:t>
                  </w:r>
                  <w:r>
                    <w:rPr>
                      <w:rFonts w:hint="eastAsia"/>
                      <w:color w:val="000000" w:themeColor="text1"/>
                      <w:kern w:val="36"/>
                      <w:szCs w:val="21"/>
                      <w:u w:val="none" w:color="auto"/>
                      <w:vertAlign w:val="superscript"/>
                      <w:lang w:val="en-US" w:eastAsia="zh-CN"/>
                      <w14:textFill>
                        <w14:solidFill>
                          <w14:schemeClr w14:val="tx1"/>
                        </w14:solidFill>
                      </w14:textFill>
                    </w:rPr>
                    <w:t>2</w:t>
                  </w:r>
                </w:p>
              </w:tc>
              <w:tc>
                <w:tcPr>
                  <w:tcW w:w="721" w:type="pct"/>
                  <w:tcBorders>
                    <w:tl2br w:val="nil"/>
                    <w:tr2bl w:val="nil"/>
                  </w:tcBorders>
                  <w:vAlign w:val="center"/>
                </w:tcPr>
                <w:p w14:paraId="61736885">
                  <w:pPr>
                    <w:adjustRightInd w:val="0"/>
                    <w:snapToGrid w:val="0"/>
                    <w:jc w:val="center"/>
                    <w:rPr>
                      <w:rFonts w:hint="default"/>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利用厂区现有办公楼</w:t>
                  </w:r>
                </w:p>
              </w:tc>
            </w:tr>
            <w:tr w14:paraId="663ABF2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69" w:type="pct"/>
                  <w:vMerge w:val="restart"/>
                  <w:tcBorders>
                    <w:tl2br w:val="nil"/>
                    <w:tr2bl w:val="nil"/>
                  </w:tcBorders>
                  <w:vAlign w:val="center"/>
                </w:tcPr>
                <w:p w14:paraId="05AA84C2">
                  <w:pPr>
                    <w:adjustRightInd w:val="0"/>
                    <w:snapToGrid w:val="0"/>
                    <w:jc w:val="center"/>
                    <w:rPr>
                      <w:rFonts w:hint="eastAsia" w:eastAsia="宋体"/>
                      <w:color w:val="000000" w:themeColor="text1"/>
                      <w:kern w:val="36"/>
                      <w:szCs w:val="21"/>
                      <w:u w:val="none" w:color="auto"/>
                      <w:lang w:eastAsia="zh-CN"/>
                      <w14:textFill>
                        <w14:solidFill>
                          <w14:schemeClr w14:val="tx1"/>
                        </w14:solidFill>
                      </w14:textFill>
                    </w:rPr>
                  </w:pPr>
                  <w:r>
                    <w:rPr>
                      <w:rFonts w:hint="eastAsia"/>
                      <w:color w:val="000000" w:themeColor="text1"/>
                      <w:kern w:val="36"/>
                      <w:szCs w:val="21"/>
                      <w:u w:val="none" w:color="auto"/>
                      <w:lang w:val="en-US" w:eastAsia="zh-CN"/>
                      <w14:textFill>
                        <w14:solidFill>
                          <w14:schemeClr w14:val="tx1"/>
                        </w14:solidFill>
                      </w14:textFill>
                    </w:rPr>
                    <w:t>3</w:t>
                  </w:r>
                </w:p>
              </w:tc>
              <w:tc>
                <w:tcPr>
                  <w:tcW w:w="443" w:type="pct"/>
                  <w:vMerge w:val="restart"/>
                  <w:tcBorders>
                    <w:tl2br w:val="nil"/>
                    <w:tr2bl w:val="nil"/>
                  </w:tcBorders>
                  <w:vAlign w:val="center"/>
                </w:tcPr>
                <w:p w14:paraId="21D4F1B2">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14:textFill>
                        <w14:solidFill>
                          <w14:schemeClr w14:val="tx1"/>
                        </w14:solidFill>
                      </w14:textFill>
                    </w:rPr>
                    <w:t>储运工程</w:t>
                  </w:r>
                </w:p>
              </w:tc>
              <w:tc>
                <w:tcPr>
                  <w:tcW w:w="571" w:type="pct"/>
                  <w:tcBorders>
                    <w:tl2br w:val="nil"/>
                    <w:tr2bl w:val="nil"/>
                  </w:tcBorders>
                  <w:vAlign w:val="center"/>
                </w:tcPr>
                <w:p w14:paraId="3EFFCD69">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14:textFill>
                        <w14:solidFill>
                          <w14:schemeClr w14:val="tx1"/>
                        </w14:solidFill>
                      </w14:textFill>
                    </w:rPr>
                    <w:t>成品库</w:t>
                  </w:r>
                </w:p>
              </w:tc>
              <w:tc>
                <w:tcPr>
                  <w:tcW w:w="2893" w:type="pct"/>
                  <w:tcBorders>
                    <w:tl2br w:val="nil"/>
                    <w:tr2bl w:val="nil"/>
                  </w:tcBorders>
                  <w:vAlign w:val="center"/>
                </w:tcPr>
                <w:p w14:paraId="02AF68A6">
                  <w:pPr>
                    <w:adjustRightInd w:val="0"/>
                    <w:snapToGrid w:val="0"/>
                    <w:jc w:val="center"/>
                    <w:rPr>
                      <w:rFonts w:hint="default" w:eastAsia="宋体"/>
                      <w:color w:val="0000FF"/>
                      <w:kern w:val="36"/>
                      <w:szCs w:val="21"/>
                      <w:u w:val="none" w:color="auto"/>
                      <w:lang w:val="en-US" w:eastAsia="zh-CN"/>
                    </w:rPr>
                  </w:pPr>
                  <w:r>
                    <w:rPr>
                      <w:rFonts w:hint="eastAsia"/>
                      <w:color w:val="000000" w:themeColor="text1"/>
                      <w:kern w:val="36"/>
                      <w:szCs w:val="21"/>
                      <w:u w:val="none" w:color="auto"/>
                      <w14:textFill>
                        <w14:solidFill>
                          <w14:schemeClr w14:val="tx1"/>
                        </w14:solidFill>
                      </w14:textFill>
                    </w:rPr>
                    <w:t>一座，</w:t>
                  </w:r>
                  <w:r>
                    <w:rPr>
                      <w:rFonts w:hint="eastAsia"/>
                      <w:color w:val="000000" w:themeColor="text1"/>
                      <w:kern w:val="36"/>
                      <w:szCs w:val="21"/>
                      <w:u w:val="none" w:color="auto"/>
                      <w:lang w:val="en-US" w:eastAsia="zh-CN"/>
                      <w14:textFill>
                        <w14:solidFill>
                          <w14:schemeClr w14:val="tx1"/>
                        </w14:solidFill>
                      </w14:textFill>
                    </w:rPr>
                    <w:t>1</w:t>
                  </w:r>
                  <w:r>
                    <w:rPr>
                      <w:rFonts w:hint="eastAsia"/>
                      <w:color w:val="000000" w:themeColor="text1"/>
                      <w:kern w:val="36"/>
                      <w:szCs w:val="21"/>
                      <w:u w:val="none" w:color="auto"/>
                      <w14:textFill>
                        <w14:solidFill>
                          <w14:schemeClr w14:val="tx1"/>
                        </w14:solidFill>
                      </w14:textFill>
                    </w:rPr>
                    <w:t>层，建筑面积</w:t>
                  </w:r>
                  <w:r>
                    <w:rPr>
                      <w:rFonts w:hint="eastAsia"/>
                      <w:color w:val="000000" w:themeColor="text1"/>
                      <w:kern w:val="36"/>
                      <w:szCs w:val="21"/>
                      <w:u w:val="none" w:color="auto"/>
                      <w:lang w:val="en-US" w:eastAsia="zh-CN"/>
                      <w14:textFill>
                        <w14:solidFill>
                          <w14:schemeClr w14:val="tx1"/>
                        </w14:solidFill>
                      </w14:textFill>
                    </w:rPr>
                    <w:t>2500</w:t>
                  </w:r>
                  <w:r>
                    <w:rPr>
                      <w:rFonts w:hint="eastAsia"/>
                      <w:color w:val="000000" w:themeColor="text1"/>
                      <w:kern w:val="36"/>
                      <w:szCs w:val="21"/>
                      <w:u w:val="none" w:color="auto"/>
                      <w14:textFill>
                        <w14:solidFill>
                          <w14:schemeClr w14:val="tx1"/>
                        </w14:solidFill>
                      </w14:textFill>
                    </w:rPr>
                    <w:t>m</w:t>
                  </w:r>
                  <w:r>
                    <w:rPr>
                      <w:rFonts w:hint="eastAsia"/>
                      <w:color w:val="000000" w:themeColor="text1"/>
                      <w:kern w:val="36"/>
                      <w:szCs w:val="21"/>
                      <w:u w:val="none" w:color="auto"/>
                      <w:vertAlign w:val="superscript"/>
                      <w14:textFill>
                        <w14:solidFill>
                          <w14:schemeClr w14:val="tx1"/>
                        </w14:solidFill>
                      </w14:textFill>
                    </w:rPr>
                    <w:t>2</w:t>
                  </w:r>
                  <w:r>
                    <w:rPr>
                      <w:rFonts w:hint="eastAsia"/>
                      <w:color w:val="000000" w:themeColor="text1"/>
                      <w:kern w:val="36"/>
                      <w:szCs w:val="21"/>
                      <w:u w:val="none" w:color="auto"/>
                      <w14:textFill>
                        <w14:solidFill>
                          <w14:schemeClr w14:val="tx1"/>
                        </w14:solidFill>
                      </w14:textFill>
                    </w:rPr>
                    <w:t>，位于</w:t>
                  </w:r>
                  <w:r>
                    <w:rPr>
                      <w:rFonts w:hint="eastAsia"/>
                      <w:color w:val="000000" w:themeColor="text1"/>
                      <w:kern w:val="36"/>
                      <w:szCs w:val="21"/>
                      <w:u w:val="none" w:color="auto"/>
                      <w:lang w:val="en-US" w:eastAsia="zh-CN"/>
                      <w14:textFill>
                        <w14:solidFill>
                          <w14:schemeClr w14:val="tx1"/>
                        </w14:solidFill>
                      </w14:textFill>
                    </w:rPr>
                    <w:t>生产车间内</w:t>
                  </w:r>
                </w:p>
              </w:tc>
              <w:tc>
                <w:tcPr>
                  <w:tcW w:w="721" w:type="pct"/>
                  <w:tcBorders>
                    <w:tl2br w:val="nil"/>
                    <w:tr2bl w:val="nil"/>
                  </w:tcBorders>
                  <w:vAlign w:val="center"/>
                </w:tcPr>
                <w:p w14:paraId="726CD9AB">
                  <w:pPr>
                    <w:adjustRightInd w:val="0"/>
                    <w:snapToGrid w:val="0"/>
                    <w:jc w:val="center"/>
                    <w:rPr>
                      <w:rFonts w:hint="default" w:eastAsia="宋体"/>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利用厂区现有车间</w:t>
                  </w:r>
                </w:p>
              </w:tc>
            </w:tr>
            <w:tr w14:paraId="105B939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69" w:type="pct"/>
                  <w:vMerge w:val="continue"/>
                  <w:tcBorders>
                    <w:tl2br w:val="nil"/>
                    <w:tr2bl w:val="nil"/>
                  </w:tcBorders>
                  <w:vAlign w:val="center"/>
                </w:tcPr>
                <w:p w14:paraId="55747542">
                  <w:pPr>
                    <w:adjustRightInd w:val="0"/>
                    <w:snapToGrid w:val="0"/>
                    <w:jc w:val="center"/>
                    <w:rPr>
                      <w:color w:val="000000" w:themeColor="text1"/>
                      <w:kern w:val="36"/>
                      <w:szCs w:val="21"/>
                      <w:u w:val="none" w:color="auto"/>
                      <w14:textFill>
                        <w14:solidFill>
                          <w14:schemeClr w14:val="tx1"/>
                        </w14:solidFill>
                      </w14:textFill>
                    </w:rPr>
                  </w:pPr>
                </w:p>
              </w:tc>
              <w:tc>
                <w:tcPr>
                  <w:tcW w:w="443" w:type="pct"/>
                  <w:vMerge w:val="continue"/>
                  <w:tcBorders>
                    <w:tl2br w:val="nil"/>
                    <w:tr2bl w:val="nil"/>
                  </w:tcBorders>
                  <w:vAlign w:val="center"/>
                </w:tcPr>
                <w:p w14:paraId="53DDA3E5">
                  <w:pPr>
                    <w:adjustRightInd w:val="0"/>
                    <w:snapToGrid w:val="0"/>
                    <w:jc w:val="center"/>
                    <w:rPr>
                      <w:color w:val="000000" w:themeColor="text1"/>
                      <w:kern w:val="36"/>
                      <w:szCs w:val="21"/>
                      <w:u w:val="none" w:color="auto"/>
                      <w14:textFill>
                        <w14:solidFill>
                          <w14:schemeClr w14:val="tx1"/>
                        </w14:solidFill>
                      </w14:textFill>
                    </w:rPr>
                  </w:pPr>
                </w:p>
              </w:tc>
              <w:tc>
                <w:tcPr>
                  <w:tcW w:w="571" w:type="pct"/>
                  <w:tcBorders>
                    <w:tl2br w:val="nil"/>
                    <w:tr2bl w:val="nil"/>
                  </w:tcBorders>
                  <w:vAlign w:val="center"/>
                </w:tcPr>
                <w:p w14:paraId="3722CEF1">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14:textFill>
                        <w14:solidFill>
                          <w14:schemeClr w14:val="tx1"/>
                        </w14:solidFill>
                      </w14:textFill>
                    </w:rPr>
                    <w:t>原料库</w:t>
                  </w:r>
                </w:p>
              </w:tc>
              <w:tc>
                <w:tcPr>
                  <w:tcW w:w="2893" w:type="pct"/>
                  <w:tcBorders>
                    <w:tl2br w:val="nil"/>
                    <w:tr2bl w:val="nil"/>
                  </w:tcBorders>
                  <w:vAlign w:val="center"/>
                </w:tcPr>
                <w:p w14:paraId="3E31CB3E">
                  <w:pPr>
                    <w:adjustRightInd w:val="0"/>
                    <w:snapToGrid w:val="0"/>
                    <w:jc w:val="center"/>
                    <w:rPr>
                      <w:color w:val="0000FF"/>
                      <w:kern w:val="36"/>
                      <w:szCs w:val="21"/>
                      <w:u w:val="none" w:color="auto"/>
                    </w:rPr>
                  </w:pPr>
                  <w:r>
                    <w:rPr>
                      <w:rFonts w:hint="eastAsia"/>
                      <w:color w:val="000000" w:themeColor="text1"/>
                      <w:kern w:val="36"/>
                      <w:szCs w:val="21"/>
                      <w:u w:val="none" w:color="auto"/>
                      <w14:textFill>
                        <w14:solidFill>
                          <w14:schemeClr w14:val="tx1"/>
                        </w14:solidFill>
                      </w14:textFill>
                    </w:rPr>
                    <w:t>一座，</w:t>
                  </w:r>
                  <w:r>
                    <w:rPr>
                      <w:rFonts w:hint="eastAsia"/>
                      <w:color w:val="000000" w:themeColor="text1"/>
                      <w:kern w:val="36"/>
                      <w:szCs w:val="21"/>
                      <w:u w:val="none" w:color="auto"/>
                      <w:lang w:val="en-US" w:eastAsia="zh-CN"/>
                      <w14:textFill>
                        <w14:solidFill>
                          <w14:schemeClr w14:val="tx1"/>
                        </w14:solidFill>
                      </w14:textFill>
                    </w:rPr>
                    <w:t>1</w:t>
                  </w:r>
                  <w:r>
                    <w:rPr>
                      <w:rFonts w:hint="eastAsia"/>
                      <w:color w:val="000000" w:themeColor="text1"/>
                      <w:kern w:val="36"/>
                      <w:szCs w:val="21"/>
                      <w:u w:val="none" w:color="auto"/>
                      <w14:textFill>
                        <w14:solidFill>
                          <w14:schemeClr w14:val="tx1"/>
                        </w14:solidFill>
                      </w14:textFill>
                    </w:rPr>
                    <w:t>层，建筑面积</w:t>
                  </w:r>
                  <w:r>
                    <w:rPr>
                      <w:rFonts w:hint="eastAsia"/>
                      <w:color w:val="000000" w:themeColor="text1"/>
                      <w:kern w:val="36"/>
                      <w:szCs w:val="21"/>
                      <w:u w:val="none" w:color="auto"/>
                      <w:lang w:val="en-US" w:eastAsia="zh-CN"/>
                      <w14:textFill>
                        <w14:solidFill>
                          <w14:schemeClr w14:val="tx1"/>
                        </w14:solidFill>
                      </w14:textFill>
                    </w:rPr>
                    <w:t>3468.8</w:t>
                  </w:r>
                  <w:r>
                    <w:rPr>
                      <w:rFonts w:hint="eastAsia"/>
                      <w:color w:val="000000" w:themeColor="text1"/>
                      <w:kern w:val="36"/>
                      <w:szCs w:val="21"/>
                      <w:u w:val="none" w:color="auto"/>
                      <w14:textFill>
                        <w14:solidFill>
                          <w14:schemeClr w14:val="tx1"/>
                        </w14:solidFill>
                      </w14:textFill>
                    </w:rPr>
                    <w:t>m</w:t>
                  </w:r>
                  <w:r>
                    <w:rPr>
                      <w:rFonts w:hint="eastAsia"/>
                      <w:color w:val="000000" w:themeColor="text1"/>
                      <w:kern w:val="36"/>
                      <w:szCs w:val="21"/>
                      <w:u w:val="none" w:color="auto"/>
                      <w:vertAlign w:val="superscript"/>
                      <w14:textFill>
                        <w14:solidFill>
                          <w14:schemeClr w14:val="tx1"/>
                        </w14:solidFill>
                      </w14:textFill>
                    </w:rPr>
                    <w:t>2</w:t>
                  </w:r>
                  <w:r>
                    <w:rPr>
                      <w:rFonts w:hint="eastAsia"/>
                      <w:color w:val="000000" w:themeColor="text1"/>
                      <w:kern w:val="36"/>
                      <w:szCs w:val="21"/>
                      <w:u w:val="none" w:color="auto"/>
                      <w14:textFill>
                        <w14:solidFill>
                          <w14:schemeClr w14:val="tx1"/>
                        </w14:solidFill>
                      </w14:textFill>
                    </w:rPr>
                    <w:t>，位于生产车间内</w:t>
                  </w:r>
                </w:p>
              </w:tc>
              <w:tc>
                <w:tcPr>
                  <w:tcW w:w="721" w:type="pct"/>
                  <w:tcBorders>
                    <w:tl2br w:val="nil"/>
                    <w:tr2bl w:val="nil"/>
                  </w:tcBorders>
                  <w:vAlign w:val="center"/>
                </w:tcPr>
                <w:p w14:paraId="1E6DFCB8">
                  <w:pPr>
                    <w:adjustRightInd w:val="0"/>
                    <w:snapToGrid w:val="0"/>
                    <w:jc w:val="center"/>
                    <w:rPr>
                      <w:rFonts w:hint="default" w:eastAsia="宋体"/>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利用厂区现有车间</w:t>
                  </w:r>
                </w:p>
              </w:tc>
            </w:tr>
            <w:tr w14:paraId="5D54B9C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69" w:type="pct"/>
                  <w:vMerge w:val="restart"/>
                  <w:tcBorders>
                    <w:tl2br w:val="nil"/>
                    <w:tr2bl w:val="nil"/>
                  </w:tcBorders>
                  <w:vAlign w:val="center"/>
                </w:tcPr>
                <w:p w14:paraId="1A202B78">
                  <w:pPr>
                    <w:adjustRightInd w:val="0"/>
                    <w:snapToGrid w:val="0"/>
                    <w:jc w:val="center"/>
                    <w:rPr>
                      <w:rFonts w:hint="eastAsia" w:eastAsia="宋体"/>
                      <w:color w:val="000000" w:themeColor="text1"/>
                      <w:kern w:val="36"/>
                      <w:szCs w:val="21"/>
                      <w:u w:val="none" w:color="auto"/>
                      <w:lang w:eastAsia="zh-CN"/>
                      <w14:textFill>
                        <w14:solidFill>
                          <w14:schemeClr w14:val="tx1"/>
                        </w14:solidFill>
                      </w14:textFill>
                    </w:rPr>
                  </w:pPr>
                  <w:r>
                    <w:rPr>
                      <w:rFonts w:hint="eastAsia"/>
                      <w:color w:val="000000" w:themeColor="text1"/>
                      <w:kern w:val="36"/>
                      <w:szCs w:val="21"/>
                      <w:u w:val="none" w:color="auto"/>
                      <w:lang w:val="en-US" w:eastAsia="zh-CN"/>
                      <w14:textFill>
                        <w14:solidFill>
                          <w14:schemeClr w14:val="tx1"/>
                        </w14:solidFill>
                      </w14:textFill>
                    </w:rPr>
                    <w:t>4</w:t>
                  </w:r>
                </w:p>
              </w:tc>
              <w:tc>
                <w:tcPr>
                  <w:tcW w:w="443" w:type="pct"/>
                  <w:vMerge w:val="restart"/>
                  <w:tcBorders>
                    <w:tl2br w:val="nil"/>
                    <w:tr2bl w:val="nil"/>
                  </w:tcBorders>
                  <w:vAlign w:val="center"/>
                </w:tcPr>
                <w:p w14:paraId="5154DE13">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14:textFill>
                        <w14:solidFill>
                          <w14:schemeClr w14:val="tx1"/>
                        </w14:solidFill>
                      </w14:textFill>
                    </w:rPr>
                    <w:t>环保工程</w:t>
                  </w:r>
                </w:p>
              </w:tc>
              <w:tc>
                <w:tcPr>
                  <w:tcW w:w="571" w:type="pct"/>
                  <w:tcBorders>
                    <w:tl2br w:val="nil"/>
                    <w:tr2bl w:val="nil"/>
                  </w:tcBorders>
                  <w:vAlign w:val="center"/>
                </w:tcPr>
                <w:p w14:paraId="666816D2">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14:textFill>
                        <w14:solidFill>
                          <w14:schemeClr w14:val="tx1"/>
                        </w14:solidFill>
                      </w14:textFill>
                    </w:rPr>
                    <w:t>废水</w:t>
                  </w:r>
                </w:p>
              </w:tc>
              <w:tc>
                <w:tcPr>
                  <w:tcW w:w="2893" w:type="pct"/>
                  <w:tcBorders>
                    <w:tl2br w:val="nil"/>
                    <w:tr2bl w:val="nil"/>
                  </w:tcBorders>
                  <w:vAlign w:val="center"/>
                </w:tcPr>
                <w:p w14:paraId="0F08EC65">
                  <w:pPr>
                    <w:adjustRightInd w:val="0"/>
                    <w:snapToGrid w:val="0"/>
                    <w:jc w:val="both"/>
                    <w:rPr>
                      <w:rFonts w:hint="default" w:ascii="Times New Roman" w:hAnsi="Times New Roman" w:eastAsia="宋体" w:cs="Times New Roman"/>
                      <w:kern w:val="2"/>
                      <w:sz w:val="21"/>
                      <w:szCs w:val="21"/>
                      <w:u w:val="none" w:color="auto"/>
                      <w:lang w:val="en-US" w:eastAsia="zh-CN" w:bidi="ar-SA"/>
                    </w:rPr>
                  </w:pPr>
                  <w:r>
                    <w:rPr>
                      <w:rFonts w:hint="eastAsia" w:cs="Times New Roman"/>
                      <w:kern w:val="2"/>
                      <w:sz w:val="21"/>
                      <w:szCs w:val="21"/>
                      <w:u w:val="none" w:color="auto"/>
                      <w:lang w:val="en-US" w:eastAsia="zh-CN" w:bidi="ar-SA"/>
                    </w:rPr>
                    <w:t>生活污水经化粪池处理后通过生活污水排放口（DW001）排入新乡市贾屯污水处理厂进一步处理。</w:t>
                  </w:r>
                </w:p>
                <w:p w14:paraId="3C9438D8">
                  <w:pPr>
                    <w:adjustRightInd w:val="0"/>
                    <w:snapToGrid w:val="0"/>
                    <w:jc w:val="both"/>
                    <w:rPr>
                      <w:rFonts w:hint="eastAsia"/>
                      <w:color w:val="000000" w:themeColor="text1"/>
                      <w:kern w:val="36"/>
                      <w:szCs w:val="21"/>
                      <w:u w:val="none" w:color="auto"/>
                      <w:lang w:eastAsia="zh-CN"/>
                      <w14:textFill>
                        <w14:solidFill>
                          <w14:schemeClr w14:val="tx1"/>
                        </w14:solidFill>
                      </w14:textFill>
                    </w:rPr>
                  </w:pPr>
                  <w:r>
                    <w:rPr>
                      <w:rFonts w:hint="eastAsia" w:ascii="Times New Roman" w:hAnsi="Times New Roman" w:eastAsia="宋体" w:cs="Times New Roman"/>
                      <w:kern w:val="2"/>
                      <w:sz w:val="21"/>
                      <w:szCs w:val="21"/>
                      <w:u w:val="none" w:color="auto"/>
                      <w:lang w:val="en-US" w:eastAsia="zh-CN" w:bidi="ar-SA"/>
                    </w:rPr>
                    <w:t>设备、地面清洗废水经化学混凝沉淀池预处理后与</w:t>
                  </w:r>
                  <w:r>
                    <w:rPr>
                      <w:rFonts w:hint="eastAsia" w:cs="Times New Roman"/>
                      <w:kern w:val="2"/>
                      <w:sz w:val="21"/>
                      <w:szCs w:val="21"/>
                      <w:u w:val="none" w:color="auto"/>
                      <w:lang w:val="en-US" w:eastAsia="zh-CN" w:bidi="ar-SA"/>
                    </w:rPr>
                    <w:t>纯水</w:t>
                  </w:r>
                  <w:r>
                    <w:rPr>
                      <w:rFonts w:hint="eastAsia" w:ascii="Times New Roman" w:hAnsi="Times New Roman" w:eastAsia="宋体" w:cs="Times New Roman"/>
                      <w:kern w:val="2"/>
                      <w:sz w:val="21"/>
                      <w:szCs w:val="21"/>
                      <w:u w:val="none" w:color="auto"/>
                      <w:lang w:val="en-US" w:eastAsia="zh-CN" w:bidi="ar-SA"/>
                    </w:rPr>
                    <w:t>制备浓水、反冲洗废水、电池清洗废水一并排入厂区污水处理站（处理能力：800t/d；处理工艺：“混凝沉淀+水解酸化+AO工艺”）后，经</w:t>
                  </w:r>
                  <w:r>
                    <w:rPr>
                      <w:rFonts w:hint="eastAsia" w:cs="Times New Roman"/>
                      <w:kern w:val="2"/>
                      <w:sz w:val="21"/>
                      <w:szCs w:val="21"/>
                      <w:u w:val="none" w:color="auto"/>
                      <w:lang w:val="en-US" w:eastAsia="zh-CN" w:bidi="ar-SA"/>
                    </w:rPr>
                    <w:t>生产废水排放口（DW002）</w:t>
                  </w:r>
                  <w:r>
                    <w:rPr>
                      <w:rFonts w:hint="eastAsia" w:ascii="Times New Roman" w:hAnsi="Times New Roman" w:eastAsia="宋体" w:cs="Times New Roman"/>
                      <w:kern w:val="2"/>
                      <w:sz w:val="21"/>
                      <w:szCs w:val="21"/>
                      <w:u w:val="none" w:color="auto"/>
                      <w:lang w:val="en-US" w:eastAsia="zh-CN" w:bidi="ar-SA"/>
                    </w:rPr>
                    <w:t>排入新乡市贾屯污水处理厂进一步处理</w:t>
                  </w:r>
                  <w:r>
                    <w:rPr>
                      <w:rFonts w:hint="eastAsia" w:cs="Times New Roman"/>
                      <w:kern w:val="2"/>
                      <w:sz w:val="21"/>
                      <w:szCs w:val="21"/>
                      <w:u w:val="none" w:color="auto"/>
                      <w:lang w:val="en-US" w:eastAsia="zh-CN" w:bidi="ar-SA"/>
                    </w:rPr>
                    <w:t>。</w:t>
                  </w:r>
                </w:p>
              </w:tc>
              <w:tc>
                <w:tcPr>
                  <w:tcW w:w="721" w:type="pct"/>
                  <w:tcBorders>
                    <w:tl2br w:val="nil"/>
                    <w:tr2bl w:val="nil"/>
                  </w:tcBorders>
                  <w:vAlign w:val="center"/>
                </w:tcPr>
                <w:p w14:paraId="493F163A">
                  <w:pPr>
                    <w:adjustRightInd w:val="0"/>
                    <w:snapToGrid w:val="0"/>
                    <w:jc w:val="center"/>
                    <w:rPr>
                      <w:color w:val="000000" w:themeColor="text1"/>
                      <w:szCs w:val="21"/>
                      <w:u w:val="none" w:color="auto"/>
                      <w14:textFill>
                        <w14:solidFill>
                          <w14:schemeClr w14:val="tx1"/>
                        </w14:solidFill>
                      </w14:textFill>
                    </w:rPr>
                  </w:pPr>
                  <w:r>
                    <w:rPr>
                      <w:rFonts w:hint="eastAsia"/>
                      <w:color w:val="000000" w:themeColor="text1"/>
                      <w:szCs w:val="21"/>
                      <w:u w:val="none" w:color="auto"/>
                      <w14:textFill>
                        <w14:solidFill>
                          <w14:schemeClr w14:val="tx1"/>
                        </w14:solidFill>
                      </w14:textFill>
                    </w:rPr>
                    <w:t>新建</w:t>
                  </w:r>
                </w:p>
              </w:tc>
            </w:tr>
            <w:tr w14:paraId="5EDF9D7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 w:hRule="atLeast"/>
                <w:jc w:val="center"/>
              </w:trPr>
              <w:tc>
                <w:tcPr>
                  <w:tcW w:w="369" w:type="pct"/>
                  <w:vMerge w:val="continue"/>
                  <w:tcBorders>
                    <w:tl2br w:val="nil"/>
                    <w:tr2bl w:val="nil"/>
                  </w:tcBorders>
                  <w:vAlign w:val="center"/>
                </w:tcPr>
                <w:p w14:paraId="200D38FE">
                  <w:pPr>
                    <w:adjustRightInd w:val="0"/>
                    <w:snapToGrid w:val="0"/>
                    <w:jc w:val="center"/>
                    <w:rPr>
                      <w:color w:val="000000" w:themeColor="text1"/>
                      <w:kern w:val="36"/>
                      <w:szCs w:val="21"/>
                      <w:highlight w:val="yellow"/>
                      <w:u w:val="none" w:color="auto"/>
                      <w14:textFill>
                        <w14:solidFill>
                          <w14:schemeClr w14:val="tx1"/>
                        </w14:solidFill>
                      </w14:textFill>
                    </w:rPr>
                  </w:pPr>
                </w:p>
              </w:tc>
              <w:tc>
                <w:tcPr>
                  <w:tcW w:w="443" w:type="pct"/>
                  <w:vMerge w:val="continue"/>
                  <w:tcBorders>
                    <w:tl2br w:val="nil"/>
                    <w:tr2bl w:val="nil"/>
                  </w:tcBorders>
                  <w:vAlign w:val="center"/>
                </w:tcPr>
                <w:p w14:paraId="7BB0BF00">
                  <w:pPr>
                    <w:adjustRightInd w:val="0"/>
                    <w:snapToGrid w:val="0"/>
                    <w:jc w:val="center"/>
                    <w:rPr>
                      <w:color w:val="000000" w:themeColor="text1"/>
                      <w:kern w:val="36"/>
                      <w:szCs w:val="21"/>
                      <w:highlight w:val="yellow"/>
                      <w:u w:val="none" w:color="auto"/>
                      <w14:textFill>
                        <w14:solidFill>
                          <w14:schemeClr w14:val="tx1"/>
                        </w14:solidFill>
                      </w14:textFill>
                    </w:rPr>
                  </w:pPr>
                </w:p>
              </w:tc>
              <w:tc>
                <w:tcPr>
                  <w:tcW w:w="571" w:type="pct"/>
                  <w:tcBorders>
                    <w:tl2br w:val="nil"/>
                    <w:tr2bl w:val="nil"/>
                  </w:tcBorders>
                  <w:vAlign w:val="center"/>
                </w:tcPr>
                <w:p w14:paraId="645A57D1">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14:textFill>
                        <w14:solidFill>
                          <w14:schemeClr w14:val="tx1"/>
                        </w14:solidFill>
                      </w14:textFill>
                    </w:rPr>
                    <w:t>废气</w:t>
                  </w:r>
                </w:p>
              </w:tc>
              <w:tc>
                <w:tcPr>
                  <w:tcW w:w="2893" w:type="pct"/>
                  <w:tcBorders>
                    <w:tl2br w:val="nil"/>
                    <w:tr2bl w:val="nil"/>
                  </w:tcBorders>
                  <w:vAlign w:val="center"/>
                </w:tcPr>
                <w:p w14:paraId="09CB9796">
                  <w:pPr>
                    <w:spacing w:line="240" w:lineRule="auto"/>
                    <w:ind w:firstLine="0" w:firstLineChars="0"/>
                    <w:jc w:val="both"/>
                    <w:rPr>
                      <w:rFonts w:hint="default" w:eastAsiaTheme="minorEastAsia"/>
                      <w:sz w:val="21"/>
                      <w:szCs w:val="21"/>
                      <w:u w:val="none" w:color="auto"/>
                      <w:lang w:val="en-US" w:eastAsia="zh-CN"/>
                    </w:rPr>
                  </w:pPr>
                  <w:r>
                    <w:rPr>
                      <w:rFonts w:hint="eastAsia" w:hAnsiTheme="minorEastAsia" w:eastAsiaTheme="minorEastAsia"/>
                      <w:sz w:val="21"/>
                      <w:szCs w:val="21"/>
                      <w:u w:val="none" w:color="auto"/>
                      <w:lang w:val="en-US" w:eastAsia="zh-CN"/>
                    </w:rPr>
                    <w:t>正极</w:t>
                  </w:r>
                  <w:r>
                    <w:rPr>
                      <w:rFonts w:hAnsiTheme="minorEastAsia" w:eastAsiaTheme="minorEastAsia"/>
                      <w:sz w:val="21"/>
                      <w:szCs w:val="21"/>
                      <w:u w:val="none" w:color="auto"/>
                    </w:rPr>
                    <w:t>配料</w:t>
                  </w:r>
                  <w:r>
                    <w:rPr>
                      <w:rFonts w:hint="eastAsia" w:hAnsiTheme="minorEastAsia" w:eastAsiaTheme="minorEastAsia"/>
                      <w:sz w:val="21"/>
                      <w:szCs w:val="21"/>
                      <w:u w:val="none" w:color="auto"/>
                    </w:rPr>
                    <w:t>，涂布烘干</w:t>
                  </w:r>
                  <w:r>
                    <w:rPr>
                      <w:rFonts w:hAnsiTheme="minorEastAsia" w:eastAsiaTheme="minorEastAsia"/>
                      <w:sz w:val="21"/>
                      <w:szCs w:val="21"/>
                      <w:u w:val="none" w:color="auto"/>
                    </w:rPr>
                    <w:t>废气经</w:t>
                  </w:r>
                  <w:r>
                    <w:rPr>
                      <w:rFonts w:eastAsiaTheme="minorEastAsia"/>
                      <w:sz w:val="21"/>
                      <w:szCs w:val="21"/>
                      <w:u w:val="none" w:color="auto"/>
                    </w:rPr>
                    <w:t>NMP</w:t>
                  </w:r>
                  <w:r>
                    <w:rPr>
                      <w:rFonts w:hAnsiTheme="minorEastAsia" w:eastAsiaTheme="minorEastAsia"/>
                      <w:sz w:val="21"/>
                      <w:szCs w:val="21"/>
                      <w:u w:val="none" w:color="auto"/>
                    </w:rPr>
                    <w:t>回收</w:t>
                  </w:r>
                  <w:r>
                    <w:rPr>
                      <w:rFonts w:hint="eastAsia" w:hAnsiTheme="minorEastAsia" w:eastAsiaTheme="minorEastAsia"/>
                      <w:sz w:val="21"/>
                      <w:szCs w:val="21"/>
                      <w:u w:val="none" w:color="auto"/>
                      <w:lang w:eastAsia="zh-CN"/>
                    </w:rPr>
                    <w:t>（</w:t>
                  </w:r>
                  <w:r>
                    <w:rPr>
                      <w:rFonts w:hint="eastAsia" w:hAnsiTheme="minorEastAsia" w:eastAsiaTheme="minorEastAsia"/>
                      <w:sz w:val="21"/>
                      <w:szCs w:val="21"/>
                      <w:u w:val="none" w:color="auto"/>
                      <w:lang w:val="en-US" w:eastAsia="zh-CN"/>
                    </w:rPr>
                    <w:t>余热回收冷凝+高塔式三级水喷淋</w:t>
                  </w:r>
                  <w:r>
                    <w:rPr>
                      <w:rFonts w:hint="eastAsia" w:hAnsiTheme="minorEastAsia" w:eastAsiaTheme="minorEastAsia"/>
                      <w:sz w:val="21"/>
                      <w:szCs w:val="21"/>
                      <w:u w:val="none" w:color="auto"/>
                      <w:lang w:eastAsia="zh-CN"/>
                    </w:rPr>
                    <w:t>）</w:t>
                  </w:r>
                  <w:r>
                    <w:rPr>
                      <w:rFonts w:hAnsiTheme="minorEastAsia" w:eastAsiaTheme="minorEastAsia"/>
                      <w:sz w:val="21"/>
                      <w:szCs w:val="21"/>
                      <w:u w:val="none" w:color="auto"/>
                    </w:rPr>
                    <w:t>系统处理后，经密闭管道通至</w:t>
                  </w:r>
                  <w:r>
                    <w:rPr>
                      <w:rFonts w:hint="eastAsia" w:hAnsiTheme="minorEastAsia" w:eastAsiaTheme="minorEastAsia"/>
                      <w:sz w:val="21"/>
                      <w:szCs w:val="21"/>
                      <w:u w:val="none" w:color="auto"/>
                      <w:lang w:val="en-US" w:eastAsia="zh-CN"/>
                    </w:rPr>
                    <w:t>一根25m高排气筒（DA001）排放</w:t>
                  </w:r>
                  <w:r>
                    <w:rPr>
                      <w:rFonts w:hint="eastAsia" w:hAnsiTheme="minorEastAsia" w:eastAsiaTheme="minorEastAsia"/>
                      <w:color w:val="000000"/>
                      <w:szCs w:val="21"/>
                      <w:u w:val="none" w:color="auto"/>
                    </w:rPr>
                    <w:t>。</w:t>
                  </w:r>
                </w:p>
                <w:p w14:paraId="282C412A">
                  <w:pPr>
                    <w:rPr>
                      <w:rFonts w:hint="eastAsia" w:hAnsiTheme="minorEastAsia" w:eastAsiaTheme="minorEastAsia"/>
                      <w:color w:val="000000"/>
                      <w:szCs w:val="21"/>
                      <w:u w:val="none" w:color="auto"/>
                    </w:rPr>
                  </w:pPr>
                  <w:r>
                    <w:rPr>
                      <w:rFonts w:hAnsiTheme="minorEastAsia" w:eastAsiaTheme="minorEastAsia"/>
                      <w:szCs w:val="21"/>
                      <w:u w:val="none" w:color="auto"/>
                    </w:rPr>
                    <w:t>注液工序</w:t>
                  </w:r>
                  <w:r>
                    <w:rPr>
                      <w:rFonts w:hint="eastAsia" w:hAnsiTheme="minorEastAsia" w:eastAsiaTheme="minorEastAsia"/>
                      <w:szCs w:val="21"/>
                      <w:u w:val="none" w:color="auto"/>
                    </w:rPr>
                    <w:t>抽真空</w:t>
                  </w:r>
                  <w:r>
                    <w:rPr>
                      <w:rFonts w:hAnsiTheme="minorEastAsia" w:eastAsiaTheme="minorEastAsia"/>
                      <w:color w:val="000000"/>
                      <w:szCs w:val="21"/>
                      <w:u w:val="none" w:color="auto"/>
                    </w:rPr>
                    <w:t>尾气经收集系统收集后，由活性炭吸附脱附</w:t>
                  </w:r>
                  <w:r>
                    <w:rPr>
                      <w:rFonts w:eastAsiaTheme="minorEastAsia"/>
                      <w:color w:val="000000"/>
                      <w:szCs w:val="21"/>
                      <w:u w:val="none" w:color="auto"/>
                    </w:rPr>
                    <w:t>+</w:t>
                  </w:r>
                  <w:r>
                    <w:rPr>
                      <w:rFonts w:hAnsiTheme="minorEastAsia" w:eastAsiaTheme="minorEastAsia"/>
                      <w:color w:val="000000"/>
                      <w:szCs w:val="21"/>
                      <w:u w:val="none" w:color="auto"/>
                    </w:rPr>
                    <w:t>催化燃烧装置治理后经</w:t>
                  </w:r>
                  <w:r>
                    <w:rPr>
                      <w:rFonts w:eastAsiaTheme="minorEastAsia"/>
                      <w:color w:val="000000"/>
                      <w:szCs w:val="21"/>
                      <w:u w:val="none" w:color="auto"/>
                    </w:rPr>
                    <w:t>1</w:t>
                  </w:r>
                  <w:r>
                    <w:rPr>
                      <w:rFonts w:hAnsiTheme="minorEastAsia" w:eastAsiaTheme="minorEastAsia"/>
                      <w:color w:val="000000"/>
                      <w:szCs w:val="21"/>
                      <w:u w:val="none" w:color="auto"/>
                    </w:rPr>
                    <w:t>根</w:t>
                  </w:r>
                  <w:r>
                    <w:rPr>
                      <w:rFonts w:hint="eastAsia" w:eastAsiaTheme="minorEastAsia"/>
                      <w:color w:val="000000"/>
                      <w:szCs w:val="21"/>
                      <w:u w:val="none" w:color="auto"/>
                      <w:lang w:val="en-US" w:eastAsia="zh-CN"/>
                    </w:rPr>
                    <w:t>25</w:t>
                  </w:r>
                  <w:r>
                    <w:rPr>
                      <w:rFonts w:eastAsiaTheme="minorEastAsia"/>
                      <w:color w:val="000000"/>
                      <w:szCs w:val="21"/>
                      <w:u w:val="none" w:color="auto"/>
                    </w:rPr>
                    <w:t>m</w:t>
                  </w:r>
                  <w:r>
                    <w:rPr>
                      <w:rFonts w:hAnsiTheme="minorEastAsia" w:eastAsiaTheme="minorEastAsia"/>
                      <w:color w:val="000000"/>
                      <w:szCs w:val="21"/>
                      <w:u w:val="none" w:color="auto"/>
                    </w:rPr>
                    <w:t>高排气筒</w:t>
                  </w:r>
                  <w:r>
                    <w:rPr>
                      <w:rFonts w:hint="eastAsia" w:hAnsiTheme="minorEastAsia" w:eastAsiaTheme="minorEastAsia"/>
                      <w:color w:val="000000"/>
                      <w:szCs w:val="21"/>
                      <w:u w:val="none" w:color="auto"/>
                    </w:rPr>
                    <w:t>（DA00</w:t>
                  </w:r>
                  <w:r>
                    <w:rPr>
                      <w:rFonts w:hint="eastAsia" w:hAnsiTheme="minorEastAsia" w:eastAsiaTheme="minorEastAsia"/>
                      <w:color w:val="000000"/>
                      <w:szCs w:val="21"/>
                      <w:u w:val="none" w:color="auto"/>
                      <w:lang w:val="en-US" w:eastAsia="zh-CN"/>
                    </w:rPr>
                    <w:t>1</w:t>
                  </w:r>
                  <w:r>
                    <w:rPr>
                      <w:rFonts w:hint="eastAsia" w:hAnsiTheme="minorEastAsia" w:eastAsiaTheme="minorEastAsia"/>
                      <w:color w:val="000000"/>
                      <w:szCs w:val="21"/>
                      <w:u w:val="none" w:color="auto"/>
                    </w:rPr>
                    <w:t>）</w:t>
                  </w:r>
                  <w:r>
                    <w:rPr>
                      <w:rFonts w:hAnsiTheme="minorEastAsia" w:eastAsiaTheme="minorEastAsia"/>
                      <w:color w:val="000000"/>
                      <w:szCs w:val="21"/>
                      <w:u w:val="none" w:color="auto"/>
                    </w:rPr>
                    <w:t>排放</w:t>
                  </w:r>
                  <w:r>
                    <w:rPr>
                      <w:rFonts w:hint="eastAsia" w:hAnsiTheme="minorEastAsia" w:eastAsiaTheme="minorEastAsia"/>
                      <w:color w:val="000000"/>
                      <w:szCs w:val="21"/>
                      <w:u w:val="none" w:color="auto"/>
                    </w:rPr>
                    <w:t>。</w:t>
                  </w:r>
                </w:p>
                <w:p w14:paraId="1B4BAA30">
                  <w:pPr>
                    <w:adjustRightInd w:val="0"/>
                    <w:snapToGrid w:val="0"/>
                    <w:jc w:val="both"/>
                    <w:rPr>
                      <w:rFonts w:hint="default"/>
                      <w:color w:val="000000" w:themeColor="text1"/>
                      <w:kern w:val="36"/>
                      <w:szCs w:val="21"/>
                      <w:u w:val="none" w:color="auto"/>
                      <w:lang w:val="en-US" w:eastAsia="zh-CN"/>
                      <w14:textFill>
                        <w14:solidFill>
                          <w14:schemeClr w14:val="tx1"/>
                        </w14:solidFill>
                      </w14:textFill>
                    </w:rPr>
                  </w:pPr>
                  <w:r>
                    <w:rPr>
                      <w:rFonts w:hint="eastAsia"/>
                      <w:color w:val="000000" w:themeColor="text1"/>
                      <w:kern w:val="36"/>
                      <w:szCs w:val="21"/>
                      <w:u w:val="none" w:color="auto"/>
                      <w:lang w:val="en-US" w:eastAsia="zh-CN"/>
                      <w14:textFill>
                        <w14:solidFill>
                          <w14:schemeClr w14:val="tx1"/>
                        </w14:solidFill>
                      </w14:textFill>
                    </w:rPr>
                    <w:t>正负极配料、投料工序产生的颗粒物分别经各自配套的滤芯除尘器处理后经一根25m高排气筒（DA002）排放。</w:t>
                  </w:r>
                </w:p>
                <w:p w14:paraId="15E008C5">
                  <w:pPr>
                    <w:rPr>
                      <w:rFonts w:hint="default" w:hAnsiTheme="minorEastAsia" w:eastAsiaTheme="minorEastAsia"/>
                      <w:color w:val="000000"/>
                      <w:szCs w:val="21"/>
                      <w:u w:val="none" w:color="auto"/>
                      <w:lang w:val="en-US" w:eastAsia="zh-CN"/>
                    </w:rPr>
                  </w:pPr>
                  <w:r>
                    <w:rPr>
                      <w:rFonts w:hint="default" w:hAnsiTheme="minorEastAsia" w:eastAsiaTheme="minorEastAsia"/>
                      <w:color w:val="000000"/>
                      <w:szCs w:val="21"/>
                      <w:u w:val="none" w:color="auto"/>
                      <w:lang w:val="en-US" w:eastAsia="zh-CN"/>
                    </w:rPr>
                    <w:t>污水处理站各臭源构筑物加盖密闭负压收集恶臭气体，废气送入</w:t>
                  </w:r>
                  <w:r>
                    <w:rPr>
                      <w:rFonts w:hint="eastAsia" w:hAnsiTheme="minorEastAsia" w:eastAsiaTheme="minorEastAsia"/>
                      <w:color w:val="000000"/>
                      <w:szCs w:val="21"/>
                      <w:u w:val="none" w:color="auto"/>
                      <w:lang w:val="en-US" w:eastAsia="zh-CN"/>
                    </w:rPr>
                    <w:t>生物除臭池</w:t>
                  </w:r>
                  <w:r>
                    <w:rPr>
                      <w:rFonts w:hint="default" w:hAnsiTheme="minorEastAsia" w:eastAsiaTheme="minorEastAsia"/>
                      <w:color w:val="000000"/>
                      <w:szCs w:val="21"/>
                      <w:u w:val="none" w:color="auto"/>
                      <w:lang w:val="en-US" w:eastAsia="zh-CN"/>
                    </w:rPr>
                    <w:t xml:space="preserve">净化，处理后经 1 根 </w:t>
                  </w:r>
                  <w:r>
                    <w:rPr>
                      <w:rFonts w:hint="eastAsia"/>
                      <w:color w:val="000000" w:themeColor="text1"/>
                      <w:kern w:val="36"/>
                      <w:szCs w:val="21"/>
                      <w:u w:val="none" w:color="auto"/>
                      <w:lang w:val="en-US" w:eastAsia="zh-CN"/>
                      <w14:textFill>
                        <w14:solidFill>
                          <w14:schemeClr w14:val="tx1"/>
                        </w14:solidFill>
                      </w14:textFill>
                    </w:rPr>
                    <w:t>15m高排气筒（DA003）排放</w:t>
                  </w:r>
                  <w:r>
                    <w:rPr>
                      <w:rFonts w:hint="eastAsia" w:hAnsiTheme="minorEastAsia" w:eastAsiaTheme="minorEastAsia"/>
                      <w:color w:val="000000"/>
                      <w:szCs w:val="21"/>
                      <w:u w:val="none" w:color="auto"/>
                      <w:lang w:val="en-US" w:eastAsia="zh-CN"/>
                    </w:rPr>
                    <w:t>。</w:t>
                  </w:r>
                </w:p>
              </w:tc>
              <w:tc>
                <w:tcPr>
                  <w:tcW w:w="721" w:type="pct"/>
                  <w:tcBorders>
                    <w:tl2br w:val="nil"/>
                    <w:tr2bl w:val="nil"/>
                  </w:tcBorders>
                  <w:vAlign w:val="center"/>
                </w:tcPr>
                <w:p w14:paraId="531537C9">
                  <w:pPr>
                    <w:adjustRightInd w:val="0"/>
                    <w:snapToGrid w:val="0"/>
                    <w:jc w:val="center"/>
                    <w:rPr>
                      <w:color w:val="000000" w:themeColor="text1"/>
                      <w:szCs w:val="21"/>
                      <w:u w:val="none" w:color="auto"/>
                      <w14:textFill>
                        <w14:solidFill>
                          <w14:schemeClr w14:val="tx1"/>
                        </w14:solidFill>
                      </w14:textFill>
                    </w:rPr>
                  </w:pPr>
                  <w:r>
                    <w:rPr>
                      <w:rFonts w:hint="eastAsia"/>
                      <w:color w:val="000000" w:themeColor="text1"/>
                      <w:szCs w:val="21"/>
                      <w:u w:val="none" w:color="auto"/>
                      <w14:textFill>
                        <w14:solidFill>
                          <w14:schemeClr w14:val="tx1"/>
                        </w14:solidFill>
                      </w14:textFill>
                    </w:rPr>
                    <w:t>新建</w:t>
                  </w:r>
                </w:p>
              </w:tc>
            </w:tr>
            <w:tr w14:paraId="1E49ACC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 w:hRule="atLeast"/>
                <w:jc w:val="center"/>
              </w:trPr>
              <w:tc>
                <w:tcPr>
                  <w:tcW w:w="369" w:type="pct"/>
                  <w:vMerge w:val="continue"/>
                  <w:tcBorders>
                    <w:tl2br w:val="nil"/>
                    <w:tr2bl w:val="nil"/>
                  </w:tcBorders>
                  <w:vAlign w:val="center"/>
                </w:tcPr>
                <w:p w14:paraId="2BF29D97">
                  <w:pPr>
                    <w:adjustRightInd w:val="0"/>
                    <w:snapToGrid w:val="0"/>
                    <w:jc w:val="center"/>
                    <w:rPr>
                      <w:color w:val="000000" w:themeColor="text1"/>
                      <w:kern w:val="36"/>
                      <w:szCs w:val="21"/>
                      <w:highlight w:val="yellow"/>
                      <w:u w:val="none" w:color="auto"/>
                      <w14:textFill>
                        <w14:solidFill>
                          <w14:schemeClr w14:val="tx1"/>
                        </w14:solidFill>
                      </w14:textFill>
                    </w:rPr>
                  </w:pPr>
                </w:p>
              </w:tc>
              <w:tc>
                <w:tcPr>
                  <w:tcW w:w="443" w:type="pct"/>
                  <w:vMerge w:val="continue"/>
                  <w:tcBorders>
                    <w:tl2br w:val="nil"/>
                    <w:tr2bl w:val="nil"/>
                  </w:tcBorders>
                  <w:vAlign w:val="center"/>
                </w:tcPr>
                <w:p w14:paraId="37E9C1F2">
                  <w:pPr>
                    <w:adjustRightInd w:val="0"/>
                    <w:snapToGrid w:val="0"/>
                    <w:jc w:val="center"/>
                    <w:rPr>
                      <w:color w:val="000000" w:themeColor="text1"/>
                      <w:kern w:val="36"/>
                      <w:szCs w:val="21"/>
                      <w:highlight w:val="yellow"/>
                      <w:u w:val="none" w:color="auto"/>
                      <w14:textFill>
                        <w14:solidFill>
                          <w14:schemeClr w14:val="tx1"/>
                        </w14:solidFill>
                      </w14:textFill>
                    </w:rPr>
                  </w:pPr>
                </w:p>
              </w:tc>
              <w:tc>
                <w:tcPr>
                  <w:tcW w:w="854" w:type="dxa"/>
                  <w:tcBorders>
                    <w:tl2br w:val="nil"/>
                    <w:tr2bl w:val="nil"/>
                  </w:tcBorders>
                  <w:vAlign w:val="center"/>
                </w:tcPr>
                <w:p w14:paraId="3352758D">
                  <w:pPr>
                    <w:keepNext w:val="0"/>
                    <w:keepLines w:val="0"/>
                    <w:pageBreakBefore w:val="0"/>
                    <w:widowControl w:val="0"/>
                    <w:kinsoku/>
                    <w:wordWrap/>
                    <w:overflowPunct/>
                    <w:topLinePunct w:val="0"/>
                    <w:autoSpaceDE/>
                    <w:autoSpaceDN/>
                    <w:bidi w:val="0"/>
                    <w:adjustRightInd/>
                    <w:snapToGrid/>
                    <w:jc w:val="center"/>
                    <w:textAlignment w:val="baseline"/>
                    <w:rPr>
                      <w:rFonts w:hint="default" w:eastAsia="宋体"/>
                      <w:color w:val="000000" w:themeColor="text1"/>
                      <w:kern w:val="36"/>
                      <w:szCs w:val="21"/>
                      <w:u w:val="none" w:color="auto"/>
                      <w:lang w:val="en-US" w:eastAsia="zh-CN"/>
                      <w14:textFill>
                        <w14:solidFill>
                          <w14:schemeClr w14:val="tx1"/>
                        </w14:solidFill>
                      </w14:textFill>
                    </w:rPr>
                  </w:pPr>
                  <w:r>
                    <w:rPr>
                      <w:rFonts w:hint="eastAsia"/>
                      <w:color w:val="000000"/>
                      <w:sz w:val="21"/>
                      <w:szCs w:val="21"/>
                      <w:highlight w:val="none"/>
                      <w:lang w:val="en-US" w:eastAsia="zh-CN"/>
                    </w:rPr>
                    <w:t>噪声治理</w:t>
                  </w:r>
                </w:p>
              </w:tc>
              <w:tc>
                <w:tcPr>
                  <w:tcW w:w="4326" w:type="dxa"/>
                  <w:tcBorders>
                    <w:tl2br w:val="nil"/>
                    <w:tr2bl w:val="nil"/>
                  </w:tcBorders>
                  <w:vAlign w:val="center"/>
                </w:tcPr>
                <w:p w14:paraId="7EE4E670">
                  <w:pPr>
                    <w:keepNext w:val="0"/>
                    <w:keepLines w:val="0"/>
                    <w:pageBreakBefore w:val="0"/>
                    <w:widowControl w:val="0"/>
                    <w:kinsoku/>
                    <w:wordWrap/>
                    <w:overflowPunct/>
                    <w:topLinePunct w:val="0"/>
                    <w:autoSpaceDE/>
                    <w:autoSpaceDN/>
                    <w:bidi w:val="0"/>
                    <w:adjustRightInd/>
                    <w:snapToGrid/>
                    <w:jc w:val="center"/>
                    <w:textAlignment w:val="baseline"/>
                    <w:rPr>
                      <w:rFonts w:hint="default" w:hAnsiTheme="minorEastAsia" w:eastAsiaTheme="minorEastAsia"/>
                      <w:color w:val="000000"/>
                      <w:szCs w:val="21"/>
                      <w:u w:val="none" w:color="auto"/>
                      <w:lang w:val="en-US" w:eastAsia="zh-CN"/>
                    </w:rPr>
                  </w:pPr>
                  <w:r>
                    <w:rPr>
                      <w:rFonts w:hint="eastAsia" w:ascii="Times New Roman" w:hAnsi="Times New Roman" w:eastAsia="宋体" w:cs="Times New Roman"/>
                      <w:kern w:val="0"/>
                      <w:sz w:val="21"/>
                      <w:szCs w:val="21"/>
                      <w:lang w:val="en-US" w:eastAsia="zh-CN"/>
                    </w:rPr>
                    <w:t>基础减振、</w:t>
                  </w:r>
                  <w:r>
                    <w:rPr>
                      <w:rFonts w:hint="default" w:ascii="Times New Roman" w:hAnsi="Times New Roman" w:eastAsia="宋体" w:cs="Times New Roman"/>
                      <w:kern w:val="0"/>
                      <w:sz w:val="21"/>
                      <w:szCs w:val="21"/>
                    </w:rPr>
                    <w:t>厂房隔音、距离衰减等措施</w:t>
                  </w:r>
                </w:p>
              </w:tc>
              <w:tc>
                <w:tcPr>
                  <w:tcW w:w="721" w:type="pct"/>
                  <w:tcBorders>
                    <w:tl2br w:val="nil"/>
                    <w:tr2bl w:val="nil"/>
                  </w:tcBorders>
                  <w:vAlign w:val="center"/>
                </w:tcPr>
                <w:p w14:paraId="63CA64B7">
                  <w:pPr>
                    <w:adjustRightInd w:val="0"/>
                    <w:snapToGrid w:val="0"/>
                    <w:jc w:val="center"/>
                    <w:rPr>
                      <w:rFonts w:hint="eastAsia" w:eastAsia="宋体"/>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新建</w:t>
                  </w:r>
                </w:p>
              </w:tc>
            </w:tr>
            <w:tr w14:paraId="3CCF088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69" w:type="pct"/>
                  <w:vMerge w:val="continue"/>
                  <w:tcBorders>
                    <w:tl2br w:val="nil"/>
                    <w:tr2bl w:val="nil"/>
                  </w:tcBorders>
                  <w:vAlign w:val="center"/>
                </w:tcPr>
                <w:p w14:paraId="370082D4">
                  <w:pPr>
                    <w:adjustRightInd w:val="0"/>
                    <w:snapToGrid w:val="0"/>
                    <w:jc w:val="center"/>
                    <w:rPr>
                      <w:color w:val="000000" w:themeColor="text1"/>
                      <w:kern w:val="36"/>
                      <w:szCs w:val="21"/>
                      <w:highlight w:val="yellow"/>
                      <w:u w:val="none" w:color="auto"/>
                      <w14:textFill>
                        <w14:solidFill>
                          <w14:schemeClr w14:val="tx1"/>
                        </w14:solidFill>
                      </w14:textFill>
                    </w:rPr>
                  </w:pPr>
                </w:p>
              </w:tc>
              <w:tc>
                <w:tcPr>
                  <w:tcW w:w="443" w:type="pct"/>
                  <w:vMerge w:val="continue"/>
                  <w:tcBorders>
                    <w:tl2br w:val="nil"/>
                    <w:tr2bl w:val="nil"/>
                  </w:tcBorders>
                  <w:vAlign w:val="center"/>
                </w:tcPr>
                <w:p w14:paraId="7C6B17F1">
                  <w:pPr>
                    <w:adjustRightInd w:val="0"/>
                    <w:snapToGrid w:val="0"/>
                    <w:jc w:val="center"/>
                    <w:rPr>
                      <w:color w:val="000000" w:themeColor="text1"/>
                      <w:kern w:val="36"/>
                      <w:szCs w:val="21"/>
                      <w:highlight w:val="yellow"/>
                      <w:u w:val="none" w:color="auto"/>
                      <w14:textFill>
                        <w14:solidFill>
                          <w14:schemeClr w14:val="tx1"/>
                        </w14:solidFill>
                      </w14:textFill>
                    </w:rPr>
                  </w:pPr>
                </w:p>
              </w:tc>
              <w:tc>
                <w:tcPr>
                  <w:tcW w:w="571" w:type="pct"/>
                  <w:vMerge w:val="restart"/>
                  <w:tcBorders>
                    <w:tl2br w:val="nil"/>
                    <w:tr2bl w:val="nil"/>
                  </w:tcBorders>
                  <w:vAlign w:val="center"/>
                </w:tcPr>
                <w:p w14:paraId="1FAEDB23">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szCs w:val="21"/>
                      <w:u w:val="none" w:color="auto"/>
                      <w14:textFill>
                        <w14:solidFill>
                          <w14:schemeClr w14:val="tx1"/>
                        </w14:solidFill>
                      </w14:textFill>
                    </w:rPr>
                    <w:t>固废治理设施</w:t>
                  </w:r>
                </w:p>
              </w:tc>
              <w:tc>
                <w:tcPr>
                  <w:tcW w:w="2893" w:type="pct"/>
                  <w:tcBorders>
                    <w:tl2br w:val="nil"/>
                    <w:tr2bl w:val="nil"/>
                  </w:tcBorders>
                  <w:vAlign w:val="center"/>
                </w:tcPr>
                <w:p w14:paraId="3A6E0980">
                  <w:pPr>
                    <w:adjustRightInd w:val="0"/>
                    <w:snapToGrid w:val="0"/>
                    <w:jc w:val="center"/>
                    <w:rPr>
                      <w:color w:val="000000" w:themeColor="text1"/>
                      <w:kern w:val="36"/>
                      <w:szCs w:val="21"/>
                      <w:u w:val="none" w:color="auto"/>
                      <w14:textFill>
                        <w14:solidFill>
                          <w14:schemeClr w14:val="tx1"/>
                        </w14:solidFill>
                      </w14:textFill>
                    </w:rPr>
                  </w:pPr>
                  <w:bookmarkStart w:id="12" w:name="OLE_LINK132"/>
                  <w:bookmarkStart w:id="13" w:name="OLE_LINK129"/>
                  <w:r>
                    <w:rPr>
                      <w:rFonts w:hint="eastAsia"/>
                      <w:color w:val="000000" w:themeColor="text1"/>
                      <w:szCs w:val="21"/>
                      <w:u w:val="none" w:color="auto"/>
                      <w14:textFill>
                        <w14:solidFill>
                          <w14:schemeClr w14:val="tx1"/>
                        </w14:solidFill>
                      </w14:textFill>
                    </w:rPr>
                    <w:t>一般固废暂存间一间</w:t>
                  </w:r>
                  <w:r>
                    <w:rPr>
                      <w:rFonts w:hint="eastAsia"/>
                      <w:color w:val="000000" w:themeColor="text1"/>
                      <w:szCs w:val="21"/>
                      <w:u w:val="none" w:color="auto"/>
                      <w:lang w:eastAsia="zh-CN"/>
                      <w14:textFill>
                        <w14:solidFill>
                          <w14:schemeClr w14:val="tx1"/>
                        </w14:solidFill>
                      </w14:textFill>
                    </w:rPr>
                    <w:t>（</w:t>
                  </w:r>
                  <w:r>
                    <w:rPr>
                      <w:rFonts w:hint="eastAsia"/>
                      <w:color w:val="000000" w:themeColor="text1"/>
                      <w:szCs w:val="21"/>
                      <w:u w:val="none" w:color="auto"/>
                      <w:lang w:val="en-US" w:eastAsia="zh-CN"/>
                      <w14:textFill>
                        <w14:solidFill>
                          <w14:schemeClr w14:val="tx1"/>
                        </w14:solidFill>
                      </w14:textFill>
                    </w:rPr>
                    <w:t>16间</w:t>
                  </w:r>
                  <w:r>
                    <w:rPr>
                      <w:rFonts w:hint="eastAsia"/>
                      <w:color w:val="000000" w:themeColor="text1"/>
                      <w:szCs w:val="21"/>
                      <w:u w:val="none" w:color="auto"/>
                      <w:lang w:eastAsia="zh-CN"/>
                      <w14:textFill>
                        <w14:solidFill>
                          <w14:schemeClr w14:val="tx1"/>
                        </w14:solidFill>
                      </w14:textFill>
                    </w:rPr>
                    <w:t>）</w:t>
                  </w:r>
                  <w:r>
                    <w:rPr>
                      <w:rFonts w:hint="eastAsia"/>
                      <w:color w:val="000000" w:themeColor="text1"/>
                      <w:kern w:val="36"/>
                      <w:szCs w:val="21"/>
                      <w:u w:val="none" w:color="auto"/>
                      <w14:textFill>
                        <w14:solidFill>
                          <w14:schemeClr w14:val="tx1"/>
                        </w14:solidFill>
                      </w14:textFill>
                    </w:rPr>
                    <w:t>，面积</w:t>
                  </w:r>
                  <w:r>
                    <w:rPr>
                      <w:rFonts w:hint="eastAsia"/>
                      <w:color w:val="000000" w:themeColor="text1"/>
                      <w:szCs w:val="21"/>
                      <w:u w:val="none" w:color="auto"/>
                      <w:lang w:val="en-US" w:eastAsia="zh-CN"/>
                      <w14:textFill>
                        <w14:solidFill>
                          <w14:schemeClr w14:val="tx1"/>
                        </w14:solidFill>
                      </w14:textFill>
                    </w:rPr>
                    <w:t>300</w:t>
                  </w:r>
                  <w:r>
                    <w:rPr>
                      <w:rFonts w:hint="eastAsia"/>
                      <w:color w:val="000000" w:themeColor="text1"/>
                      <w:kern w:val="36"/>
                      <w:szCs w:val="21"/>
                      <w:u w:val="none" w:color="auto"/>
                      <w14:textFill>
                        <w14:solidFill>
                          <w14:schemeClr w14:val="tx1"/>
                        </w14:solidFill>
                      </w14:textFill>
                    </w:rPr>
                    <w:t>m</w:t>
                  </w:r>
                  <w:r>
                    <w:rPr>
                      <w:rFonts w:hint="eastAsia"/>
                      <w:color w:val="000000" w:themeColor="text1"/>
                      <w:kern w:val="36"/>
                      <w:szCs w:val="21"/>
                      <w:u w:val="none" w:color="auto"/>
                      <w:vertAlign w:val="superscript"/>
                      <w14:textFill>
                        <w14:solidFill>
                          <w14:schemeClr w14:val="tx1"/>
                        </w14:solidFill>
                      </w14:textFill>
                    </w:rPr>
                    <w:t>2</w:t>
                  </w:r>
                  <w:bookmarkEnd w:id="12"/>
                  <w:bookmarkEnd w:id="13"/>
                </w:p>
              </w:tc>
              <w:tc>
                <w:tcPr>
                  <w:tcW w:w="721" w:type="pct"/>
                  <w:tcBorders>
                    <w:tl2br w:val="nil"/>
                    <w:tr2bl w:val="nil"/>
                  </w:tcBorders>
                  <w:vAlign w:val="center"/>
                </w:tcPr>
                <w:p w14:paraId="3CD4E4AB">
                  <w:pPr>
                    <w:adjustRightInd w:val="0"/>
                    <w:snapToGrid w:val="0"/>
                    <w:jc w:val="center"/>
                    <w:rPr>
                      <w:color w:val="000000" w:themeColor="text1"/>
                      <w:szCs w:val="21"/>
                      <w:u w:val="none" w:color="auto"/>
                      <w14:textFill>
                        <w14:solidFill>
                          <w14:schemeClr w14:val="tx1"/>
                        </w14:solidFill>
                      </w14:textFill>
                    </w:rPr>
                  </w:pPr>
                  <w:r>
                    <w:rPr>
                      <w:rFonts w:hint="eastAsia"/>
                      <w:color w:val="000000" w:themeColor="text1"/>
                      <w:szCs w:val="21"/>
                      <w:u w:val="none" w:color="auto"/>
                      <w14:textFill>
                        <w14:solidFill>
                          <w14:schemeClr w14:val="tx1"/>
                        </w14:solidFill>
                      </w14:textFill>
                    </w:rPr>
                    <w:t>新建</w:t>
                  </w:r>
                </w:p>
              </w:tc>
            </w:tr>
            <w:tr w14:paraId="6A2D869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69" w:type="pct"/>
                  <w:vMerge w:val="continue"/>
                  <w:tcBorders>
                    <w:tl2br w:val="nil"/>
                    <w:tr2bl w:val="nil"/>
                  </w:tcBorders>
                  <w:vAlign w:val="center"/>
                </w:tcPr>
                <w:p w14:paraId="27455BED">
                  <w:pPr>
                    <w:adjustRightInd w:val="0"/>
                    <w:snapToGrid w:val="0"/>
                    <w:jc w:val="center"/>
                    <w:rPr>
                      <w:color w:val="000000" w:themeColor="text1"/>
                      <w:kern w:val="36"/>
                      <w:szCs w:val="21"/>
                      <w:highlight w:val="yellow"/>
                      <w:u w:val="none" w:color="auto"/>
                      <w14:textFill>
                        <w14:solidFill>
                          <w14:schemeClr w14:val="tx1"/>
                        </w14:solidFill>
                      </w14:textFill>
                    </w:rPr>
                  </w:pPr>
                </w:p>
              </w:tc>
              <w:tc>
                <w:tcPr>
                  <w:tcW w:w="443" w:type="pct"/>
                  <w:vMerge w:val="continue"/>
                  <w:tcBorders>
                    <w:tl2br w:val="nil"/>
                    <w:tr2bl w:val="nil"/>
                  </w:tcBorders>
                  <w:vAlign w:val="center"/>
                </w:tcPr>
                <w:p w14:paraId="334253A2">
                  <w:pPr>
                    <w:adjustRightInd w:val="0"/>
                    <w:snapToGrid w:val="0"/>
                    <w:jc w:val="center"/>
                    <w:rPr>
                      <w:color w:val="000000" w:themeColor="text1"/>
                      <w:kern w:val="36"/>
                      <w:szCs w:val="21"/>
                      <w:highlight w:val="yellow"/>
                      <w:u w:val="none" w:color="auto"/>
                      <w14:textFill>
                        <w14:solidFill>
                          <w14:schemeClr w14:val="tx1"/>
                        </w14:solidFill>
                      </w14:textFill>
                    </w:rPr>
                  </w:pPr>
                </w:p>
              </w:tc>
              <w:tc>
                <w:tcPr>
                  <w:tcW w:w="571" w:type="pct"/>
                  <w:vMerge w:val="continue"/>
                  <w:tcBorders>
                    <w:tl2br w:val="nil"/>
                    <w:tr2bl w:val="nil"/>
                  </w:tcBorders>
                  <w:vAlign w:val="center"/>
                </w:tcPr>
                <w:p w14:paraId="17F20E56">
                  <w:pPr>
                    <w:adjustRightInd w:val="0"/>
                    <w:snapToGrid w:val="0"/>
                    <w:jc w:val="center"/>
                    <w:rPr>
                      <w:color w:val="000000" w:themeColor="text1"/>
                      <w:szCs w:val="21"/>
                      <w:u w:val="none" w:color="auto"/>
                      <w14:textFill>
                        <w14:solidFill>
                          <w14:schemeClr w14:val="tx1"/>
                        </w14:solidFill>
                      </w14:textFill>
                    </w:rPr>
                  </w:pPr>
                </w:p>
              </w:tc>
              <w:tc>
                <w:tcPr>
                  <w:tcW w:w="2893" w:type="pct"/>
                  <w:tcBorders>
                    <w:tl2br w:val="nil"/>
                    <w:tr2bl w:val="nil"/>
                  </w:tcBorders>
                  <w:vAlign w:val="center"/>
                </w:tcPr>
                <w:p w14:paraId="55156C36">
                  <w:pPr>
                    <w:adjustRightInd w:val="0"/>
                    <w:snapToGrid w:val="0"/>
                    <w:jc w:val="center"/>
                    <w:rPr>
                      <w:color w:val="000000" w:themeColor="text1"/>
                      <w:szCs w:val="21"/>
                      <w:u w:val="none" w:color="auto"/>
                      <w14:textFill>
                        <w14:solidFill>
                          <w14:schemeClr w14:val="tx1"/>
                        </w14:solidFill>
                      </w14:textFill>
                    </w:rPr>
                  </w:pPr>
                  <w:r>
                    <w:rPr>
                      <w:rFonts w:hint="eastAsia"/>
                      <w:color w:val="000000" w:themeColor="text1"/>
                      <w:szCs w:val="21"/>
                      <w:u w:val="none" w:color="auto"/>
                      <w14:textFill>
                        <w14:solidFill>
                          <w14:schemeClr w14:val="tx1"/>
                        </w14:solidFill>
                      </w14:textFill>
                    </w:rPr>
                    <w:t>危废暂存间一间</w:t>
                  </w:r>
                  <w:r>
                    <w:rPr>
                      <w:rFonts w:hint="eastAsia"/>
                      <w:color w:val="000000" w:themeColor="text1"/>
                      <w:kern w:val="36"/>
                      <w:szCs w:val="21"/>
                      <w:u w:val="none" w:color="auto"/>
                      <w14:textFill>
                        <w14:solidFill>
                          <w14:schemeClr w14:val="tx1"/>
                        </w14:solidFill>
                      </w14:textFill>
                    </w:rPr>
                    <w:t>，面积</w:t>
                  </w:r>
                  <w:r>
                    <w:rPr>
                      <w:rFonts w:hint="eastAsia"/>
                      <w:color w:val="000000" w:themeColor="text1"/>
                      <w:szCs w:val="21"/>
                      <w:u w:val="none" w:color="auto"/>
                      <w:lang w:val="en-US" w:eastAsia="zh-CN"/>
                      <w14:textFill>
                        <w14:solidFill>
                          <w14:schemeClr w14:val="tx1"/>
                        </w14:solidFill>
                      </w14:textFill>
                    </w:rPr>
                    <w:t>30</w:t>
                  </w:r>
                  <w:r>
                    <w:rPr>
                      <w:rFonts w:hint="eastAsia"/>
                      <w:color w:val="000000" w:themeColor="text1"/>
                      <w:kern w:val="36"/>
                      <w:szCs w:val="21"/>
                      <w:u w:val="none" w:color="auto"/>
                      <w14:textFill>
                        <w14:solidFill>
                          <w14:schemeClr w14:val="tx1"/>
                        </w14:solidFill>
                      </w14:textFill>
                    </w:rPr>
                    <w:t>m</w:t>
                  </w:r>
                  <w:r>
                    <w:rPr>
                      <w:rFonts w:hint="eastAsia"/>
                      <w:color w:val="000000" w:themeColor="text1"/>
                      <w:kern w:val="36"/>
                      <w:szCs w:val="21"/>
                      <w:u w:val="none" w:color="auto"/>
                      <w:vertAlign w:val="superscript"/>
                      <w14:textFill>
                        <w14:solidFill>
                          <w14:schemeClr w14:val="tx1"/>
                        </w14:solidFill>
                      </w14:textFill>
                    </w:rPr>
                    <w:t>2</w:t>
                  </w:r>
                </w:p>
              </w:tc>
              <w:tc>
                <w:tcPr>
                  <w:tcW w:w="721" w:type="pct"/>
                  <w:tcBorders>
                    <w:tl2br w:val="nil"/>
                    <w:tr2bl w:val="nil"/>
                  </w:tcBorders>
                  <w:vAlign w:val="center"/>
                </w:tcPr>
                <w:p w14:paraId="4734963B">
                  <w:pPr>
                    <w:adjustRightInd w:val="0"/>
                    <w:snapToGrid w:val="0"/>
                    <w:jc w:val="center"/>
                    <w:rPr>
                      <w:color w:val="000000" w:themeColor="text1"/>
                      <w:szCs w:val="21"/>
                      <w:u w:val="none" w:color="auto"/>
                      <w14:textFill>
                        <w14:solidFill>
                          <w14:schemeClr w14:val="tx1"/>
                        </w14:solidFill>
                      </w14:textFill>
                    </w:rPr>
                  </w:pPr>
                  <w:r>
                    <w:rPr>
                      <w:rFonts w:hint="eastAsia"/>
                      <w:color w:val="000000" w:themeColor="text1"/>
                      <w:szCs w:val="21"/>
                      <w:u w:val="none" w:color="auto"/>
                      <w14:textFill>
                        <w14:solidFill>
                          <w14:schemeClr w14:val="tx1"/>
                        </w14:solidFill>
                      </w14:textFill>
                    </w:rPr>
                    <w:t>新建</w:t>
                  </w:r>
                </w:p>
              </w:tc>
            </w:tr>
            <w:tr w14:paraId="4A7A67E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69" w:type="pct"/>
                  <w:vMerge w:val="restart"/>
                  <w:tcBorders>
                    <w:tl2br w:val="nil"/>
                    <w:tr2bl w:val="nil"/>
                  </w:tcBorders>
                  <w:vAlign w:val="center"/>
                </w:tcPr>
                <w:p w14:paraId="2C5ADAFA">
                  <w:pPr>
                    <w:adjustRightInd w:val="0"/>
                    <w:snapToGrid w:val="0"/>
                    <w:jc w:val="center"/>
                    <w:rPr>
                      <w:rFonts w:hint="eastAsia" w:eastAsia="宋体"/>
                      <w:color w:val="000000" w:themeColor="text1"/>
                      <w:kern w:val="36"/>
                      <w:szCs w:val="21"/>
                      <w:u w:val="none" w:color="auto"/>
                      <w:lang w:eastAsia="zh-CN"/>
                      <w14:textFill>
                        <w14:solidFill>
                          <w14:schemeClr w14:val="tx1"/>
                        </w14:solidFill>
                      </w14:textFill>
                    </w:rPr>
                  </w:pPr>
                  <w:r>
                    <w:rPr>
                      <w:rFonts w:hint="eastAsia"/>
                      <w:color w:val="000000" w:themeColor="text1"/>
                      <w:kern w:val="36"/>
                      <w:szCs w:val="21"/>
                      <w:u w:val="none" w:color="auto"/>
                      <w:lang w:val="en-US" w:eastAsia="zh-CN"/>
                      <w14:textFill>
                        <w14:solidFill>
                          <w14:schemeClr w14:val="tx1"/>
                        </w14:solidFill>
                      </w14:textFill>
                    </w:rPr>
                    <w:t>2</w:t>
                  </w:r>
                </w:p>
              </w:tc>
              <w:tc>
                <w:tcPr>
                  <w:tcW w:w="443" w:type="pct"/>
                  <w:vMerge w:val="restart"/>
                  <w:tcBorders>
                    <w:tl2br w:val="nil"/>
                    <w:tr2bl w:val="nil"/>
                  </w:tcBorders>
                  <w:vAlign w:val="center"/>
                </w:tcPr>
                <w:p w14:paraId="64394CAF">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14:textFill>
                        <w14:solidFill>
                          <w14:schemeClr w14:val="tx1"/>
                        </w14:solidFill>
                      </w14:textFill>
                    </w:rPr>
                    <w:t>公用工程</w:t>
                  </w:r>
                </w:p>
              </w:tc>
              <w:tc>
                <w:tcPr>
                  <w:tcW w:w="571" w:type="pct"/>
                  <w:tcBorders>
                    <w:tl2br w:val="nil"/>
                    <w:tr2bl w:val="nil"/>
                  </w:tcBorders>
                  <w:vAlign w:val="center"/>
                </w:tcPr>
                <w:p w14:paraId="4349ACA5">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14:textFill>
                        <w14:solidFill>
                          <w14:schemeClr w14:val="tx1"/>
                        </w14:solidFill>
                      </w14:textFill>
                    </w:rPr>
                    <w:t>供水</w:t>
                  </w:r>
                </w:p>
              </w:tc>
              <w:tc>
                <w:tcPr>
                  <w:tcW w:w="2893" w:type="pct"/>
                  <w:tcBorders>
                    <w:tl2br w:val="nil"/>
                    <w:tr2bl w:val="nil"/>
                  </w:tcBorders>
                  <w:vAlign w:val="center"/>
                </w:tcPr>
                <w:p w14:paraId="357D1A7D">
                  <w:pPr>
                    <w:adjustRightInd w:val="0"/>
                    <w:snapToGrid w:val="0"/>
                    <w:jc w:val="center"/>
                    <w:rPr>
                      <w:color w:val="000000" w:themeColor="text1"/>
                      <w:szCs w:val="21"/>
                      <w:u w:val="none" w:color="auto"/>
                      <w14:textFill>
                        <w14:solidFill>
                          <w14:schemeClr w14:val="tx1"/>
                        </w14:solidFill>
                      </w14:textFill>
                    </w:rPr>
                  </w:pPr>
                  <w:r>
                    <w:rPr>
                      <w:rFonts w:hint="eastAsia" w:hAnsiTheme="majorEastAsia" w:eastAsiaTheme="majorEastAsia"/>
                      <w:szCs w:val="21"/>
                      <w:u w:val="none" w:color="auto"/>
                    </w:rPr>
                    <w:t>园区供水</w:t>
                  </w:r>
                </w:p>
              </w:tc>
              <w:tc>
                <w:tcPr>
                  <w:tcW w:w="721" w:type="pct"/>
                  <w:vMerge w:val="restart"/>
                  <w:tcBorders>
                    <w:tl2br w:val="nil"/>
                    <w:tr2bl w:val="nil"/>
                  </w:tcBorders>
                  <w:vAlign w:val="center"/>
                </w:tcPr>
                <w:p w14:paraId="410658FB">
                  <w:pPr>
                    <w:adjustRightInd w:val="0"/>
                    <w:snapToGrid w:val="0"/>
                    <w:jc w:val="center"/>
                    <w:rPr>
                      <w:color w:val="000000" w:themeColor="text1"/>
                      <w:szCs w:val="21"/>
                      <w:u w:val="none" w:color="auto"/>
                      <w14:textFill>
                        <w14:solidFill>
                          <w14:schemeClr w14:val="tx1"/>
                        </w14:solidFill>
                      </w14:textFill>
                    </w:rPr>
                  </w:pPr>
                  <w:r>
                    <w:rPr>
                      <w:rFonts w:hint="eastAsia"/>
                      <w:color w:val="000000" w:themeColor="text1"/>
                      <w:szCs w:val="21"/>
                      <w:u w:val="none" w:color="auto"/>
                      <w14:textFill>
                        <w14:solidFill>
                          <w14:schemeClr w14:val="tx1"/>
                        </w14:solidFill>
                      </w14:textFill>
                    </w:rPr>
                    <w:t>/</w:t>
                  </w:r>
                </w:p>
              </w:tc>
            </w:tr>
            <w:tr w14:paraId="29DEA17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69" w:type="pct"/>
                  <w:vMerge w:val="continue"/>
                  <w:tcBorders>
                    <w:tl2br w:val="nil"/>
                    <w:tr2bl w:val="nil"/>
                  </w:tcBorders>
                  <w:vAlign w:val="center"/>
                </w:tcPr>
                <w:p w14:paraId="332F2E1B">
                  <w:pPr>
                    <w:adjustRightInd w:val="0"/>
                    <w:snapToGrid w:val="0"/>
                    <w:jc w:val="center"/>
                    <w:rPr>
                      <w:color w:val="000000" w:themeColor="text1"/>
                      <w:kern w:val="36"/>
                      <w:szCs w:val="21"/>
                      <w:u w:val="none" w:color="auto"/>
                      <w14:textFill>
                        <w14:solidFill>
                          <w14:schemeClr w14:val="tx1"/>
                        </w14:solidFill>
                      </w14:textFill>
                    </w:rPr>
                  </w:pPr>
                </w:p>
              </w:tc>
              <w:tc>
                <w:tcPr>
                  <w:tcW w:w="443" w:type="pct"/>
                  <w:vMerge w:val="continue"/>
                  <w:tcBorders>
                    <w:tl2br w:val="nil"/>
                    <w:tr2bl w:val="nil"/>
                  </w:tcBorders>
                  <w:vAlign w:val="center"/>
                </w:tcPr>
                <w:p w14:paraId="3086820C">
                  <w:pPr>
                    <w:adjustRightInd w:val="0"/>
                    <w:snapToGrid w:val="0"/>
                    <w:jc w:val="center"/>
                    <w:rPr>
                      <w:color w:val="000000" w:themeColor="text1"/>
                      <w:kern w:val="36"/>
                      <w:szCs w:val="21"/>
                      <w:u w:val="none" w:color="auto"/>
                      <w14:textFill>
                        <w14:solidFill>
                          <w14:schemeClr w14:val="tx1"/>
                        </w14:solidFill>
                      </w14:textFill>
                    </w:rPr>
                  </w:pPr>
                </w:p>
              </w:tc>
              <w:tc>
                <w:tcPr>
                  <w:tcW w:w="571" w:type="pct"/>
                  <w:tcBorders>
                    <w:tl2br w:val="nil"/>
                    <w:tr2bl w:val="nil"/>
                  </w:tcBorders>
                  <w:vAlign w:val="center"/>
                </w:tcPr>
                <w:p w14:paraId="6CAF7EB7">
                  <w:pPr>
                    <w:adjustRightInd w:val="0"/>
                    <w:snapToGrid w:val="0"/>
                    <w:jc w:val="center"/>
                    <w:rPr>
                      <w:color w:val="000000" w:themeColor="text1"/>
                      <w:kern w:val="36"/>
                      <w:szCs w:val="21"/>
                      <w:u w:val="none" w:color="auto"/>
                      <w14:textFill>
                        <w14:solidFill>
                          <w14:schemeClr w14:val="tx1"/>
                        </w14:solidFill>
                      </w14:textFill>
                    </w:rPr>
                  </w:pPr>
                  <w:r>
                    <w:rPr>
                      <w:rFonts w:hint="eastAsia"/>
                      <w:color w:val="000000" w:themeColor="text1"/>
                      <w:kern w:val="36"/>
                      <w:szCs w:val="21"/>
                      <w:u w:val="none" w:color="auto"/>
                      <w14:textFill>
                        <w14:solidFill>
                          <w14:schemeClr w14:val="tx1"/>
                        </w14:solidFill>
                      </w14:textFill>
                    </w:rPr>
                    <w:t>供电</w:t>
                  </w:r>
                </w:p>
              </w:tc>
              <w:tc>
                <w:tcPr>
                  <w:tcW w:w="2893" w:type="pct"/>
                  <w:tcBorders>
                    <w:tl2br w:val="nil"/>
                    <w:tr2bl w:val="nil"/>
                  </w:tcBorders>
                  <w:vAlign w:val="center"/>
                </w:tcPr>
                <w:p w14:paraId="6732FA96">
                  <w:pPr>
                    <w:adjustRightInd w:val="0"/>
                    <w:snapToGrid w:val="0"/>
                    <w:jc w:val="center"/>
                    <w:rPr>
                      <w:rFonts w:hint="default" w:eastAsia="宋体"/>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市政供电</w:t>
                  </w:r>
                </w:p>
              </w:tc>
              <w:tc>
                <w:tcPr>
                  <w:tcW w:w="721" w:type="pct"/>
                  <w:vMerge w:val="continue"/>
                  <w:tcBorders>
                    <w:tl2br w:val="nil"/>
                    <w:tr2bl w:val="nil"/>
                  </w:tcBorders>
                  <w:vAlign w:val="center"/>
                </w:tcPr>
                <w:p w14:paraId="7FC13E8D">
                  <w:pPr>
                    <w:adjustRightInd w:val="0"/>
                    <w:snapToGrid w:val="0"/>
                    <w:jc w:val="center"/>
                    <w:rPr>
                      <w:color w:val="000000" w:themeColor="text1"/>
                      <w:szCs w:val="21"/>
                      <w:u w:val="none" w:color="auto"/>
                      <w14:textFill>
                        <w14:solidFill>
                          <w14:schemeClr w14:val="tx1"/>
                        </w14:solidFill>
                      </w14:textFill>
                    </w:rPr>
                  </w:pPr>
                </w:p>
              </w:tc>
            </w:tr>
          </w:tbl>
          <w:p w14:paraId="2E75BFA0">
            <w:pPr>
              <w:keepNext w:val="0"/>
              <w:keepLines w:val="0"/>
              <w:pageBreakBefore w:val="0"/>
              <w:widowControl w:val="0"/>
              <w:kinsoku/>
              <w:wordWrap/>
              <w:overflowPunct/>
              <w:topLinePunct w:val="0"/>
              <w:autoSpaceDE/>
              <w:autoSpaceDN/>
              <w:bidi w:val="0"/>
              <w:adjustRightInd w:val="0"/>
              <w:snapToGrid w:val="0"/>
              <w:spacing w:line="440" w:lineRule="exact"/>
              <w:ind w:firstLine="479" w:firstLineChars="199"/>
              <w:rPr>
                <w:b/>
                <w:sz w:val="24"/>
                <w:u w:val="none" w:color="auto"/>
              </w:rPr>
            </w:pPr>
            <w:r>
              <w:rPr>
                <w:rFonts w:hint="eastAsia"/>
                <w:b/>
                <w:bCs/>
                <w:sz w:val="24"/>
                <w:u w:val="none" w:color="auto"/>
                <w:lang w:val="en-US" w:eastAsia="zh-CN"/>
              </w:rPr>
              <w:t>3</w:t>
            </w:r>
            <w:r>
              <w:rPr>
                <w:rFonts w:hint="eastAsia"/>
                <w:b/>
                <w:bCs/>
                <w:sz w:val="24"/>
                <w:u w:val="none" w:color="auto"/>
              </w:rPr>
              <w:t>、</w:t>
            </w:r>
            <w:r>
              <w:rPr>
                <w:b/>
                <w:sz w:val="24"/>
                <w:u w:val="none" w:color="auto"/>
              </w:rPr>
              <w:t>项目生产规模及产品方案</w:t>
            </w:r>
          </w:p>
          <w:p w14:paraId="3579311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rPr>
                <w:sz w:val="24"/>
                <w:u w:val="none" w:color="auto"/>
              </w:rPr>
            </w:pPr>
            <w:r>
              <w:rPr>
                <w:rFonts w:hint="eastAsia"/>
                <w:sz w:val="24"/>
                <w:u w:val="none" w:color="auto"/>
                <w:lang w:val="en-US" w:eastAsia="zh-CN"/>
              </w:rPr>
              <w:t>本项目建成后产品方案见下表</w:t>
            </w:r>
            <w:r>
              <w:rPr>
                <w:rFonts w:hint="eastAsia"/>
                <w:sz w:val="24"/>
                <w:u w:val="none" w:color="auto"/>
              </w:rPr>
              <w:t>：</w:t>
            </w:r>
          </w:p>
          <w:p w14:paraId="21020C4F">
            <w:pPr>
              <w:pStyle w:val="17"/>
              <w:keepNext w:val="0"/>
              <w:keepLines w:val="0"/>
              <w:pageBreakBefore w:val="0"/>
              <w:widowControl w:val="0"/>
              <w:kinsoku/>
              <w:wordWrap/>
              <w:overflowPunct/>
              <w:topLinePunct w:val="0"/>
              <w:autoSpaceDE/>
              <w:autoSpaceDN/>
              <w:bidi w:val="0"/>
              <w:adjustRightInd w:val="0"/>
              <w:snapToGrid w:val="0"/>
              <w:spacing w:line="440" w:lineRule="exact"/>
              <w:ind w:firstLine="458" w:firstLineChars="200"/>
              <w:textAlignment w:val="baseline"/>
              <w:rPr>
                <w:rFonts w:eastAsia="宋体"/>
                <w:bCs/>
                <w:color w:val="auto"/>
                <w:spacing w:val="-6"/>
                <w:sz w:val="24"/>
                <w:szCs w:val="24"/>
                <w:u w:val="none" w:color="auto"/>
              </w:rPr>
            </w:pPr>
            <w:r>
              <w:rPr>
                <w:rFonts w:hint="eastAsia" w:eastAsia="宋体"/>
                <w:bCs/>
                <w:color w:val="auto"/>
                <w:spacing w:val="-6"/>
                <w:sz w:val="24"/>
                <w:szCs w:val="24"/>
                <w:u w:val="none" w:color="auto"/>
              </w:rPr>
              <w:t xml:space="preserve">表2-3  </w:t>
            </w:r>
            <w:r>
              <w:rPr>
                <w:rFonts w:hint="eastAsia" w:eastAsia="宋体"/>
                <w:bCs/>
                <w:color w:val="auto"/>
                <w:spacing w:val="-6"/>
                <w:sz w:val="24"/>
                <w:szCs w:val="24"/>
                <w:u w:val="none" w:color="auto"/>
                <w:lang w:val="en-US" w:eastAsia="zh-CN"/>
              </w:rPr>
              <w:t xml:space="preserve">  </w:t>
            </w:r>
            <w:r>
              <w:rPr>
                <w:rFonts w:hint="eastAsia"/>
                <w:bCs/>
                <w:color w:val="auto"/>
                <w:spacing w:val="-6"/>
                <w:sz w:val="24"/>
                <w:szCs w:val="24"/>
                <w:u w:val="none" w:color="auto"/>
                <w:lang w:val="en-US" w:eastAsia="zh-CN"/>
              </w:rPr>
              <w:t>本项目</w:t>
            </w:r>
            <w:r>
              <w:rPr>
                <w:rFonts w:eastAsia="宋体"/>
                <w:bCs/>
                <w:color w:val="auto"/>
                <w:spacing w:val="-6"/>
                <w:sz w:val="24"/>
                <w:szCs w:val="24"/>
                <w:u w:val="none" w:color="auto"/>
              </w:rPr>
              <w:t>产品方案一览表</w:t>
            </w:r>
          </w:p>
          <w:tbl>
            <w:tblPr>
              <w:tblStyle w:val="32"/>
              <w:tblW w:w="4626"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959"/>
              <w:gridCol w:w="941"/>
              <w:gridCol w:w="3202"/>
            </w:tblGrid>
            <w:tr w14:paraId="4BF3627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588" w:type="pct"/>
                  <w:tcBorders>
                    <w:bottom w:val="single" w:color="000000" w:sz="8" w:space="0"/>
                    <w:tl2br w:val="nil"/>
                    <w:tr2bl w:val="nil"/>
                  </w:tcBorders>
                  <w:noWrap w:val="0"/>
                  <w:vAlign w:val="center"/>
                </w:tcPr>
                <w:p w14:paraId="66786410">
                  <w:pPr>
                    <w:widowControl/>
                    <w:jc w:val="center"/>
                    <w:rPr>
                      <w:b/>
                      <w:bCs/>
                      <w:kern w:val="0"/>
                      <w:sz w:val="21"/>
                      <w:szCs w:val="21"/>
                      <w:u w:val="none" w:color="auto"/>
                    </w:rPr>
                  </w:pPr>
                  <w:r>
                    <w:rPr>
                      <w:rFonts w:hint="default"/>
                      <w:b/>
                      <w:bCs/>
                      <w:kern w:val="0"/>
                      <w:sz w:val="21"/>
                      <w:szCs w:val="21"/>
                      <w:u w:val="none" w:color="auto"/>
                    </w:rPr>
                    <w:t>序号</w:t>
                  </w:r>
                </w:p>
              </w:tc>
              <w:tc>
                <w:tcPr>
                  <w:tcW w:w="1416" w:type="pct"/>
                  <w:tcBorders>
                    <w:bottom w:val="single" w:color="000000" w:sz="8" w:space="0"/>
                    <w:tl2br w:val="nil"/>
                    <w:tr2bl w:val="nil"/>
                  </w:tcBorders>
                  <w:noWrap w:val="0"/>
                  <w:vAlign w:val="center"/>
                </w:tcPr>
                <w:p w14:paraId="33EC887B">
                  <w:pPr>
                    <w:widowControl/>
                    <w:jc w:val="center"/>
                    <w:rPr>
                      <w:rFonts w:hint="eastAsia" w:eastAsia="宋体"/>
                      <w:b/>
                      <w:bCs/>
                      <w:kern w:val="0"/>
                      <w:sz w:val="21"/>
                      <w:szCs w:val="21"/>
                      <w:u w:val="none" w:color="auto"/>
                      <w:lang w:eastAsia="zh-CN"/>
                    </w:rPr>
                  </w:pPr>
                  <w:r>
                    <w:rPr>
                      <w:rFonts w:hint="eastAsia"/>
                      <w:b/>
                      <w:bCs/>
                      <w:kern w:val="0"/>
                      <w:sz w:val="21"/>
                      <w:szCs w:val="21"/>
                      <w:u w:val="none" w:color="auto"/>
                    </w:rPr>
                    <w:t>产品</w:t>
                  </w:r>
                  <w:r>
                    <w:rPr>
                      <w:rFonts w:hint="eastAsia"/>
                      <w:b/>
                      <w:bCs/>
                      <w:kern w:val="0"/>
                      <w:sz w:val="21"/>
                      <w:szCs w:val="21"/>
                      <w:u w:val="none" w:color="auto"/>
                      <w:lang w:eastAsia="zh-CN"/>
                    </w:rPr>
                    <w:t>名称</w:t>
                  </w:r>
                </w:p>
              </w:tc>
              <w:tc>
                <w:tcPr>
                  <w:tcW w:w="680" w:type="pct"/>
                  <w:tcBorders>
                    <w:bottom w:val="single" w:color="000000" w:sz="8" w:space="0"/>
                    <w:tl2br w:val="nil"/>
                    <w:tr2bl w:val="nil"/>
                  </w:tcBorders>
                  <w:noWrap w:val="0"/>
                  <w:vAlign w:val="center"/>
                </w:tcPr>
                <w:p w14:paraId="3FEA17D2">
                  <w:pPr>
                    <w:widowControl/>
                    <w:jc w:val="center"/>
                    <w:rPr>
                      <w:rFonts w:hint="eastAsia" w:eastAsia="宋体"/>
                      <w:b/>
                      <w:bCs/>
                      <w:kern w:val="0"/>
                      <w:sz w:val="21"/>
                      <w:szCs w:val="21"/>
                      <w:u w:val="none" w:color="auto"/>
                      <w:lang w:eastAsia="zh-CN"/>
                    </w:rPr>
                  </w:pPr>
                  <w:r>
                    <w:rPr>
                      <w:rFonts w:hint="eastAsia"/>
                      <w:b/>
                      <w:bCs/>
                      <w:kern w:val="0"/>
                      <w:sz w:val="21"/>
                      <w:szCs w:val="21"/>
                      <w:u w:val="none" w:color="auto"/>
                      <w:lang w:eastAsia="zh-CN"/>
                    </w:rPr>
                    <w:t>年产量</w:t>
                  </w:r>
                </w:p>
              </w:tc>
              <w:tc>
                <w:tcPr>
                  <w:tcW w:w="2314" w:type="pct"/>
                  <w:tcBorders>
                    <w:bottom w:val="single" w:color="000000" w:sz="8" w:space="0"/>
                    <w:tl2br w:val="nil"/>
                    <w:tr2bl w:val="nil"/>
                  </w:tcBorders>
                  <w:noWrap w:val="0"/>
                  <w:vAlign w:val="center"/>
                </w:tcPr>
                <w:p w14:paraId="70B25C92">
                  <w:pPr>
                    <w:widowControl/>
                    <w:jc w:val="center"/>
                    <w:rPr>
                      <w:rFonts w:hint="default"/>
                      <w:b/>
                      <w:bCs/>
                      <w:kern w:val="0"/>
                      <w:sz w:val="21"/>
                      <w:szCs w:val="21"/>
                      <w:u w:val="none" w:color="auto"/>
                      <w:lang w:val="en-US" w:eastAsia="zh-CN"/>
                    </w:rPr>
                  </w:pPr>
                  <w:r>
                    <w:rPr>
                      <w:rFonts w:hint="eastAsia"/>
                      <w:b/>
                      <w:bCs/>
                      <w:kern w:val="0"/>
                      <w:sz w:val="21"/>
                      <w:szCs w:val="21"/>
                      <w:u w:val="none" w:color="auto"/>
                      <w:lang w:val="en-US" w:eastAsia="zh-CN"/>
                    </w:rPr>
                    <w:t>备注</w:t>
                  </w:r>
                </w:p>
              </w:tc>
            </w:tr>
            <w:tr w14:paraId="0B3E08E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588" w:type="pct"/>
                  <w:tcBorders>
                    <w:top w:val="single" w:color="000000" w:sz="8" w:space="0"/>
                    <w:tl2br w:val="nil"/>
                    <w:tr2bl w:val="nil"/>
                  </w:tcBorders>
                  <w:noWrap w:val="0"/>
                  <w:vAlign w:val="center"/>
                </w:tcPr>
                <w:p w14:paraId="213A4EF2">
                  <w:pPr>
                    <w:widowControl/>
                    <w:jc w:val="center"/>
                    <w:rPr>
                      <w:rFonts w:hint="default" w:eastAsia="宋体"/>
                      <w:kern w:val="0"/>
                      <w:sz w:val="21"/>
                      <w:szCs w:val="21"/>
                      <w:u w:val="none" w:color="auto"/>
                      <w:lang w:val="en-US" w:eastAsia="zh-CN"/>
                    </w:rPr>
                  </w:pPr>
                  <w:r>
                    <w:rPr>
                      <w:rFonts w:hint="eastAsia"/>
                      <w:kern w:val="0"/>
                      <w:sz w:val="21"/>
                      <w:szCs w:val="21"/>
                      <w:u w:val="none" w:color="auto"/>
                      <w:lang w:val="en-US" w:eastAsia="zh-CN"/>
                    </w:rPr>
                    <w:t>1</w:t>
                  </w:r>
                </w:p>
              </w:tc>
              <w:tc>
                <w:tcPr>
                  <w:tcW w:w="1416" w:type="pct"/>
                  <w:tcBorders>
                    <w:top w:val="single" w:color="000000" w:sz="8" w:space="0"/>
                    <w:tl2br w:val="nil"/>
                    <w:tr2bl w:val="nil"/>
                  </w:tcBorders>
                  <w:shd w:val="clear" w:color="auto" w:fill="auto"/>
                  <w:noWrap w:val="0"/>
                  <w:vAlign w:val="center"/>
                </w:tcPr>
                <w:p w14:paraId="03A10B3B">
                  <w:pPr>
                    <w:adjustRightInd w:val="0"/>
                    <w:snapToGrid w:val="0"/>
                    <w:jc w:val="center"/>
                    <w:rPr>
                      <w:rFonts w:hint="default" w:ascii="Times New Roman" w:hAnsi="Times New Roman" w:eastAsia="宋体" w:cs="Times New Roman"/>
                      <w:color w:val="auto"/>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锂离子电池</w:t>
                  </w:r>
                </w:p>
              </w:tc>
              <w:tc>
                <w:tcPr>
                  <w:tcW w:w="680" w:type="pct"/>
                  <w:tcBorders>
                    <w:top w:val="single" w:color="000000" w:sz="8" w:space="0"/>
                    <w:tl2br w:val="nil"/>
                    <w:tr2bl w:val="nil"/>
                  </w:tcBorders>
                  <w:noWrap w:val="0"/>
                  <w:vAlign w:val="center"/>
                </w:tcPr>
                <w:p w14:paraId="4E893EFB">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FF0000"/>
                      <w:kern w:val="2"/>
                      <w:sz w:val="21"/>
                      <w:szCs w:val="21"/>
                      <w:highlight w:val="none"/>
                      <w:u w:val="none" w:color="auto"/>
                      <w:vertAlign w:val="baseline"/>
                      <w:lang w:val="en-US" w:eastAsia="zh-CN" w:bidi="ar-SA"/>
                    </w:rPr>
                  </w:pPr>
                  <w:r>
                    <w:rPr>
                      <w:rFonts w:hint="eastAsia" w:cs="Times New Roman"/>
                      <w:color w:val="000000" w:themeColor="text1"/>
                      <w:kern w:val="2"/>
                      <w:sz w:val="21"/>
                      <w:szCs w:val="21"/>
                      <w:highlight w:val="none"/>
                      <w:u w:val="none" w:color="auto"/>
                      <w:vertAlign w:val="baseline"/>
                      <w:lang w:val="en-US" w:eastAsia="zh-CN" w:bidi="ar-SA"/>
                      <w14:textFill>
                        <w14:solidFill>
                          <w14:schemeClr w14:val="tx1"/>
                        </w14:solidFill>
                      </w14:textFill>
                    </w:rPr>
                    <w:t>6亿支</w:t>
                  </w:r>
                </w:p>
              </w:tc>
              <w:tc>
                <w:tcPr>
                  <w:tcW w:w="2314" w:type="pct"/>
                  <w:tcBorders>
                    <w:top w:val="single" w:color="000000" w:sz="8" w:space="0"/>
                    <w:tl2br w:val="nil"/>
                    <w:tr2bl w:val="nil"/>
                  </w:tcBorders>
                  <w:noWrap w:val="0"/>
                  <w:vAlign w:val="center"/>
                </w:tcPr>
                <w:p w14:paraId="65EA79AE">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标称电压</w:t>
                  </w:r>
                  <w:r>
                    <w:rPr>
                      <w:rFonts w:hint="eastAsia" w:ascii="Times New Roman" w:hAnsi="Times New Roman" w:eastAsia="宋体" w:cs="Times New Roman"/>
                      <w:bCs/>
                      <w:color w:val="000000"/>
                      <w:kern w:val="2"/>
                      <w:sz w:val="21"/>
                      <w:szCs w:val="21"/>
                      <w:u w:val="none" w:color="auto"/>
                      <w:lang w:val="en-US" w:eastAsia="zh-CN" w:bidi="ar-SA"/>
                    </w:rPr>
                    <w:t>3.7</w:t>
                  </w:r>
                  <w:r>
                    <w:rPr>
                      <w:rFonts w:hint="default" w:ascii="Times New Roman" w:hAnsi="Times New Roman" w:eastAsia="宋体" w:cs="Times New Roman"/>
                      <w:bCs/>
                      <w:color w:val="000000"/>
                      <w:kern w:val="2"/>
                      <w:sz w:val="21"/>
                      <w:szCs w:val="21"/>
                      <w:u w:val="none" w:color="auto"/>
                      <w:lang w:val="en-US" w:eastAsia="zh-CN" w:bidi="ar-SA"/>
                    </w:rPr>
                    <w:t>V，标称容量</w:t>
                  </w:r>
                  <w:r>
                    <w:rPr>
                      <w:rFonts w:hint="eastAsia" w:cs="Times New Roman"/>
                      <w:bCs/>
                      <w:color w:val="000000"/>
                      <w:kern w:val="2"/>
                      <w:sz w:val="21"/>
                      <w:szCs w:val="21"/>
                      <w:u w:val="none" w:color="auto"/>
                      <w:lang w:val="en-US" w:eastAsia="zh-CN" w:bidi="ar-SA"/>
                    </w:rPr>
                    <w:t>500</w:t>
                  </w:r>
                  <w:r>
                    <w:rPr>
                      <w:rFonts w:hint="default" w:ascii="Times New Roman" w:hAnsi="Times New Roman" w:eastAsia="宋体" w:cs="Times New Roman"/>
                      <w:bCs/>
                      <w:color w:val="000000"/>
                      <w:kern w:val="2"/>
                      <w:sz w:val="21"/>
                      <w:szCs w:val="21"/>
                      <w:u w:val="none" w:color="auto"/>
                      <w:lang w:val="en-US" w:eastAsia="zh-CN" w:bidi="ar-SA"/>
                    </w:rPr>
                    <w:t>mAh，</w:t>
                  </w:r>
                  <w:r>
                    <w:rPr>
                      <w:rFonts w:hint="eastAsia" w:ascii="Times New Roman" w:hAnsi="Times New Roman" w:eastAsia="宋体" w:cs="Times New Roman"/>
                      <w:bCs/>
                      <w:color w:val="000000"/>
                      <w:kern w:val="2"/>
                      <w:sz w:val="21"/>
                      <w:szCs w:val="21"/>
                      <w:u w:val="none" w:color="auto"/>
                      <w:lang w:val="en-US" w:eastAsia="zh-CN" w:bidi="ar-SA"/>
                    </w:rPr>
                    <w:t xml:space="preserve">直径14 </w:t>
                  </w:r>
                  <w:r>
                    <w:rPr>
                      <w:rFonts w:hint="default" w:ascii="Times New Roman" w:hAnsi="Times New Roman" w:eastAsia="宋体" w:cs="Times New Roman"/>
                      <w:bCs/>
                      <w:color w:val="000000"/>
                      <w:kern w:val="2"/>
                      <w:sz w:val="21"/>
                      <w:szCs w:val="21"/>
                      <w:u w:val="none" w:color="auto"/>
                      <w:lang w:val="en-US" w:eastAsia="zh-CN" w:bidi="ar-SA"/>
                    </w:rPr>
                    <w:t>mm，</w:t>
                  </w:r>
                  <w:r>
                    <w:rPr>
                      <w:rFonts w:hint="eastAsia" w:ascii="Times New Roman" w:hAnsi="Times New Roman" w:eastAsia="宋体" w:cs="Times New Roman"/>
                      <w:bCs/>
                      <w:color w:val="000000"/>
                      <w:kern w:val="2"/>
                      <w:sz w:val="21"/>
                      <w:szCs w:val="21"/>
                      <w:u w:val="none" w:color="auto"/>
                      <w:lang w:val="en-US" w:eastAsia="zh-CN" w:bidi="ar-SA"/>
                    </w:rPr>
                    <w:t>高</w:t>
                  </w:r>
                  <w:r>
                    <w:rPr>
                      <w:rFonts w:hint="default" w:ascii="Times New Roman" w:hAnsi="Times New Roman" w:eastAsia="宋体" w:cs="Times New Roman"/>
                      <w:bCs/>
                      <w:color w:val="000000"/>
                      <w:kern w:val="2"/>
                      <w:sz w:val="21"/>
                      <w:szCs w:val="21"/>
                      <w:u w:val="none" w:color="auto"/>
                      <w:lang w:val="en-US" w:eastAsia="zh-CN" w:bidi="ar-SA"/>
                    </w:rPr>
                    <w:t>度</w:t>
                  </w:r>
                  <w:r>
                    <w:rPr>
                      <w:rFonts w:hint="eastAsia" w:ascii="Times New Roman" w:hAnsi="Times New Roman" w:eastAsia="宋体" w:cs="Times New Roman"/>
                      <w:bCs/>
                      <w:color w:val="000000"/>
                      <w:kern w:val="2"/>
                      <w:sz w:val="21"/>
                      <w:szCs w:val="21"/>
                      <w:u w:val="none" w:color="auto"/>
                      <w:lang w:val="en-US" w:eastAsia="zh-CN" w:bidi="ar-SA"/>
                    </w:rPr>
                    <w:t>50</w:t>
                  </w:r>
                  <w:r>
                    <w:rPr>
                      <w:rFonts w:hint="default" w:ascii="Times New Roman" w:hAnsi="Times New Roman" w:eastAsia="宋体" w:cs="Times New Roman"/>
                      <w:bCs/>
                      <w:color w:val="000000"/>
                      <w:kern w:val="2"/>
                      <w:sz w:val="21"/>
                      <w:szCs w:val="21"/>
                      <w:u w:val="none" w:color="auto"/>
                      <w:lang w:val="en-US" w:eastAsia="zh-CN" w:bidi="ar-SA"/>
                    </w:rPr>
                    <w:t>mm</w:t>
                  </w:r>
                </w:p>
              </w:tc>
            </w:tr>
          </w:tbl>
          <w:p w14:paraId="3EAC43F1">
            <w:pPr>
              <w:autoSpaceDE w:val="0"/>
              <w:autoSpaceDN w:val="0"/>
              <w:adjustRightInd w:val="0"/>
              <w:snapToGrid w:val="0"/>
              <w:spacing w:line="360" w:lineRule="auto"/>
              <w:ind w:firstLine="482" w:firstLineChars="200"/>
              <w:rPr>
                <w:b/>
                <w:bCs/>
                <w:sz w:val="24"/>
                <w:u w:val="none" w:color="auto"/>
              </w:rPr>
            </w:pPr>
            <w:r>
              <w:rPr>
                <w:rFonts w:hint="eastAsia"/>
                <w:b/>
                <w:bCs/>
                <w:sz w:val="24"/>
                <w:u w:val="none" w:color="auto"/>
                <w:lang w:val="en-US" w:eastAsia="zh-CN"/>
              </w:rPr>
              <w:t>4</w:t>
            </w:r>
            <w:r>
              <w:rPr>
                <w:rFonts w:hint="eastAsia"/>
                <w:b/>
                <w:bCs/>
                <w:sz w:val="24"/>
                <w:u w:val="none" w:color="auto"/>
              </w:rPr>
              <w:t>、</w:t>
            </w:r>
            <w:r>
              <w:rPr>
                <w:b/>
                <w:bCs/>
                <w:sz w:val="24"/>
                <w:u w:val="none" w:color="auto"/>
              </w:rPr>
              <w:t>主要设备</w:t>
            </w:r>
          </w:p>
          <w:p w14:paraId="639DAD27">
            <w:pPr>
              <w:autoSpaceDE w:val="0"/>
              <w:autoSpaceDN w:val="0"/>
              <w:adjustRightInd w:val="0"/>
              <w:snapToGrid w:val="0"/>
              <w:spacing w:line="360" w:lineRule="auto"/>
              <w:ind w:firstLine="480" w:firstLineChars="200"/>
              <w:rPr>
                <w:rFonts w:hint="eastAsia"/>
                <w:color w:val="auto"/>
                <w:sz w:val="24"/>
                <w:u w:val="none" w:color="auto"/>
              </w:rPr>
            </w:pPr>
            <w:r>
              <w:rPr>
                <w:sz w:val="24"/>
                <w:u w:val="none" w:color="auto"/>
              </w:rPr>
              <w:t>本项目主要生产设备见下</w:t>
            </w:r>
            <w:r>
              <w:rPr>
                <w:color w:val="auto"/>
                <w:sz w:val="24"/>
                <w:u w:val="none" w:color="auto"/>
              </w:rPr>
              <w:t>表</w:t>
            </w:r>
            <w:r>
              <w:rPr>
                <w:rFonts w:hint="eastAsia"/>
                <w:color w:val="auto"/>
                <w:sz w:val="24"/>
                <w:u w:val="none" w:color="auto"/>
              </w:rPr>
              <w:t>：</w:t>
            </w:r>
          </w:p>
          <w:p w14:paraId="4A8A4B78">
            <w:pPr>
              <w:pStyle w:val="17"/>
              <w:keepNext w:val="0"/>
              <w:adjustRightInd w:val="0"/>
              <w:snapToGrid w:val="0"/>
              <w:ind w:firstLine="458" w:firstLineChars="200"/>
              <w:textAlignment w:val="baseline"/>
              <w:rPr>
                <w:rFonts w:eastAsia="宋体"/>
                <w:bCs/>
                <w:color w:val="auto"/>
                <w:spacing w:val="-6"/>
                <w:sz w:val="24"/>
                <w:szCs w:val="24"/>
                <w:u w:val="none" w:color="auto"/>
              </w:rPr>
            </w:pPr>
            <w:r>
              <w:rPr>
                <w:rFonts w:hint="eastAsia" w:eastAsia="宋体"/>
                <w:bCs/>
                <w:color w:val="auto"/>
                <w:spacing w:val="-6"/>
                <w:sz w:val="24"/>
                <w:szCs w:val="24"/>
                <w:u w:val="none" w:color="auto"/>
              </w:rPr>
              <w:t>表2-</w:t>
            </w:r>
            <w:r>
              <w:rPr>
                <w:rFonts w:hint="eastAsia" w:eastAsia="宋体"/>
                <w:bCs/>
                <w:color w:val="auto"/>
                <w:spacing w:val="-6"/>
                <w:sz w:val="24"/>
                <w:szCs w:val="24"/>
                <w:u w:val="none" w:color="auto"/>
                <w:lang w:val="en-US" w:eastAsia="zh-CN"/>
              </w:rPr>
              <w:t>4</w:t>
            </w:r>
            <w:r>
              <w:rPr>
                <w:rFonts w:hint="eastAsia" w:eastAsia="宋体"/>
                <w:bCs/>
                <w:color w:val="auto"/>
                <w:spacing w:val="-6"/>
                <w:sz w:val="24"/>
                <w:szCs w:val="24"/>
                <w:u w:val="none" w:color="auto"/>
              </w:rPr>
              <w:t xml:space="preserve">  </w:t>
            </w:r>
            <w:r>
              <w:rPr>
                <w:rFonts w:hint="eastAsia" w:eastAsia="宋体"/>
                <w:bCs/>
                <w:color w:val="auto"/>
                <w:spacing w:val="-6"/>
                <w:sz w:val="24"/>
                <w:szCs w:val="24"/>
                <w:u w:val="none" w:color="auto"/>
                <w:lang w:val="en-US" w:eastAsia="zh-CN"/>
              </w:rPr>
              <w:t>项目主要生产设备</w:t>
            </w:r>
            <w:r>
              <w:rPr>
                <w:rFonts w:eastAsia="宋体"/>
                <w:bCs/>
                <w:color w:val="auto"/>
                <w:spacing w:val="-6"/>
                <w:sz w:val="24"/>
                <w:szCs w:val="24"/>
                <w:u w:val="none" w:color="auto"/>
              </w:rPr>
              <w:t>一览表</w:t>
            </w:r>
          </w:p>
          <w:tbl>
            <w:tblPr>
              <w:tblStyle w:val="32"/>
              <w:tblW w:w="7077"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754"/>
              <w:gridCol w:w="1818"/>
              <w:gridCol w:w="623"/>
              <w:gridCol w:w="1941"/>
            </w:tblGrid>
            <w:tr w14:paraId="3628DF6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auto" w:sz="8" w:space="0"/>
                    <w:bottom w:val="single" w:color="000000" w:sz="8" w:space="0"/>
                  </w:tcBorders>
                  <w:noWrap w:val="0"/>
                  <w:vAlign w:val="center"/>
                </w:tcPr>
                <w:p w14:paraId="1DF32776">
                  <w:pPr>
                    <w:jc w:val="center"/>
                    <w:rPr>
                      <w:rFonts w:hint="default" w:ascii="Times New Roman" w:hAnsi="Times New Roman" w:eastAsia="宋体" w:cs="Times New Roman"/>
                      <w:b/>
                      <w:color w:val="000000"/>
                      <w:sz w:val="21"/>
                      <w:szCs w:val="21"/>
                      <w:u w:val="none" w:color="auto"/>
                      <w:lang w:val="pt-BR"/>
                    </w:rPr>
                  </w:pPr>
                  <w:r>
                    <w:rPr>
                      <w:rFonts w:hint="default" w:ascii="Times New Roman" w:hAnsi="Times New Roman" w:eastAsia="宋体" w:cs="Times New Roman"/>
                      <w:b/>
                      <w:color w:val="000000"/>
                      <w:sz w:val="21"/>
                      <w:szCs w:val="21"/>
                      <w:u w:val="none" w:color="auto"/>
                      <w:lang w:val="pt-BR"/>
                    </w:rPr>
                    <w:t>序号</w:t>
                  </w:r>
                </w:p>
              </w:tc>
              <w:tc>
                <w:tcPr>
                  <w:tcW w:w="1754" w:type="dxa"/>
                  <w:tcBorders>
                    <w:top w:val="single" w:color="auto" w:sz="8" w:space="0"/>
                    <w:bottom w:val="single" w:color="000000" w:sz="8" w:space="0"/>
                    <w:right w:val="single" w:color="000000" w:sz="4" w:space="0"/>
                  </w:tcBorders>
                  <w:noWrap w:val="0"/>
                  <w:vAlign w:val="center"/>
                </w:tcPr>
                <w:p w14:paraId="1E0CBE07">
                  <w:pPr>
                    <w:jc w:val="center"/>
                    <w:rPr>
                      <w:rFonts w:hint="default" w:ascii="Times New Roman" w:hAnsi="Times New Roman" w:eastAsia="宋体" w:cs="Times New Roman"/>
                      <w:b/>
                      <w:color w:val="000000"/>
                      <w:sz w:val="21"/>
                      <w:szCs w:val="21"/>
                      <w:u w:val="none" w:color="auto"/>
                      <w:lang w:val="pt-BR"/>
                    </w:rPr>
                  </w:pPr>
                  <w:r>
                    <w:rPr>
                      <w:rFonts w:hint="default" w:ascii="Times New Roman" w:hAnsi="Times New Roman" w:eastAsia="宋体" w:cs="Times New Roman"/>
                      <w:b/>
                      <w:color w:val="000000"/>
                      <w:sz w:val="21"/>
                      <w:szCs w:val="21"/>
                      <w:u w:val="none" w:color="auto"/>
                      <w:lang w:val="pt-BR"/>
                    </w:rPr>
                    <w:t>设备名称</w:t>
                  </w:r>
                </w:p>
              </w:tc>
              <w:tc>
                <w:tcPr>
                  <w:tcW w:w="1818" w:type="dxa"/>
                  <w:tcBorders>
                    <w:top w:val="single" w:color="auto" w:sz="8" w:space="0"/>
                    <w:bottom w:val="single" w:color="000000" w:sz="8" w:space="0"/>
                  </w:tcBorders>
                  <w:noWrap w:val="0"/>
                  <w:vAlign w:val="center"/>
                </w:tcPr>
                <w:p w14:paraId="7BE39E7C">
                  <w:pPr>
                    <w:jc w:val="center"/>
                    <w:rPr>
                      <w:rFonts w:hint="default" w:ascii="Times New Roman" w:hAnsi="Times New Roman" w:eastAsia="宋体" w:cs="Times New Roman"/>
                      <w:b/>
                      <w:color w:val="FF0000"/>
                      <w:sz w:val="21"/>
                      <w:szCs w:val="21"/>
                      <w:u w:val="none" w:color="auto"/>
                      <w:lang w:val="en-US" w:eastAsia="zh-CN"/>
                    </w:rPr>
                  </w:pPr>
                  <w:r>
                    <w:rPr>
                      <w:rFonts w:hint="default" w:ascii="Times New Roman" w:hAnsi="Times New Roman" w:eastAsia="宋体" w:cs="Times New Roman"/>
                      <w:b/>
                      <w:bCs w:val="0"/>
                      <w:color w:val="000000" w:themeColor="text1"/>
                      <w:sz w:val="21"/>
                      <w:szCs w:val="21"/>
                      <w:u w:val="none" w:color="auto"/>
                      <w:lang w:val="en-US" w:eastAsia="zh-CN"/>
                      <w14:textFill>
                        <w14:solidFill>
                          <w14:schemeClr w14:val="tx1"/>
                        </w14:solidFill>
                      </w14:textFill>
                    </w:rPr>
                    <w:t>参数</w:t>
                  </w:r>
                </w:p>
              </w:tc>
              <w:tc>
                <w:tcPr>
                  <w:tcW w:w="623" w:type="dxa"/>
                  <w:tcBorders>
                    <w:top w:val="single" w:color="auto" w:sz="8" w:space="0"/>
                    <w:bottom w:val="single" w:color="000000" w:sz="8" w:space="0"/>
                  </w:tcBorders>
                  <w:shd w:val="clear" w:color="auto" w:fill="auto"/>
                  <w:noWrap w:val="0"/>
                  <w:vAlign w:val="center"/>
                </w:tcPr>
                <w:p w14:paraId="005DBCDC">
                  <w:pPr>
                    <w:jc w:val="center"/>
                    <w:rPr>
                      <w:rFonts w:hint="default" w:ascii="Times New Roman" w:hAnsi="Times New Roman" w:eastAsia="宋体" w:cs="Times New Roman"/>
                      <w:b/>
                      <w:color w:val="000000"/>
                      <w:kern w:val="2"/>
                      <w:sz w:val="21"/>
                      <w:szCs w:val="21"/>
                      <w:u w:val="none" w:color="auto"/>
                      <w:lang w:val="en-US" w:eastAsia="zh-CN" w:bidi="ar-SA"/>
                    </w:rPr>
                  </w:pPr>
                  <w:r>
                    <w:rPr>
                      <w:rFonts w:hint="default" w:ascii="Times New Roman" w:hAnsi="Times New Roman" w:eastAsia="宋体" w:cs="Times New Roman"/>
                      <w:b/>
                      <w:color w:val="000000"/>
                      <w:sz w:val="21"/>
                      <w:szCs w:val="21"/>
                      <w:u w:val="none" w:color="auto"/>
                      <w:lang w:val="pt-BR" w:eastAsia="zh-CN"/>
                    </w:rPr>
                    <w:t>数量（</w:t>
                  </w:r>
                  <w:r>
                    <w:rPr>
                      <w:rFonts w:hint="default" w:ascii="Times New Roman" w:hAnsi="Times New Roman" w:eastAsia="宋体" w:cs="Times New Roman"/>
                      <w:b/>
                      <w:color w:val="000000"/>
                      <w:sz w:val="21"/>
                      <w:szCs w:val="21"/>
                      <w:u w:val="none" w:color="auto"/>
                      <w:lang w:val="en-US" w:eastAsia="zh-CN"/>
                    </w:rPr>
                    <w:t>台</w:t>
                  </w:r>
                  <w:r>
                    <w:rPr>
                      <w:rFonts w:hint="default" w:ascii="Times New Roman" w:hAnsi="Times New Roman" w:eastAsia="宋体" w:cs="Times New Roman"/>
                      <w:b/>
                      <w:color w:val="000000"/>
                      <w:sz w:val="21"/>
                      <w:szCs w:val="21"/>
                      <w:u w:val="none" w:color="auto"/>
                      <w:lang w:val="pt-BR" w:eastAsia="zh-CN"/>
                    </w:rPr>
                    <w:t>）</w:t>
                  </w:r>
                </w:p>
              </w:tc>
              <w:tc>
                <w:tcPr>
                  <w:tcW w:w="1941" w:type="dxa"/>
                  <w:tcBorders>
                    <w:top w:val="single" w:color="auto" w:sz="8" w:space="0"/>
                    <w:bottom w:val="single" w:color="000000" w:sz="8" w:space="0"/>
                  </w:tcBorders>
                  <w:noWrap w:val="0"/>
                  <w:vAlign w:val="center"/>
                </w:tcPr>
                <w:p w14:paraId="402F76BB">
                  <w:pPr>
                    <w:jc w:val="center"/>
                    <w:rPr>
                      <w:rFonts w:hint="default" w:ascii="Times New Roman" w:hAnsi="Times New Roman" w:eastAsia="宋体" w:cs="Times New Roman"/>
                      <w:b/>
                      <w:color w:val="000000"/>
                      <w:sz w:val="21"/>
                      <w:szCs w:val="21"/>
                      <w:u w:val="none" w:color="auto"/>
                      <w:lang w:val="en-US" w:eastAsia="zh-CN"/>
                    </w:rPr>
                  </w:pPr>
                  <w:r>
                    <w:rPr>
                      <w:rFonts w:hint="eastAsia" w:cs="Times New Roman"/>
                      <w:b/>
                      <w:color w:val="000000"/>
                      <w:sz w:val="21"/>
                      <w:szCs w:val="21"/>
                      <w:u w:val="none" w:color="auto"/>
                      <w:lang w:val="en-US" w:eastAsia="zh-CN"/>
                    </w:rPr>
                    <w:t>备注</w:t>
                  </w:r>
                </w:p>
              </w:tc>
            </w:tr>
            <w:tr w14:paraId="5479FB3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1" w:type="dxa"/>
                  <w:tcBorders>
                    <w:top w:val="single" w:color="000000" w:sz="8" w:space="0"/>
                    <w:bottom w:val="single" w:color="auto" w:sz="4" w:space="0"/>
                  </w:tcBorders>
                  <w:noWrap w:val="0"/>
                  <w:vAlign w:val="center"/>
                </w:tcPr>
                <w:p w14:paraId="55419EFE">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1</w:t>
                  </w:r>
                </w:p>
              </w:tc>
              <w:tc>
                <w:tcPr>
                  <w:tcW w:w="1754" w:type="dxa"/>
                  <w:tcBorders>
                    <w:top w:val="single" w:color="000000" w:sz="8" w:space="0"/>
                    <w:bottom w:val="single" w:color="auto" w:sz="4" w:space="0"/>
                    <w:right w:val="single" w:color="000000" w:sz="4" w:space="0"/>
                  </w:tcBorders>
                  <w:noWrap w:val="0"/>
                  <w:vAlign w:val="center"/>
                </w:tcPr>
                <w:p w14:paraId="0F0F716E">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匀浆系统800L（正极）</w:t>
                  </w:r>
                </w:p>
              </w:tc>
              <w:tc>
                <w:tcPr>
                  <w:tcW w:w="1818" w:type="dxa"/>
                  <w:tcBorders>
                    <w:top w:val="single" w:color="000000" w:sz="8" w:space="0"/>
                    <w:bottom w:val="single" w:color="auto" w:sz="4" w:space="0"/>
                  </w:tcBorders>
                  <w:noWrap w:val="0"/>
                  <w:vAlign w:val="center"/>
                </w:tcPr>
                <w:p w14:paraId="027B6DB2">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8" w:space="0"/>
                    <w:bottom w:val="single" w:color="auto" w:sz="4" w:space="0"/>
                  </w:tcBorders>
                  <w:noWrap w:val="0"/>
                  <w:vAlign w:val="center"/>
                </w:tcPr>
                <w:p w14:paraId="1531CCB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w:t>
                  </w:r>
                </w:p>
              </w:tc>
              <w:tc>
                <w:tcPr>
                  <w:tcW w:w="1941" w:type="dxa"/>
                  <w:vMerge w:val="restart"/>
                  <w:tcBorders>
                    <w:top w:val="single" w:color="000000" w:sz="8" w:space="0"/>
                  </w:tcBorders>
                  <w:noWrap w:val="0"/>
                  <w:vAlign w:val="center"/>
                </w:tcPr>
                <w:p w14:paraId="71DA04B0">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非标定制设备，包含自动箱式投料站、物料输送泵、搅拌罐等</w:t>
                  </w:r>
                </w:p>
              </w:tc>
            </w:tr>
            <w:tr w14:paraId="4268962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941" w:type="dxa"/>
                  <w:tcBorders>
                    <w:top w:val="single" w:color="auto" w:sz="4" w:space="0"/>
                    <w:bottom w:val="single" w:color="000000" w:sz="4" w:space="0"/>
                  </w:tcBorders>
                  <w:noWrap w:val="0"/>
                  <w:vAlign w:val="center"/>
                </w:tcPr>
                <w:p w14:paraId="7FEF7D33">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w:t>
                  </w:r>
                </w:p>
              </w:tc>
              <w:tc>
                <w:tcPr>
                  <w:tcW w:w="1754" w:type="dxa"/>
                  <w:tcBorders>
                    <w:top w:val="single" w:color="auto" w:sz="4" w:space="0"/>
                    <w:bottom w:val="single" w:color="000000" w:sz="4" w:space="0"/>
                    <w:right w:val="single" w:color="000000" w:sz="4" w:space="0"/>
                  </w:tcBorders>
                  <w:noWrap w:val="0"/>
                  <w:vAlign w:val="center"/>
                </w:tcPr>
                <w:p w14:paraId="3FB9EB82">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匀浆系统800L（</w:t>
                  </w:r>
                  <w:r>
                    <w:rPr>
                      <w:rFonts w:hint="eastAsia" w:ascii="Times New Roman" w:hAnsi="Times New Roman" w:eastAsia="宋体" w:cs="Times New Roman"/>
                      <w:bCs/>
                      <w:color w:val="000000"/>
                      <w:kern w:val="2"/>
                      <w:sz w:val="21"/>
                      <w:szCs w:val="21"/>
                      <w:u w:val="none" w:color="auto"/>
                      <w:lang w:val="en-US" w:eastAsia="zh-CN" w:bidi="ar-SA"/>
                    </w:rPr>
                    <w:t>负</w:t>
                  </w:r>
                  <w:r>
                    <w:rPr>
                      <w:rFonts w:hint="default" w:ascii="Times New Roman" w:hAnsi="Times New Roman" w:eastAsia="宋体" w:cs="Times New Roman"/>
                      <w:bCs/>
                      <w:color w:val="000000"/>
                      <w:kern w:val="2"/>
                      <w:sz w:val="21"/>
                      <w:szCs w:val="21"/>
                      <w:u w:val="none" w:color="auto"/>
                      <w:lang w:val="en-US" w:eastAsia="zh-CN" w:bidi="ar-SA"/>
                    </w:rPr>
                    <w:t>极）</w:t>
                  </w:r>
                </w:p>
              </w:tc>
              <w:tc>
                <w:tcPr>
                  <w:tcW w:w="1818" w:type="dxa"/>
                  <w:tcBorders>
                    <w:top w:val="single" w:color="auto" w:sz="4" w:space="0"/>
                    <w:bottom w:val="single" w:color="000000" w:sz="4" w:space="0"/>
                  </w:tcBorders>
                  <w:noWrap w:val="0"/>
                  <w:vAlign w:val="center"/>
                </w:tcPr>
                <w:p w14:paraId="66953E5F">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auto" w:sz="4" w:space="0"/>
                    <w:bottom w:val="single" w:color="000000" w:sz="4" w:space="0"/>
                  </w:tcBorders>
                  <w:noWrap w:val="0"/>
                  <w:vAlign w:val="center"/>
                </w:tcPr>
                <w:p w14:paraId="11193BBE">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w:t>
                  </w:r>
                </w:p>
              </w:tc>
              <w:tc>
                <w:tcPr>
                  <w:tcW w:w="1941" w:type="dxa"/>
                  <w:vMerge w:val="continue"/>
                  <w:tcBorders>
                    <w:bottom w:val="single" w:color="000000" w:sz="4" w:space="0"/>
                  </w:tcBorders>
                  <w:noWrap w:val="0"/>
                  <w:vAlign w:val="center"/>
                </w:tcPr>
                <w:p w14:paraId="0617C2B0">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p>
              </w:tc>
            </w:tr>
            <w:tr w14:paraId="56A5590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1710FC8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3</w:t>
                  </w:r>
                </w:p>
              </w:tc>
              <w:tc>
                <w:tcPr>
                  <w:tcW w:w="1754" w:type="dxa"/>
                  <w:tcBorders>
                    <w:top w:val="single" w:color="000000" w:sz="4" w:space="0"/>
                    <w:bottom w:val="single" w:color="000000" w:sz="4" w:space="0"/>
                    <w:right w:val="single" w:color="000000" w:sz="4" w:space="0"/>
                  </w:tcBorders>
                  <w:noWrap w:val="0"/>
                  <w:vAlign w:val="center"/>
                </w:tcPr>
                <w:p w14:paraId="7D03ED3C">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负极</w:t>
                  </w:r>
                  <w:r>
                    <w:rPr>
                      <w:rFonts w:hint="default" w:ascii="Times New Roman" w:hAnsi="Times New Roman" w:eastAsia="宋体" w:cs="Times New Roman"/>
                      <w:bCs/>
                      <w:color w:val="000000"/>
                      <w:kern w:val="2"/>
                      <w:sz w:val="21"/>
                      <w:szCs w:val="21"/>
                      <w:u w:val="none" w:color="auto"/>
                      <w:lang w:val="en-US" w:eastAsia="zh-CN" w:bidi="ar-SA"/>
                    </w:rPr>
                    <w:t>涂布机</w:t>
                  </w:r>
                </w:p>
              </w:tc>
              <w:tc>
                <w:tcPr>
                  <w:tcW w:w="1818" w:type="dxa"/>
                  <w:tcBorders>
                    <w:top w:val="single" w:color="000000" w:sz="4" w:space="0"/>
                    <w:bottom w:val="single" w:color="000000" w:sz="4" w:space="0"/>
                  </w:tcBorders>
                  <w:noWrap w:val="0"/>
                  <w:vAlign w:val="center"/>
                </w:tcPr>
                <w:p w14:paraId="2CC167EB">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XHPT-90F4S-SA</w:t>
                  </w:r>
                </w:p>
              </w:tc>
              <w:tc>
                <w:tcPr>
                  <w:tcW w:w="623" w:type="dxa"/>
                  <w:tcBorders>
                    <w:top w:val="single" w:color="000000" w:sz="4" w:space="0"/>
                    <w:bottom w:val="single" w:color="000000" w:sz="4" w:space="0"/>
                  </w:tcBorders>
                  <w:noWrap w:val="0"/>
                  <w:vAlign w:val="center"/>
                </w:tcPr>
                <w:p w14:paraId="2C52DACB">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w:t>
                  </w:r>
                </w:p>
              </w:tc>
              <w:tc>
                <w:tcPr>
                  <w:tcW w:w="1941" w:type="dxa"/>
                  <w:tcBorders>
                    <w:top w:val="single" w:color="000000" w:sz="4" w:space="0"/>
                    <w:bottom w:val="single" w:color="000000" w:sz="4" w:space="0"/>
                  </w:tcBorders>
                  <w:noWrap w:val="0"/>
                  <w:vAlign w:val="center"/>
                </w:tcPr>
                <w:p w14:paraId="0847BF26">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涂布</w:t>
                  </w:r>
                </w:p>
              </w:tc>
            </w:tr>
            <w:tr w14:paraId="597854E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2294B54F">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4</w:t>
                  </w:r>
                </w:p>
              </w:tc>
              <w:tc>
                <w:tcPr>
                  <w:tcW w:w="1754" w:type="dxa"/>
                  <w:tcBorders>
                    <w:top w:val="single" w:color="000000" w:sz="4" w:space="0"/>
                    <w:bottom w:val="single" w:color="000000" w:sz="4" w:space="0"/>
                    <w:right w:val="single" w:color="000000" w:sz="4" w:space="0"/>
                  </w:tcBorders>
                  <w:noWrap w:val="0"/>
                  <w:vAlign w:val="center"/>
                </w:tcPr>
                <w:p w14:paraId="2EB25555">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正极</w:t>
                  </w:r>
                  <w:r>
                    <w:rPr>
                      <w:rFonts w:hint="default" w:ascii="Times New Roman" w:hAnsi="Times New Roman" w:eastAsia="宋体" w:cs="Times New Roman"/>
                      <w:bCs/>
                      <w:color w:val="000000"/>
                      <w:kern w:val="2"/>
                      <w:sz w:val="21"/>
                      <w:szCs w:val="21"/>
                      <w:u w:val="none" w:color="auto"/>
                      <w:lang w:val="en-US" w:eastAsia="zh-CN" w:bidi="ar-SA"/>
                    </w:rPr>
                    <w:t>涂布机</w:t>
                  </w:r>
                </w:p>
              </w:tc>
              <w:tc>
                <w:tcPr>
                  <w:tcW w:w="1818" w:type="dxa"/>
                  <w:tcBorders>
                    <w:top w:val="single" w:color="000000" w:sz="4" w:space="0"/>
                    <w:bottom w:val="single" w:color="000000" w:sz="4" w:space="0"/>
                  </w:tcBorders>
                  <w:noWrap w:val="0"/>
                  <w:vAlign w:val="center"/>
                </w:tcPr>
                <w:p w14:paraId="55E2F7F1">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XHPT-90F4S-SA</w:t>
                  </w:r>
                </w:p>
              </w:tc>
              <w:tc>
                <w:tcPr>
                  <w:tcW w:w="623" w:type="dxa"/>
                  <w:tcBorders>
                    <w:top w:val="single" w:color="000000" w:sz="4" w:space="0"/>
                    <w:bottom w:val="single" w:color="000000" w:sz="4" w:space="0"/>
                  </w:tcBorders>
                  <w:noWrap w:val="0"/>
                  <w:vAlign w:val="center"/>
                </w:tcPr>
                <w:p w14:paraId="65A14EC4">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w:t>
                  </w:r>
                </w:p>
              </w:tc>
              <w:tc>
                <w:tcPr>
                  <w:tcW w:w="1941" w:type="dxa"/>
                  <w:tcBorders>
                    <w:top w:val="single" w:color="000000" w:sz="4" w:space="0"/>
                    <w:bottom w:val="single" w:color="000000" w:sz="4" w:space="0"/>
                  </w:tcBorders>
                  <w:noWrap w:val="0"/>
                  <w:vAlign w:val="center"/>
                </w:tcPr>
                <w:p w14:paraId="799C52A5">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涂布</w:t>
                  </w:r>
                </w:p>
              </w:tc>
            </w:tr>
            <w:tr w14:paraId="3DA7D7C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295E4CB2">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5</w:t>
                  </w:r>
                </w:p>
              </w:tc>
              <w:tc>
                <w:tcPr>
                  <w:tcW w:w="1754" w:type="dxa"/>
                  <w:tcBorders>
                    <w:top w:val="single" w:color="000000" w:sz="4" w:space="0"/>
                    <w:bottom w:val="single" w:color="000000" w:sz="4" w:space="0"/>
                    <w:right w:val="single" w:color="000000" w:sz="4" w:space="0"/>
                  </w:tcBorders>
                  <w:noWrap w:val="0"/>
                  <w:vAlign w:val="center"/>
                </w:tcPr>
                <w:p w14:paraId="5651E1A4">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正极辊压机</w:t>
                  </w:r>
                </w:p>
              </w:tc>
              <w:tc>
                <w:tcPr>
                  <w:tcW w:w="1818" w:type="dxa"/>
                  <w:tcBorders>
                    <w:top w:val="single" w:color="000000" w:sz="4" w:space="0"/>
                    <w:bottom w:val="single" w:color="000000" w:sz="4" w:space="0"/>
                  </w:tcBorders>
                  <w:shd w:val="clear" w:color="auto" w:fill="auto"/>
                  <w:noWrap w:val="0"/>
                  <w:vAlign w:val="center"/>
                </w:tcPr>
                <w:p w14:paraId="24A5CC4E">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WHGYΦ800X800A</w:t>
                  </w:r>
                </w:p>
              </w:tc>
              <w:tc>
                <w:tcPr>
                  <w:tcW w:w="623" w:type="dxa"/>
                  <w:tcBorders>
                    <w:top w:val="single" w:color="000000" w:sz="4" w:space="0"/>
                    <w:bottom w:val="single" w:color="000000" w:sz="4" w:space="0"/>
                  </w:tcBorders>
                  <w:noWrap w:val="0"/>
                  <w:vAlign w:val="center"/>
                </w:tcPr>
                <w:p w14:paraId="5EC6A0B8">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w:t>
                  </w:r>
                </w:p>
              </w:tc>
              <w:tc>
                <w:tcPr>
                  <w:tcW w:w="1941" w:type="dxa"/>
                  <w:tcBorders>
                    <w:top w:val="single" w:color="000000" w:sz="4" w:space="0"/>
                    <w:bottom w:val="single" w:color="000000" w:sz="4" w:space="0"/>
                  </w:tcBorders>
                  <w:noWrap w:val="0"/>
                  <w:vAlign w:val="center"/>
                </w:tcPr>
                <w:p w14:paraId="42475E3C">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辊压</w:t>
                  </w:r>
                </w:p>
              </w:tc>
            </w:tr>
            <w:tr w14:paraId="43E7C77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628C3253">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6</w:t>
                  </w:r>
                </w:p>
              </w:tc>
              <w:tc>
                <w:tcPr>
                  <w:tcW w:w="1754" w:type="dxa"/>
                  <w:tcBorders>
                    <w:top w:val="single" w:color="000000" w:sz="4" w:space="0"/>
                    <w:bottom w:val="single" w:color="000000" w:sz="4" w:space="0"/>
                    <w:right w:val="single" w:color="000000" w:sz="4" w:space="0"/>
                  </w:tcBorders>
                  <w:noWrap w:val="0"/>
                  <w:vAlign w:val="center"/>
                </w:tcPr>
                <w:p w14:paraId="56665A8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负极</w:t>
                  </w:r>
                  <w:r>
                    <w:rPr>
                      <w:rFonts w:hint="default" w:ascii="Times New Roman" w:hAnsi="Times New Roman" w:eastAsia="宋体" w:cs="Times New Roman"/>
                      <w:bCs/>
                      <w:color w:val="000000"/>
                      <w:kern w:val="2"/>
                      <w:sz w:val="21"/>
                      <w:szCs w:val="21"/>
                      <w:u w:val="none" w:color="auto"/>
                      <w:lang w:val="en-US" w:eastAsia="zh-CN" w:bidi="ar-SA"/>
                    </w:rPr>
                    <w:t>辊压机</w:t>
                  </w:r>
                </w:p>
              </w:tc>
              <w:tc>
                <w:tcPr>
                  <w:tcW w:w="1818" w:type="dxa"/>
                  <w:tcBorders>
                    <w:top w:val="single" w:color="000000" w:sz="4" w:space="0"/>
                    <w:bottom w:val="single" w:color="000000" w:sz="4" w:space="0"/>
                  </w:tcBorders>
                  <w:noWrap w:val="0"/>
                  <w:vAlign w:val="center"/>
                </w:tcPr>
                <w:p w14:paraId="1AA5D613">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WHGYΦ800X800A</w:t>
                  </w:r>
                </w:p>
              </w:tc>
              <w:tc>
                <w:tcPr>
                  <w:tcW w:w="623" w:type="dxa"/>
                  <w:tcBorders>
                    <w:top w:val="single" w:color="000000" w:sz="4" w:space="0"/>
                    <w:bottom w:val="single" w:color="000000" w:sz="4" w:space="0"/>
                  </w:tcBorders>
                  <w:noWrap w:val="0"/>
                  <w:vAlign w:val="center"/>
                </w:tcPr>
                <w:p w14:paraId="5F318599">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w:t>
                  </w:r>
                </w:p>
              </w:tc>
              <w:tc>
                <w:tcPr>
                  <w:tcW w:w="1941" w:type="dxa"/>
                  <w:tcBorders>
                    <w:top w:val="single" w:color="000000" w:sz="4" w:space="0"/>
                  </w:tcBorders>
                  <w:noWrap w:val="0"/>
                  <w:vAlign w:val="center"/>
                </w:tcPr>
                <w:p w14:paraId="0634DCEF">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辊压</w:t>
                  </w:r>
                </w:p>
              </w:tc>
            </w:tr>
            <w:tr w14:paraId="28A572F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7C0CA2A2">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7</w:t>
                  </w:r>
                </w:p>
              </w:tc>
              <w:tc>
                <w:tcPr>
                  <w:tcW w:w="1754" w:type="dxa"/>
                  <w:tcBorders>
                    <w:top w:val="single" w:color="000000" w:sz="4" w:space="0"/>
                    <w:bottom w:val="single" w:color="000000" w:sz="4" w:space="0"/>
                    <w:right w:val="single" w:color="000000" w:sz="4" w:space="0"/>
                  </w:tcBorders>
                  <w:shd w:val="clear" w:color="auto" w:fill="auto"/>
                  <w:noWrap w:val="0"/>
                  <w:vAlign w:val="center"/>
                </w:tcPr>
                <w:p w14:paraId="52A86642">
                  <w:pPr>
                    <w:keepNext w:val="0"/>
                    <w:keepLines w:val="0"/>
                    <w:widowControl/>
                    <w:suppressLineNumbers w:val="0"/>
                    <w:jc w:val="center"/>
                    <w:textAlignment w:val="center"/>
                    <w:rPr>
                      <w:rFonts w:hint="eastAsia"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分条机850-17（正极）</w:t>
                  </w:r>
                </w:p>
              </w:tc>
              <w:tc>
                <w:tcPr>
                  <w:tcW w:w="1818" w:type="dxa"/>
                  <w:tcBorders>
                    <w:top w:val="single" w:color="000000" w:sz="4" w:space="0"/>
                    <w:bottom w:val="single" w:color="000000" w:sz="4" w:space="0"/>
                  </w:tcBorders>
                  <w:noWrap w:val="0"/>
                  <w:vAlign w:val="center"/>
                </w:tcPr>
                <w:p w14:paraId="4F44DA65">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WHFT850A</w:t>
                  </w:r>
                </w:p>
              </w:tc>
              <w:tc>
                <w:tcPr>
                  <w:tcW w:w="623" w:type="dxa"/>
                  <w:tcBorders>
                    <w:top w:val="single" w:color="000000" w:sz="4" w:space="0"/>
                    <w:bottom w:val="single" w:color="000000" w:sz="4" w:space="0"/>
                  </w:tcBorders>
                  <w:noWrap w:val="0"/>
                  <w:vAlign w:val="center"/>
                </w:tcPr>
                <w:p w14:paraId="21778147">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2</w:t>
                  </w:r>
                </w:p>
              </w:tc>
              <w:tc>
                <w:tcPr>
                  <w:tcW w:w="1941" w:type="dxa"/>
                  <w:noWrap w:val="0"/>
                  <w:vAlign w:val="center"/>
                </w:tcPr>
                <w:p w14:paraId="458409D3">
                  <w:pPr>
                    <w:keepNext w:val="0"/>
                    <w:keepLines w:val="0"/>
                    <w:widowControl/>
                    <w:suppressLineNumbers w:val="0"/>
                    <w:jc w:val="center"/>
                    <w:textAlignment w:val="center"/>
                    <w:rPr>
                      <w:rFonts w:hint="eastAsia" w:eastAsia="宋体"/>
                      <w:b w:val="0"/>
                      <w:bCs w:val="0"/>
                      <w:u w:val="none" w:color="auto"/>
                      <w:lang w:val="en-US" w:eastAsia="zh-CN"/>
                    </w:rPr>
                  </w:pPr>
                  <w:r>
                    <w:rPr>
                      <w:rFonts w:hint="eastAsia"/>
                      <w:b w:val="0"/>
                      <w:bCs w:val="0"/>
                      <w:u w:val="none" w:color="auto"/>
                      <w:lang w:val="en-US" w:eastAsia="zh-CN"/>
                    </w:rPr>
                    <w:t>分条</w:t>
                  </w:r>
                </w:p>
              </w:tc>
            </w:tr>
            <w:tr w14:paraId="5347D4B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1" w:type="dxa"/>
                  <w:tcBorders>
                    <w:top w:val="single" w:color="000000" w:sz="4" w:space="0"/>
                    <w:bottom w:val="single" w:color="000000" w:sz="4" w:space="0"/>
                  </w:tcBorders>
                  <w:noWrap w:val="0"/>
                  <w:vAlign w:val="center"/>
                </w:tcPr>
                <w:p w14:paraId="2DDF8C4D">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8</w:t>
                  </w:r>
                </w:p>
              </w:tc>
              <w:tc>
                <w:tcPr>
                  <w:tcW w:w="1754" w:type="dxa"/>
                  <w:tcBorders>
                    <w:top w:val="single" w:color="000000" w:sz="4" w:space="0"/>
                    <w:bottom w:val="single" w:color="000000" w:sz="4" w:space="0"/>
                    <w:right w:val="single" w:color="000000" w:sz="4" w:space="0"/>
                  </w:tcBorders>
                  <w:noWrap w:val="0"/>
                  <w:vAlign w:val="center"/>
                </w:tcPr>
                <w:p w14:paraId="2BF23B27">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分条机850-17（</w:t>
                  </w:r>
                  <w:r>
                    <w:rPr>
                      <w:rFonts w:hint="eastAsia" w:ascii="Times New Roman" w:hAnsi="Times New Roman" w:eastAsia="宋体" w:cs="Times New Roman"/>
                      <w:bCs/>
                      <w:color w:val="000000"/>
                      <w:kern w:val="2"/>
                      <w:sz w:val="21"/>
                      <w:szCs w:val="21"/>
                      <w:u w:val="none" w:color="auto"/>
                      <w:lang w:val="en-US" w:eastAsia="zh-CN" w:bidi="ar-SA"/>
                    </w:rPr>
                    <w:t>负</w:t>
                  </w:r>
                  <w:r>
                    <w:rPr>
                      <w:rFonts w:hint="default" w:ascii="Times New Roman" w:hAnsi="Times New Roman" w:eastAsia="宋体" w:cs="Times New Roman"/>
                      <w:bCs/>
                      <w:color w:val="000000"/>
                      <w:kern w:val="2"/>
                      <w:sz w:val="21"/>
                      <w:szCs w:val="21"/>
                      <w:u w:val="none" w:color="auto"/>
                      <w:lang w:val="en-US" w:eastAsia="zh-CN" w:bidi="ar-SA"/>
                    </w:rPr>
                    <w:t>极）</w:t>
                  </w:r>
                </w:p>
              </w:tc>
              <w:tc>
                <w:tcPr>
                  <w:tcW w:w="1818" w:type="dxa"/>
                  <w:tcBorders>
                    <w:top w:val="single" w:color="000000" w:sz="4" w:space="0"/>
                    <w:bottom w:val="single" w:color="000000" w:sz="4" w:space="0"/>
                  </w:tcBorders>
                  <w:noWrap w:val="0"/>
                  <w:vAlign w:val="center"/>
                </w:tcPr>
                <w:p w14:paraId="040D0E43">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WHFT850A</w:t>
                  </w:r>
                </w:p>
              </w:tc>
              <w:tc>
                <w:tcPr>
                  <w:tcW w:w="623" w:type="dxa"/>
                  <w:tcBorders>
                    <w:top w:val="single" w:color="000000" w:sz="4" w:space="0"/>
                    <w:bottom w:val="single" w:color="000000" w:sz="4" w:space="0"/>
                  </w:tcBorders>
                  <w:noWrap w:val="0"/>
                  <w:vAlign w:val="center"/>
                </w:tcPr>
                <w:p w14:paraId="7DDFD043">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2</w:t>
                  </w:r>
                </w:p>
              </w:tc>
              <w:tc>
                <w:tcPr>
                  <w:tcW w:w="1941" w:type="dxa"/>
                  <w:noWrap w:val="0"/>
                  <w:vAlign w:val="center"/>
                </w:tcPr>
                <w:p w14:paraId="6A98870E">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分机850-17（</w:t>
                  </w:r>
                  <w:r>
                    <w:rPr>
                      <w:rFonts w:hint="eastAsia" w:ascii="Times New Roman" w:hAnsi="Times New Roman" w:eastAsia="宋体" w:cs="Times New Roman"/>
                      <w:bCs/>
                      <w:color w:val="000000"/>
                      <w:kern w:val="2"/>
                      <w:sz w:val="21"/>
                      <w:szCs w:val="21"/>
                      <w:u w:val="none" w:color="auto"/>
                      <w:lang w:val="en-US" w:eastAsia="zh-CN" w:bidi="ar-SA"/>
                    </w:rPr>
                    <w:t>负</w:t>
                  </w:r>
                  <w:r>
                    <w:rPr>
                      <w:rFonts w:hint="default" w:ascii="Times New Roman" w:hAnsi="Times New Roman" w:eastAsia="宋体" w:cs="Times New Roman"/>
                      <w:bCs/>
                      <w:color w:val="000000"/>
                      <w:kern w:val="2"/>
                      <w:sz w:val="21"/>
                      <w:szCs w:val="21"/>
                      <w:u w:val="none" w:color="auto"/>
                      <w:lang w:val="en-US" w:eastAsia="zh-CN" w:bidi="ar-SA"/>
                    </w:rPr>
                    <w:t>极）</w:t>
                  </w:r>
                </w:p>
              </w:tc>
            </w:tr>
            <w:tr w14:paraId="0D9B14B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6133BE89">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9</w:t>
                  </w:r>
                </w:p>
              </w:tc>
              <w:tc>
                <w:tcPr>
                  <w:tcW w:w="1754" w:type="dxa"/>
                  <w:tcBorders>
                    <w:top w:val="single" w:color="000000" w:sz="4" w:space="0"/>
                    <w:bottom w:val="single" w:color="000000" w:sz="4" w:space="0"/>
                    <w:right w:val="single" w:color="000000" w:sz="4" w:space="0"/>
                  </w:tcBorders>
                  <w:noWrap w:val="0"/>
                  <w:vAlign w:val="center"/>
                </w:tcPr>
                <w:p w14:paraId="4647D9AB">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正极制片机</w:t>
                  </w:r>
                </w:p>
              </w:tc>
              <w:tc>
                <w:tcPr>
                  <w:tcW w:w="1818" w:type="dxa"/>
                  <w:tcBorders>
                    <w:top w:val="single" w:color="000000" w:sz="4" w:space="0"/>
                    <w:bottom w:val="single" w:color="000000" w:sz="4" w:space="0"/>
                  </w:tcBorders>
                  <w:noWrap w:val="0"/>
                  <w:vAlign w:val="center"/>
                </w:tcPr>
                <w:p w14:paraId="3BCDA5D4">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ZY-B-H2T2-G</w:t>
                  </w:r>
                </w:p>
              </w:tc>
              <w:tc>
                <w:tcPr>
                  <w:tcW w:w="623" w:type="dxa"/>
                  <w:tcBorders>
                    <w:top w:val="single" w:color="000000" w:sz="4" w:space="0"/>
                    <w:bottom w:val="single" w:color="000000" w:sz="4" w:space="0"/>
                  </w:tcBorders>
                  <w:noWrap w:val="0"/>
                  <w:vAlign w:val="center"/>
                </w:tcPr>
                <w:p w14:paraId="07FED440">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44</w:t>
                  </w:r>
                </w:p>
              </w:tc>
              <w:tc>
                <w:tcPr>
                  <w:tcW w:w="1941" w:type="dxa"/>
                  <w:tcBorders>
                    <w:bottom w:val="single" w:color="000000" w:sz="4" w:space="0"/>
                  </w:tcBorders>
                  <w:noWrap w:val="0"/>
                  <w:vAlign w:val="center"/>
                </w:tcPr>
                <w:p w14:paraId="757787ED">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正极制片机</w:t>
                  </w:r>
                </w:p>
              </w:tc>
            </w:tr>
            <w:tr w14:paraId="478BE9E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48D4390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10</w:t>
                  </w:r>
                </w:p>
              </w:tc>
              <w:tc>
                <w:tcPr>
                  <w:tcW w:w="1754" w:type="dxa"/>
                  <w:tcBorders>
                    <w:top w:val="single" w:color="000000" w:sz="4" w:space="0"/>
                    <w:bottom w:val="single" w:color="000000" w:sz="4" w:space="0"/>
                    <w:right w:val="single" w:color="000000" w:sz="4" w:space="0"/>
                  </w:tcBorders>
                  <w:noWrap w:val="0"/>
                  <w:vAlign w:val="center"/>
                </w:tcPr>
                <w:p w14:paraId="14F8FF99">
                  <w:pPr>
                    <w:keepNext w:val="0"/>
                    <w:keepLines w:val="0"/>
                    <w:widowControl/>
                    <w:suppressLineNumbers w:val="0"/>
                    <w:tabs>
                      <w:tab w:val="left" w:pos="573"/>
                    </w:tabs>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负极制片机</w:t>
                  </w:r>
                </w:p>
              </w:tc>
              <w:tc>
                <w:tcPr>
                  <w:tcW w:w="1818" w:type="dxa"/>
                  <w:tcBorders>
                    <w:top w:val="single" w:color="000000" w:sz="4" w:space="0"/>
                    <w:bottom w:val="single" w:color="000000" w:sz="4" w:space="0"/>
                  </w:tcBorders>
                  <w:noWrap w:val="0"/>
                  <w:vAlign w:val="center"/>
                </w:tcPr>
                <w:p w14:paraId="6E4745F4">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ZY-B-H2T2-G</w:t>
                  </w:r>
                </w:p>
              </w:tc>
              <w:tc>
                <w:tcPr>
                  <w:tcW w:w="623" w:type="dxa"/>
                  <w:tcBorders>
                    <w:top w:val="single" w:color="000000" w:sz="4" w:space="0"/>
                    <w:bottom w:val="single" w:color="000000" w:sz="4" w:space="0"/>
                  </w:tcBorders>
                  <w:noWrap w:val="0"/>
                  <w:vAlign w:val="center"/>
                </w:tcPr>
                <w:p w14:paraId="1224F0EF">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55</w:t>
                  </w:r>
                </w:p>
              </w:tc>
              <w:tc>
                <w:tcPr>
                  <w:tcW w:w="1941" w:type="dxa"/>
                  <w:tcBorders>
                    <w:top w:val="single" w:color="000000" w:sz="4" w:space="0"/>
                    <w:bottom w:val="single" w:color="000000" w:sz="4" w:space="0"/>
                  </w:tcBorders>
                  <w:noWrap w:val="0"/>
                  <w:vAlign w:val="center"/>
                </w:tcPr>
                <w:p w14:paraId="2852BF12">
                  <w:pPr>
                    <w:keepNext w:val="0"/>
                    <w:keepLines w:val="0"/>
                    <w:widowControl/>
                    <w:suppressLineNumbers w:val="0"/>
                    <w:tabs>
                      <w:tab w:val="left" w:pos="573"/>
                    </w:tabs>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负极制片机</w:t>
                  </w:r>
                </w:p>
              </w:tc>
            </w:tr>
            <w:tr w14:paraId="7E2DF2C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773A9D54">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11</w:t>
                  </w:r>
                </w:p>
              </w:tc>
              <w:tc>
                <w:tcPr>
                  <w:tcW w:w="1754" w:type="dxa"/>
                  <w:tcBorders>
                    <w:top w:val="single" w:color="000000" w:sz="4" w:space="0"/>
                    <w:bottom w:val="single" w:color="000000" w:sz="4" w:space="0"/>
                    <w:right w:val="single" w:color="000000" w:sz="4" w:space="0"/>
                  </w:tcBorders>
                  <w:noWrap w:val="0"/>
                  <w:vAlign w:val="center"/>
                </w:tcPr>
                <w:p w14:paraId="721E08B2">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卷绕机</w:t>
                  </w:r>
                </w:p>
              </w:tc>
              <w:tc>
                <w:tcPr>
                  <w:tcW w:w="1818" w:type="dxa"/>
                  <w:tcBorders>
                    <w:top w:val="single" w:color="000000" w:sz="4" w:space="0"/>
                    <w:bottom w:val="single" w:color="000000" w:sz="4" w:space="0"/>
                  </w:tcBorders>
                  <w:noWrap w:val="0"/>
                  <w:vAlign w:val="center"/>
                </w:tcPr>
                <w:p w14:paraId="0DFCCB61">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ZY-18/65-L</w:t>
                  </w:r>
                </w:p>
              </w:tc>
              <w:tc>
                <w:tcPr>
                  <w:tcW w:w="623" w:type="dxa"/>
                  <w:tcBorders>
                    <w:top w:val="single" w:color="000000" w:sz="4" w:space="0"/>
                    <w:bottom w:val="single" w:color="000000" w:sz="4" w:space="0"/>
                  </w:tcBorders>
                  <w:noWrap w:val="0"/>
                  <w:vAlign w:val="center"/>
                </w:tcPr>
                <w:p w14:paraId="09415B1C">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96</w:t>
                  </w:r>
                </w:p>
              </w:tc>
              <w:tc>
                <w:tcPr>
                  <w:tcW w:w="1941" w:type="dxa"/>
                  <w:tcBorders>
                    <w:top w:val="single" w:color="000000" w:sz="4" w:space="0"/>
                    <w:bottom w:val="single" w:color="000000" w:sz="4" w:space="0"/>
                  </w:tcBorders>
                  <w:noWrap w:val="0"/>
                  <w:vAlign w:val="center"/>
                </w:tcPr>
                <w:p w14:paraId="567DE40C">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卷绕机</w:t>
                  </w:r>
                </w:p>
              </w:tc>
            </w:tr>
            <w:tr w14:paraId="51696B0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6A415E1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12</w:t>
                  </w:r>
                </w:p>
              </w:tc>
              <w:tc>
                <w:tcPr>
                  <w:tcW w:w="1754" w:type="dxa"/>
                  <w:tcBorders>
                    <w:top w:val="single" w:color="000000" w:sz="4" w:space="0"/>
                    <w:bottom w:val="single" w:color="000000" w:sz="4" w:space="0"/>
                    <w:right w:val="single" w:color="000000" w:sz="4" w:space="0"/>
                  </w:tcBorders>
                  <w:noWrap w:val="0"/>
                  <w:vAlign w:val="center"/>
                </w:tcPr>
                <w:p w14:paraId="545964D9">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单</w:t>
                  </w:r>
                  <w:r>
                    <w:rPr>
                      <w:rFonts w:hint="default" w:ascii="Times New Roman" w:hAnsi="Times New Roman" w:eastAsia="宋体" w:cs="Times New Roman"/>
                      <w:bCs/>
                      <w:color w:val="000000"/>
                      <w:kern w:val="2"/>
                      <w:sz w:val="21"/>
                      <w:szCs w:val="21"/>
                      <w:u w:val="none" w:color="auto"/>
                      <w:lang w:val="en-US" w:eastAsia="zh-CN" w:bidi="ar-SA"/>
                    </w:rPr>
                    <w:t>极耳入壳机</w:t>
                  </w:r>
                </w:p>
              </w:tc>
              <w:tc>
                <w:tcPr>
                  <w:tcW w:w="1818" w:type="dxa"/>
                  <w:tcBorders>
                    <w:top w:val="single" w:color="000000" w:sz="4" w:space="0"/>
                    <w:bottom w:val="single" w:color="000000" w:sz="4" w:space="0"/>
                  </w:tcBorders>
                  <w:noWrap w:val="0"/>
                  <w:vAlign w:val="center"/>
                </w:tcPr>
                <w:p w14:paraId="07D3A814">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756348EA">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32</w:t>
                  </w:r>
                </w:p>
              </w:tc>
              <w:tc>
                <w:tcPr>
                  <w:tcW w:w="1941" w:type="dxa"/>
                  <w:tcBorders>
                    <w:top w:val="single" w:color="000000" w:sz="4" w:space="0"/>
                  </w:tcBorders>
                  <w:noWrap w:val="0"/>
                  <w:vAlign w:val="center"/>
                </w:tcPr>
                <w:p w14:paraId="22AF2177">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装配</w:t>
                  </w:r>
                </w:p>
              </w:tc>
            </w:tr>
            <w:tr w14:paraId="62D9E69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535BCDB4">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13</w:t>
                  </w:r>
                </w:p>
              </w:tc>
              <w:tc>
                <w:tcPr>
                  <w:tcW w:w="1754" w:type="dxa"/>
                  <w:tcBorders>
                    <w:top w:val="single" w:color="000000" w:sz="4" w:space="0"/>
                    <w:bottom w:val="single" w:color="000000" w:sz="4" w:space="0"/>
                    <w:right w:val="single" w:color="000000" w:sz="4" w:space="0"/>
                  </w:tcBorders>
                  <w:noWrap w:val="0"/>
                  <w:vAlign w:val="center"/>
                </w:tcPr>
                <w:p w14:paraId="79740604">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双极耳入壳机</w:t>
                  </w:r>
                </w:p>
              </w:tc>
              <w:tc>
                <w:tcPr>
                  <w:tcW w:w="1818" w:type="dxa"/>
                  <w:tcBorders>
                    <w:top w:val="single" w:color="000000" w:sz="4" w:space="0"/>
                    <w:bottom w:val="single" w:color="000000" w:sz="4" w:space="0"/>
                  </w:tcBorders>
                  <w:noWrap w:val="0"/>
                  <w:vAlign w:val="center"/>
                </w:tcPr>
                <w:p w14:paraId="21EBB722">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ST-RK-III</w:t>
                  </w:r>
                </w:p>
              </w:tc>
              <w:tc>
                <w:tcPr>
                  <w:tcW w:w="623" w:type="dxa"/>
                  <w:tcBorders>
                    <w:top w:val="single" w:color="000000" w:sz="4" w:space="0"/>
                    <w:bottom w:val="single" w:color="000000" w:sz="4" w:space="0"/>
                  </w:tcBorders>
                  <w:noWrap w:val="0"/>
                  <w:vAlign w:val="center"/>
                </w:tcPr>
                <w:p w14:paraId="055847EB">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64</w:t>
                  </w:r>
                </w:p>
              </w:tc>
              <w:tc>
                <w:tcPr>
                  <w:tcW w:w="1941" w:type="dxa"/>
                  <w:noWrap w:val="0"/>
                  <w:vAlign w:val="center"/>
                </w:tcPr>
                <w:p w14:paraId="2C32CB82">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装配</w:t>
                  </w:r>
                </w:p>
              </w:tc>
            </w:tr>
            <w:tr w14:paraId="5E76F3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476C0253">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14</w:t>
                  </w:r>
                </w:p>
              </w:tc>
              <w:tc>
                <w:tcPr>
                  <w:tcW w:w="1754" w:type="dxa"/>
                  <w:tcBorders>
                    <w:top w:val="single" w:color="000000" w:sz="4" w:space="0"/>
                    <w:bottom w:val="single" w:color="000000" w:sz="4" w:space="0"/>
                    <w:right w:val="single" w:color="000000" w:sz="4" w:space="0"/>
                  </w:tcBorders>
                  <w:noWrap w:val="0"/>
                  <w:vAlign w:val="center"/>
                </w:tcPr>
                <w:p w14:paraId="3A0923B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接触式高真空烤箱</w:t>
                  </w:r>
                </w:p>
              </w:tc>
              <w:tc>
                <w:tcPr>
                  <w:tcW w:w="1818" w:type="dxa"/>
                  <w:tcBorders>
                    <w:top w:val="single" w:color="000000" w:sz="4" w:space="0"/>
                    <w:bottom w:val="single" w:color="000000" w:sz="4" w:space="0"/>
                  </w:tcBorders>
                  <w:noWrap w:val="0"/>
                  <w:vAlign w:val="center"/>
                </w:tcPr>
                <w:p w14:paraId="1F76BF18">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QJS-JCS-05</w:t>
                  </w:r>
                </w:p>
              </w:tc>
              <w:tc>
                <w:tcPr>
                  <w:tcW w:w="623" w:type="dxa"/>
                  <w:tcBorders>
                    <w:top w:val="single" w:color="000000" w:sz="4" w:space="0"/>
                    <w:bottom w:val="single" w:color="000000" w:sz="4" w:space="0"/>
                  </w:tcBorders>
                  <w:noWrap w:val="0"/>
                  <w:vAlign w:val="center"/>
                </w:tcPr>
                <w:p w14:paraId="5E7F9AA1">
                  <w:pPr>
                    <w:keepNext w:val="0"/>
                    <w:keepLines w:val="0"/>
                    <w:pageBreakBefore w:val="0"/>
                    <w:widowControl w:val="0"/>
                    <w:tabs>
                      <w:tab w:val="left" w:pos="420"/>
                    </w:tabs>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9</w:t>
                  </w:r>
                </w:p>
              </w:tc>
              <w:tc>
                <w:tcPr>
                  <w:tcW w:w="1941" w:type="dxa"/>
                  <w:noWrap w:val="0"/>
                  <w:vAlign w:val="center"/>
                </w:tcPr>
                <w:p w14:paraId="58ED1F75">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烘烤</w:t>
                  </w:r>
                </w:p>
              </w:tc>
            </w:tr>
            <w:tr w14:paraId="1D9358C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78949B2E">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15</w:t>
                  </w:r>
                </w:p>
              </w:tc>
              <w:tc>
                <w:tcPr>
                  <w:tcW w:w="1754" w:type="dxa"/>
                  <w:tcBorders>
                    <w:top w:val="single" w:color="000000" w:sz="4" w:space="0"/>
                    <w:bottom w:val="single" w:color="000000" w:sz="4" w:space="0"/>
                    <w:right w:val="single" w:color="000000" w:sz="4" w:space="0"/>
                  </w:tcBorders>
                  <w:noWrap w:val="0"/>
                  <w:vAlign w:val="center"/>
                </w:tcPr>
                <w:p w14:paraId="31315BA1">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双工位装配装盘一体机</w:t>
                  </w:r>
                </w:p>
              </w:tc>
              <w:tc>
                <w:tcPr>
                  <w:tcW w:w="1818" w:type="dxa"/>
                  <w:tcBorders>
                    <w:top w:val="single" w:color="000000" w:sz="4" w:space="0"/>
                    <w:bottom w:val="single" w:color="000000" w:sz="4" w:space="0"/>
                  </w:tcBorders>
                  <w:noWrap w:val="0"/>
                  <w:vAlign w:val="center"/>
                </w:tcPr>
                <w:p w14:paraId="29CC7A31">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25F811A7">
                  <w:pPr>
                    <w:keepNext w:val="0"/>
                    <w:keepLines w:val="0"/>
                    <w:pageBreakBefore w:val="0"/>
                    <w:widowControl w:val="0"/>
                    <w:tabs>
                      <w:tab w:val="left" w:pos="420"/>
                    </w:tabs>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8</w:t>
                  </w:r>
                </w:p>
              </w:tc>
              <w:tc>
                <w:tcPr>
                  <w:tcW w:w="1941" w:type="dxa"/>
                  <w:noWrap w:val="0"/>
                  <w:vAlign w:val="center"/>
                </w:tcPr>
                <w:p w14:paraId="32765BE6">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装配</w:t>
                  </w:r>
                </w:p>
              </w:tc>
            </w:tr>
            <w:tr w14:paraId="67AD7BC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5623C0C9">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16</w:t>
                  </w:r>
                </w:p>
              </w:tc>
              <w:tc>
                <w:tcPr>
                  <w:tcW w:w="1754" w:type="dxa"/>
                  <w:tcBorders>
                    <w:top w:val="single" w:color="000000" w:sz="4" w:space="0"/>
                    <w:bottom w:val="single" w:color="000000" w:sz="4" w:space="0"/>
                    <w:right w:val="single" w:color="000000" w:sz="4" w:space="0"/>
                  </w:tcBorders>
                  <w:noWrap w:val="0"/>
                  <w:vAlign w:val="center"/>
                </w:tcPr>
                <w:p w14:paraId="348619F3">
                  <w:pPr>
                    <w:keepNext w:val="0"/>
                    <w:keepLines w:val="0"/>
                    <w:widowControl/>
                    <w:suppressLineNumbers w:val="0"/>
                    <w:jc w:val="center"/>
                    <w:textAlignment w:val="center"/>
                    <w:rPr>
                      <w:rFonts w:hint="eastAsia"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双工位装配</w:t>
                  </w:r>
                  <w:r>
                    <w:rPr>
                      <w:rFonts w:hint="eastAsia" w:cs="Times New Roman"/>
                      <w:bCs/>
                      <w:color w:val="000000"/>
                      <w:kern w:val="2"/>
                      <w:sz w:val="21"/>
                      <w:szCs w:val="21"/>
                      <w:u w:val="none" w:color="auto"/>
                      <w:lang w:val="en-US" w:eastAsia="zh-CN" w:bidi="ar-SA"/>
                    </w:rPr>
                    <w:t>注液</w:t>
                  </w:r>
                  <w:r>
                    <w:rPr>
                      <w:rFonts w:hint="default" w:ascii="Times New Roman" w:hAnsi="Times New Roman" w:eastAsia="宋体" w:cs="Times New Roman"/>
                      <w:bCs/>
                      <w:color w:val="000000"/>
                      <w:kern w:val="2"/>
                      <w:sz w:val="21"/>
                      <w:szCs w:val="21"/>
                      <w:u w:val="none" w:color="auto"/>
                      <w:lang w:val="en-US" w:eastAsia="zh-CN" w:bidi="ar-SA"/>
                    </w:rPr>
                    <w:t>线一体机</w:t>
                  </w:r>
                </w:p>
              </w:tc>
              <w:tc>
                <w:tcPr>
                  <w:tcW w:w="1818" w:type="dxa"/>
                  <w:tcBorders>
                    <w:top w:val="single" w:color="000000" w:sz="4" w:space="0"/>
                    <w:bottom w:val="single" w:color="000000" w:sz="4" w:space="0"/>
                  </w:tcBorders>
                  <w:noWrap w:val="0"/>
                  <w:vAlign w:val="center"/>
                </w:tcPr>
                <w:p w14:paraId="76E540BA">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53732EAD">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4</w:t>
                  </w:r>
                </w:p>
              </w:tc>
              <w:tc>
                <w:tcPr>
                  <w:tcW w:w="1941" w:type="dxa"/>
                  <w:noWrap w:val="0"/>
                  <w:vAlign w:val="center"/>
                </w:tcPr>
                <w:p w14:paraId="54538D81">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装配注液</w:t>
                  </w:r>
                </w:p>
              </w:tc>
            </w:tr>
            <w:tr w14:paraId="092D8DA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76CEFD6F">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17</w:t>
                  </w:r>
                </w:p>
              </w:tc>
              <w:tc>
                <w:tcPr>
                  <w:tcW w:w="1754" w:type="dxa"/>
                  <w:tcBorders>
                    <w:top w:val="single" w:color="000000" w:sz="4" w:space="0"/>
                    <w:bottom w:val="single" w:color="000000" w:sz="4" w:space="0"/>
                    <w:right w:val="single" w:color="000000" w:sz="4" w:space="0"/>
                  </w:tcBorders>
                  <w:noWrap w:val="0"/>
                  <w:vAlign w:val="center"/>
                </w:tcPr>
                <w:p w14:paraId="1BDFBD11">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手套箱注液线</w:t>
                  </w:r>
                </w:p>
              </w:tc>
              <w:tc>
                <w:tcPr>
                  <w:tcW w:w="1818" w:type="dxa"/>
                  <w:tcBorders>
                    <w:top w:val="single" w:color="000000" w:sz="4" w:space="0"/>
                    <w:bottom w:val="single" w:color="000000" w:sz="4" w:space="0"/>
                  </w:tcBorders>
                  <w:noWrap w:val="0"/>
                  <w:vAlign w:val="center"/>
                </w:tcPr>
                <w:p w14:paraId="592FD003">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3EB0ED9D">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4</w:t>
                  </w:r>
                </w:p>
              </w:tc>
              <w:tc>
                <w:tcPr>
                  <w:tcW w:w="1941" w:type="dxa"/>
                  <w:noWrap w:val="0"/>
                  <w:vAlign w:val="center"/>
                </w:tcPr>
                <w:p w14:paraId="67F976A7">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注液</w:t>
                  </w:r>
                </w:p>
              </w:tc>
            </w:tr>
            <w:tr w14:paraId="39F87E3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12AD2ED3">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18</w:t>
                  </w:r>
                </w:p>
              </w:tc>
              <w:tc>
                <w:tcPr>
                  <w:tcW w:w="1754" w:type="dxa"/>
                  <w:tcBorders>
                    <w:top w:val="single" w:color="000000" w:sz="4" w:space="0"/>
                    <w:bottom w:val="single" w:color="000000" w:sz="4" w:space="0"/>
                    <w:right w:val="single" w:color="000000" w:sz="4" w:space="0"/>
                  </w:tcBorders>
                  <w:noWrap w:val="0"/>
                  <w:vAlign w:val="center"/>
                </w:tcPr>
                <w:p w14:paraId="018368AE">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电缸封口机</w:t>
                  </w:r>
                </w:p>
              </w:tc>
              <w:tc>
                <w:tcPr>
                  <w:tcW w:w="1818" w:type="dxa"/>
                  <w:tcBorders>
                    <w:top w:val="single" w:color="000000" w:sz="4" w:space="0"/>
                    <w:bottom w:val="single" w:color="000000" w:sz="4" w:space="0"/>
                  </w:tcBorders>
                  <w:noWrap w:val="0"/>
                  <w:vAlign w:val="center"/>
                </w:tcPr>
                <w:p w14:paraId="5F6DFA98">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BH-XFK-14型</w:t>
                  </w:r>
                </w:p>
              </w:tc>
              <w:tc>
                <w:tcPr>
                  <w:tcW w:w="623" w:type="dxa"/>
                  <w:tcBorders>
                    <w:top w:val="single" w:color="000000" w:sz="4" w:space="0"/>
                    <w:bottom w:val="single" w:color="000000" w:sz="4" w:space="0"/>
                  </w:tcBorders>
                  <w:noWrap w:val="0"/>
                  <w:vAlign w:val="center"/>
                </w:tcPr>
                <w:p w14:paraId="190C0F69">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42</w:t>
                  </w:r>
                </w:p>
              </w:tc>
              <w:tc>
                <w:tcPr>
                  <w:tcW w:w="1941" w:type="dxa"/>
                  <w:noWrap w:val="0"/>
                  <w:vAlign w:val="center"/>
                </w:tcPr>
                <w:p w14:paraId="5B8DD800">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封口</w:t>
                  </w:r>
                </w:p>
              </w:tc>
            </w:tr>
            <w:tr w14:paraId="36644A8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217692C2">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19</w:t>
                  </w:r>
                </w:p>
              </w:tc>
              <w:tc>
                <w:tcPr>
                  <w:tcW w:w="1754" w:type="dxa"/>
                  <w:tcBorders>
                    <w:top w:val="single" w:color="000000" w:sz="4" w:space="0"/>
                    <w:bottom w:val="single" w:color="000000" w:sz="4" w:space="0"/>
                    <w:right w:val="single" w:color="000000" w:sz="4" w:space="0"/>
                  </w:tcBorders>
                  <w:noWrap w:val="0"/>
                  <w:vAlign w:val="center"/>
                </w:tcPr>
                <w:p w14:paraId="00D42FEF">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连线清洗装盒一体机</w:t>
                  </w:r>
                </w:p>
              </w:tc>
              <w:tc>
                <w:tcPr>
                  <w:tcW w:w="1818" w:type="dxa"/>
                  <w:tcBorders>
                    <w:top w:val="single" w:color="000000" w:sz="4" w:space="0"/>
                    <w:bottom w:val="single" w:color="000000" w:sz="4" w:space="0"/>
                  </w:tcBorders>
                  <w:noWrap w:val="0"/>
                  <w:vAlign w:val="center"/>
                </w:tcPr>
                <w:p w14:paraId="4542E579">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shd w:val="clear" w:color="auto" w:fill="auto"/>
                  <w:noWrap w:val="0"/>
                  <w:vAlign w:val="center"/>
                </w:tcPr>
                <w:p w14:paraId="304F3B7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21</w:t>
                  </w:r>
                </w:p>
              </w:tc>
              <w:tc>
                <w:tcPr>
                  <w:tcW w:w="1941" w:type="dxa"/>
                  <w:tcBorders>
                    <w:top w:val="single" w:color="000000" w:sz="4" w:space="0"/>
                    <w:bottom w:val="single" w:color="000000" w:sz="4" w:space="0"/>
                  </w:tcBorders>
                  <w:shd w:val="clear" w:color="auto" w:fill="auto"/>
                  <w:noWrap w:val="0"/>
                  <w:vAlign w:val="center"/>
                </w:tcPr>
                <w:p w14:paraId="2F9BFB55">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清洗</w:t>
                  </w:r>
                </w:p>
              </w:tc>
            </w:tr>
            <w:tr w14:paraId="26B205E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10D1FBD0">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20</w:t>
                  </w:r>
                </w:p>
              </w:tc>
              <w:tc>
                <w:tcPr>
                  <w:tcW w:w="1754" w:type="dxa"/>
                  <w:tcBorders>
                    <w:top w:val="single" w:color="000000" w:sz="4" w:space="0"/>
                    <w:bottom w:val="single" w:color="000000" w:sz="4" w:space="0"/>
                    <w:right w:val="single" w:color="000000" w:sz="4" w:space="0"/>
                  </w:tcBorders>
                  <w:noWrap w:val="0"/>
                  <w:vAlign w:val="center"/>
                </w:tcPr>
                <w:p w14:paraId="5A1FCBB8">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装网格盒机</w:t>
                  </w:r>
                </w:p>
              </w:tc>
              <w:tc>
                <w:tcPr>
                  <w:tcW w:w="1818" w:type="dxa"/>
                  <w:tcBorders>
                    <w:top w:val="single" w:color="000000" w:sz="4" w:space="0"/>
                    <w:bottom w:val="single" w:color="000000" w:sz="4" w:space="0"/>
                  </w:tcBorders>
                  <w:noWrap w:val="0"/>
                  <w:vAlign w:val="center"/>
                </w:tcPr>
                <w:p w14:paraId="26448CBB">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17CC7881">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8</w:t>
                  </w:r>
                </w:p>
              </w:tc>
              <w:tc>
                <w:tcPr>
                  <w:tcW w:w="1941" w:type="dxa"/>
                  <w:tcBorders>
                    <w:top w:val="single" w:color="000000" w:sz="4" w:space="0"/>
                    <w:bottom w:val="single" w:color="000000" w:sz="4" w:space="0"/>
                  </w:tcBorders>
                  <w:noWrap w:val="0"/>
                  <w:vAlign w:val="center"/>
                </w:tcPr>
                <w:p w14:paraId="23F8AF97">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r>
            <w:tr w14:paraId="2D1F024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4D3635D0">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21</w:t>
                  </w:r>
                </w:p>
              </w:tc>
              <w:tc>
                <w:tcPr>
                  <w:tcW w:w="1754" w:type="dxa"/>
                  <w:tcBorders>
                    <w:top w:val="single" w:color="000000" w:sz="4" w:space="0"/>
                    <w:bottom w:val="single" w:color="000000" w:sz="4" w:space="0"/>
                    <w:right w:val="single" w:color="000000" w:sz="4" w:space="0"/>
                  </w:tcBorders>
                  <w:noWrap w:val="0"/>
                  <w:vAlign w:val="center"/>
                </w:tcPr>
                <w:p w14:paraId="78E4CA9D">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针床分容柜</w:t>
                  </w:r>
                </w:p>
              </w:tc>
              <w:tc>
                <w:tcPr>
                  <w:tcW w:w="1818" w:type="dxa"/>
                  <w:tcBorders>
                    <w:top w:val="single" w:color="000000" w:sz="4" w:space="0"/>
                    <w:bottom w:val="single" w:color="000000" w:sz="4" w:space="0"/>
                  </w:tcBorders>
                  <w:noWrap w:val="0"/>
                  <w:vAlign w:val="center"/>
                </w:tcPr>
                <w:p w14:paraId="5403FD35">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5V2A</w:t>
                  </w:r>
                </w:p>
              </w:tc>
              <w:tc>
                <w:tcPr>
                  <w:tcW w:w="623" w:type="dxa"/>
                  <w:tcBorders>
                    <w:top w:val="single" w:color="000000" w:sz="4" w:space="0"/>
                    <w:bottom w:val="single" w:color="000000" w:sz="4" w:space="0"/>
                  </w:tcBorders>
                  <w:noWrap w:val="0"/>
                  <w:vAlign w:val="center"/>
                </w:tcPr>
                <w:p w14:paraId="582DE87A">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130</w:t>
                  </w:r>
                </w:p>
              </w:tc>
              <w:tc>
                <w:tcPr>
                  <w:tcW w:w="1941" w:type="dxa"/>
                  <w:tcBorders>
                    <w:top w:val="single" w:color="000000" w:sz="4" w:space="0"/>
                    <w:bottom w:val="single" w:color="000000" w:sz="4" w:space="0"/>
                  </w:tcBorders>
                  <w:noWrap w:val="0"/>
                  <w:vAlign w:val="center"/>
                </w:tcPr>
                <w:p w14:paraId="0655B41B">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分容</w:t>
                  </w:r>
                </w:p>
              </w:tc>
            </w:tr>
            <w:tr w14:paraId="5DA0DC1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5BF6E952">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22</w:t>
                  </w:r>
                </w:p>
              </w:tc>
              <w:tc>
                <w:tcPr>
                  <w:tcW w:w="1754" w:type="dxa"/>
                  <w:tcBorders>
                    <w:top w:val="single" w:color="000000" w:sz="4" w:space="0"/>
                    <w:bottom w:val="single" w:color="000000" w:sz="4" w:space="0"/>
                    <w:right w:val="single" w:color="000000" w:sz="4" w:space="0"/>
                  </w:tcBorders>
                  <w:noWrap w:val="0"/>
                  <w:vAlign w:val="center"/>
                </w:tcPr>
                <w:p w14:paraId="185EA2D6">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针床化成柜</w:t>
                  </w:r>
                </w:p>
              </w:tc>
              <w:tc>
                <w:tcPr>
                  <w:tcW w:w="1818" w:type="dxa"/>
                  <w:tcBorders>
                    <w:top w:val="single" w:color="000000" w:sz="4" w:space="0"/>
                    <w:bottom w:val="single" w:color="000000" w:sz="4" w:space="0"/>
                  </w:tcBorders>
                  <w:noWrap w:val="0"/>
                  <w:vAlign w:val="center"/>
                </w:tcPr>
                <w:p w14:paraId="22155733">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5V1A</w:t>
                  </w:r>
                </w:p>
              </w:tc>
              <w:tc>
                <w:tcPr>
                  <w:tcW w:w="623" w:type="dxa"/>
                  <w:tcBorders>
                    <w:top w:val="single" w:color="000000" w:sz="4" w:space="0"/>
                    <w:bottom w:val="single" w:color="000000" w:sz="4" w:space="0"/>
                  </w:tcBorders>
                  <w:noWrap w:val="0"/>
                  <w:vAlign w:val="center"/>
                </w:tcPr>
                <w:p w14:paraId="5FC65399">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375</w:t>
                  </w:r>
                </w:p>
              </w:tc>
              <w:tc>
                <w:tcPr>
                  <w:tcW w:w="1941" w:type="dxa"/>
                  <w:tcBorders>
                    <w:top w:val="single" w:color="000000" w:sz="4" w:space="0"/>
                    <w:bottom w:val="single" w:color="000000" w:sz="4" w:space="0"/>
                  </w:tcBorders>
                  <w:noWrap w:val="0"/>
                  <w:vAlign w:val="center"/>
                </w:tcPr>
                <w:p w14:paraId="4346FC0B">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化成</w:t>
                  </w:r>
                </w:p>
              </w:tc>
            </w:tr>
            <w:tr w14:paraId="334F22E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667C5074">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23</w:t>
                  </w:r>
                </w:p>
              </w:tc>
              <w:tc>
                <w:tcPr>
                  <w:tcW w:w="1754" w:type="dxa"/>
                  <w:tcBorders>
                    <w:top w:val="single" w:color="000000" w:sz="4" w:space="0"/>
                    <w:bottom w:val="single" w:color="000000" w:sz="4" w:space="0"/>
                    <w:right w:val="single" w:color="000000" w:sz="4" w:space="0"/>
                  </w:tcBorders>
                  <w:noWrap w:val="0"/>
                  <w:vAlign w:val="center"/>
                </w:tcPr>
                <w:p w14:paraId="0EBBA372">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套膜一体机</w:t>
                  </w:r>
                </w:p>
              </w:tc>
              <w:tc>
                <w:tcPr>
                  <w:tcW w:w="1818" w:type="dxa"/>
                  <w:tcBorders>
                    <w:top w:val="single" w:color="000000" w:sz="4" w:space="0"/>
                    <w:bottom w:val="single" w:color="000000" w:sz="4" w:space="0"/>
                  </w:tcBorders>
                  <w:noWrap w:val="0"/>
                  <w:vAlign w:val="center"/>
                </w:tcPr>
                <w:p w14:paraId="4616BED3">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2E3815BB">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38</w:t>
                  </w:r>
                </w:p>
              </w:tc>
              <w:tc>
                <w:tcPr>
                  <w:tcW w:w="1941" w:type="dxa"/>
                  <w:tcBorders>
                    <w:top w:val="single" w:color="000000" w:sz="4" w:space="0"/>
                    <w:bottom w:val="single" w:color="000000" w:sz="4" w:space="0"/>
                  </w:tcBorders>
                  <w:noWrap w:val="0"/>
                  <w:vAlign w:val="center"/>
                </w:tcPr>
                <w:p w14:paraId="30A5D76F">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套膜+装盒一体机，装纸盒</w:t>
                  </w:r>
                </w:p>
              </w:tc>
            </w:tr>
            <w:tr w14:paraId="2673421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1A628494">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24</w:t>
                  </w:r>
                </w:p>
              </w:tc>
              <w:tc>
                <w:tcPr>
                  <w:tcW w:w="1754" w:type="dxa"/>
                  <w:tcBorders>
                    <w:top w:val="single" w:color="000000" w:sz="4" w:space="0"/>
                    <w:bottom w:val="single" w:color="000000" w:sz="4" w:space="0"/>
                    <w:right w:val="single" w:color="000000" w:sz="4" w:space="0"/>
                  </w:tcBorders>
                  <w:noWrap w:val="0"/>
                  <w:vAlign w:val="center"/>
                </w:tcPr>
                <w:p w14:paraId="5AEDB113">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套膜一体机</w:t>
                  </w:r>
                </w:p>
              </w:tc>
              <w:tc>
                <w:tcPr>
                  <w:tcW w:w="1818" w:type="dxa"/>
                  <w:tcBorders>
                    <w:top w:val="single" w:color="000000" w:sz="4" w:space="0"/>
                    <w:bottom w:val="single" w:color="000000" w:sz="4" w:space="0"/>
                  </w:tcBorders>
                  <w:noWrap w:val="0"/>
                  <w:vAlign w:val="center"/>
                </w:tcPr>
                <w:p w14:paraId="6013F7C6">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4B78F78E">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5</w:t>
                  </w:r>
                </w:p>
              </w:tc>
              <w:tc>
                <w:tcPr>
                  <w:tcW w:w="1941" w:type="dxa"/>
                  <w:tcBorders>
                    <w:top w:val="single" w:color="000000" w:sz="4" w:space="0"/>
                    <w:bottom w:val="single" w:color="000000" w:sz="4" w:space="0"/>
                  </w:tcBorders>
                  <w:noWrap w:val="0"/>
                  <w:vAlign w:val="center"/>
                </w:tcPr>
                <w:p w14:paraId="263F1EDE">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套膜+装盒一体机，装纸盒和网格盒两用</w:t>
                  </w:r>
                </w:p>
              </w:tc>
            </w:tr>
            <w:tr w14:paraId="61DD684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52EE7DF7">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25</w:t>
                  </w:r>
                </w:p>
              </w:tc>
              <w:tc>
                <w:tcPr>
                  <w:tcW w:w="1754" w:type="dxa"/>
                  <w:tcBorders>
                    <w:top w:val="single" w:color="000000" w:sz="4" w:space="0"/>
                    <w:bottom w:val="single" w:color="000000" w:sz="4" w:space="0"/>
                    <w:right w:val="single" w:color="000000" w:sz="4" w:space="0"/>
                  </w:tcBorders>
                  <w:noWrap w:val="0"/>
                  <w:vAlign w:val="center"/>
                </w:tcPr>
                <w:p w14:paraId="5F0440FC">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套膜上料机</w:t>
                  </w:r>
                </w:p>
              </w:tc>
              <w:tc>
                <w:tcPr>
                  <w:tcW w:w="1818" w:type="dxa"/>
                  <w:tcBorders>
                    <w:top w:val="single" w:color="000000" w:sz="4" w:space="0"/>
                    <w:bottom w:val="single" w:color="000000" w:sz="4" w:space="0"/>
                  </w:tcBorders>
                  <w:noWrap w:val="0"/>
                  <w:vAlign w:val="center"/>
                </w:tcPr>
                <w:p w14:paraId="698124AC">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17F5F757">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43</w:t>
                  </w:r>
                </w:p>
              </w:tc>
              <w:tc>
                <w:tcPr>
                  <w:tcW w:w="1941" w:type="dxa"/>
                  <w:tcBorders>
                    <w:top w:val="single" w:color="000000" w:sz="4" w:space="0"/>
                    <w:bottom w:val="single" w:color="000000" w:sz="4" w:space="0"/>
                  </w:tcBorders>
                  <w:noWrap w:val="0"/>
                  <w:vAlign w:val="center"/>
                </w:tcPr>
                <w:p w14:paraId="010A81DD">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上料</w:t>
                  </w:r>
                </w:p>
              </w:tc>
            </w:tr>
            <w:tr w14:paraId="0B795C7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31E1156B">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26</w:t>
                  </w:r>
                </w:p>
              </w:tc>
              <w:tc>
                <w:tcPr>
                  <w:tcW w:w="1754" w:type="dxa"/>
                  <w:tcBorders>
                    <w:top w:val="single" w:color="000000" w:sz="4" w:space="0"/>
                    <w:bottom w:val="single" w:color="000000" w:sz="4" w:space="0"/>
                    <w:right w:val="single" w:color="000000" w:sz="4" w:space="0"/>
                  </w:tcBorders>
                  <w:noWrap w:val="0"/>
                  <w:vAlign w:val="center"/>
                </w:tcPr>
                <w:p w14:paraId="56CDB6E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容量分选机</w:t>
                  </w:r>
                </w:p>
              </w:tc>
              <w:tc>
                <w:tcPr>
                  <w:tcW w:w="1818" w:type="dxa"/>
                  <w:tcBorders>
                    <w:top w:val="single" w:color="000000" w:sz="4" w:space="0"/>
                    <w:bottom w:val="single" w:color="000000" w:sz="4" w:space="0"/>
                  </w:tcBorders>
                  <w:noWrap w:val="0"/>
                  <w:vAlign w:val="center"/>
                </w:tcPr>
                <w:p w14:paraId="13B471E0">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7EE1A16D">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6</w:t>
                  </w:r>
                </w:p>
              </w:tc>
              <w:tc>
                <w:tcPr>
                  <w:tcW w:w="1941" w:type="dxa"/>
                  <w:tcBorders>
                    <w:top w:val="single" w:color="000000" w:sz="4" w:space="0"/>
                    <w:bottom w:val="single" w:color="000000" w:sz="4" w:space="0"/>
                  </w:tcBorders>
                  <w:noWrap w:val="0"/>
                  <w:vAlign w:val="center"/>
                </w:tcPr>
                <w:p w14:paraId="15CFD1F1">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容量分选</w:t>
                  </w:r>
                </w:p>
              </w:tc>
            </w:tr>
            <w:tr w14:paraId="32F76E9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47D00F8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27</w:t>
                  </w:r>
                </w:p>
              </w:tc>
              <w:tc>
                <w:tcPr>
                  <w:tcW w:w="1754" w:type="dxa"/>
                  <w:tcBorders>
                    <w:top w:val="single" w:color="000000" w:sz="4" w:space="0"/>
                    <w:bottom w:val="single" w:color="000000" w:sz="4" w:space="0"/>
                    <w:right w:val="single" w:color="000000" w:sz="4" w:space="0"/>
                  </w:tcBorders>
                  <w:noWrap w:val="0"/>
                  <w:vAlign w:val="center"/>
                </w:tcPr>
                <w:p w14:paraId="2C9157E1">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激光打标机</w:t>
                  </w:r>
                </w:p>
              </w:tc>
              <w:tc>
                <w:tcPr>
                  <w:tcW w:w="1818" w:type="dxa"/>
                  <w:tcBorders>
                    <w:top w:val="single" w:color="000000" w:sz="4" w:space="0"/>
                    <w:bottom w:val="single" w:color="000000" w:sz="4" w:space="0"/>
                  </w:tcBorders>
                  <w:noWrap w:val="0"/>
                  <w:vAlign w:val="center"/>
                </w:tcPr>
                <w:p w14:paraId="5F9935B8">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p>
              </w:tc>
              <w:tc>
                <w:tcPr>
                  <w:tcW w:w="623" w:type="dxa"/>
                  <w:tcBorders>
                    <w:top w:val="single" w:color="000000" w:sz="4" w:space="0"/>
                    <w:bottom w:val="single" w:color="000000" w:sz="4" w:space="0"/>
                  </w:tcBorders>
                  <w:noWrap w:val="0"/>
                  <w:vAlign w:val="center"/>
                </w:tcPr>
                <w:p w14:paraId="55A2CCD8">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43</w:t>
                  </w:r>
                </w:p>
              </w:tc>
              <w:tc>
                <w:tcPr>
                  <w:tcW w:w="1941" w:type="dxa"/>
                  <w:tcBorders>
                    <w:top w:val="single" w:color="000000" w:sz="4" w:space="0"/>
                    <w:bottom w:val="single" w:color="000000" w:sz="4" w:space="0"/>
                  </w:tcBorders>
                  <w:noWrap w:val="0"/>
                  <w:vAlign w:val="center"/>
                </w:tcPr>
                <w:p w14:paraId="6AFAE11C">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激光打标</w:t>
                  </w:r>
                </w:p>
              </w:tc>
            </w:tr>
            <w:tr w14:paraId="20CCCFE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40015F2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28</w:t>
                  </w:r>
                </w:p>
              </w:tc>
              <w:tc>
                <w:tcPr>
                  <w:tcW w:w="1754" w:type="dxa"/>
                  <w:tcBorders>
                    <w:top w:val="single" w:color="000000" w:sz="4" w:space="0"/>
                    <w:bottom w:val="single" w:color="000000" w:sz="4" w:space="0"/>
                    <w:right w:val="single" w:color="000000" w:sz="4" w:space="0"/>
                  </w:tcBorders>
                  <w:noWrap w:val="0"/>
                  <w:vAlign w:val="center"/>
                </w:tcPr>
                <w:p w14:paraId="14BF0F0E">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返修卷绕机</w:t>
                  </w:r>
                </w:p>
              </w:tc>
              <w:tc>
                <w:tcPr>
                  <w:tcW w:w="1818" w:type="dxa"/>
                  <w:tcBorders>
                    <w:top w:val="single" w:color="000000" w:sz="4" w:space="0"/>
                    <w:bottom w:val="single" w:color="000000" w:sz="4" w:space="0"/>
                  </w:tcBorders>
                  <w:noWrap w:val="0"/>
                  <w:vAlign w:val="center"/>
                </w:tcPr>
                <w:p w14:paraId="6828A181">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09B5770D">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2</w:t>
                  </w:r>
                </w:p>
              </w:tc>
              <w:tc>
                <w:tcPr>
                  <w:tcW w:w="1941" w:type="dxa"/>
                  <w:tcBorders>
                    <w:top w:val="single" w:color="000000" w:sz="4" w:space="0"/>
                    <w:bottom w:val="single" w:color="000000" w:sz="4" w:space="0"/>
                  </w:tcBorders>
                  <w:noWrap w:val="0"/>
                  <w:vAlign w:val="center"/>
                </w:tcPr>
                <w:p w14:paraId="76307D2D">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返修</w:t>
                  </w:r>
                </w:p>
              </w:tc>
            </w:tr>
            <w:tr w14:paraId="7EFB6C5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52699202">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29</w:t>
                  </w:r>
                </w:p>
              </w:tc>
              <w:tc>
                <w:tcPr>
                  <w:tcW w:w="1754" w:type="dxa"/>
                  <w:tcBorders>
                    <w:top w:val="single" w:color="000000" w:sz="4" w:space="0"/>
                    <w:bottom w:val="single" w:color="000000" w:sz="4" w:space="0"/>
                    <w:right w:val="single" w:color="000000" w:sz="4" w:space="0"/>
                  </w:tcBorders>
                  <w:noWrap w:val="0"/>
                  <w:vAlign w:val="center"/>
                </w:tcPr>
                <w:p w14:paraId="59699921">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返修入壳机</w:t>
                  </w:r>
                </w:p>
              </w:tc>
              <w:tc>
                <w:tcPr>
                  <w:tcW w:w="1818" w:type="dxa"/>
                  <w:tcBorders>
                    <w:top w:val="single" w:color="000000" w:sz="4" w:space="0"/>
                    <w:bottom w:val="single" w:color="000000" w:sz="4" w:space="0"/>
                  </w:tcBorders>
                  <w:noWrap w:val="0"/>
                  <w:vAlign w:val="center"/>
                </w:tcPr>
                <w:p w14:paraId="48CC0693">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66DF418F">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2</w:t>
                  </w:r>
                </w:p>
              </w:tc>
              <w:tc>
                <w:tcPr>
                  <w:tcW w:w="1941" w:type="dxa"/>
                  <w:tcBorders>
                    <w:top w:val="single" w:color="000000" w:sz="4" w:space="0"/>
                    <w:bottom w:val="single" w:color="000000" w:sz="4" w:space="0"/>
                  </w:tcBorders>
                  <w:noWrap w:val="0"/>
                  <w:vAlign w:val="center"/>
                </w:tcPr>
                <w:p w14:paraId="69EBA73E">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返修</w:t>
                  </w:r>
                </w:p>
              </w:tc>
            </w:tr>
            <w:tr w14:paraId="50FA920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7891576D">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30</w:t>
                  </w:r>
                </w:p>
              </w:tc>
              <w:tc>
                <w:tcPr>
                  <w:tcW w:w="1754" w:type="dxa"/>
                  <w:tcBorders>
                    <w:top w:val="single" w:color="000000" w:sz="4" w:space="0"/>
                    <w:bottom w:val="single" w:color="000000" w:sz="4" w:space="0"/>
                    <w:right w:val="single" w:color="000000" w:sz="4" w:space="0"/>
                  </w:tcBorders>
                  <w:noWrap w:val="0"/>
                  <w:vAlign w:val="center"/>
                </w:tcPr>
                <w:p w14:paraId="334565ED">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除湿机系统</w:t>
                  </w:r>
                </w:p>
              </w:tc>
              <w:tc>
                <w:tcPr>
                  <w:tcW w:w="1818" w:type="dxa"/>
                  <w:tcBorders>
                    <w:top w:val="single" w:color="000000" w:sz="4" w:space="0"/>
                    <w:bottom w:val="single" w:color="000000" w:sz="4" w:space="0"/>
                  </w:tcBorders>
                  <w:noWrap w:val="0"/>
                  <w:vAlign w:val="center"/>
                </w:tcPr>
                <w:p w14:paraId="5A7D9BEC">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7CB459EE">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w:t>
                  </w:r>
                </w:p>
              </w:tc>
              <w:tc>
                <w:tcPr>
                  <w:tcW w:w="1941" w:type="dxa"/>
                  <w:tcBorders>
                    <w:top w:val="single" w:color="000000" w:sz="4" w:space="0"/>
                    <w:bottom w:val="single" w:color="000000" w:sz="4" w:space="0"/>
                  </w:tcBorders>
                  <w:noWrap w:val="0"/>
                  <w:vAlign w:val="center"/>
                </w:tcPr>
                <w:p w14:paraId="3533A426">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辅助系统</w:t>
                  </w:r>
                </w:p>
              </w:tc>
            </w:tr>
            <w:tr w14:paraId="3876A3D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3ED87C1C">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31</w:t>
                  </w:r>
                </w:p>
              </w:tc>
              <w:tc>
                <w:tcPr>
                  <w:tcW w:w="1754" w:type="dxa"/>
                  <w:tcBorders>
                    <w:top w:val="single" w:color="000000" w:sz="4" w:space="0"/>
                    <w:bottom w:val="single" w:color="000000" w:sz="4" w:space="0"/>
                    <w:right w:val="single" w:color="000000" w:sz="4" w:space="0"/>
                  </w:tcBorders>
                  <w:noWrap w:val="0"/>
                  <w:vAlign w:val="center"/>
                </w:tcPr>
                <w:p w14:paraId="7B5B1FCC">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空气压缩气系统</w:t>
                  </w:r>
                </w:p>
              </w:tc>
              <w:tc>
                <w:tcPr>
                  <w:tcW w:w="1818" w:type="dxa"/>
                  <w:tcBorders>
                    <w:top w:val="single" w:color="000000" w:sz="4" w:space="0"/>
                    <w:bottom w:val="single" w:color="000000" w:sz="4" w:space="0"/>
                  </w:tcBorders>
                  <w:noWrap w:val="0"/>
                  <w:vAlign w:val="center"/>
                </w:tcPr>
                <w:p w14:paraId="17E8E727">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ZH800-8</w:t>
                  </w:r>
                </w:p>
              </w:tc>
              <w:tc>
                <w:tcPr>
                  <w:tcW w:w="623" w:type="dxa"/>
                  <w:tcBorders>
                    <w:top w:val="single" w:color="000000" w:sz="4" w:space="0"/>
                    <w:bottom w:val="single" w:color="000000" w:sz="4" w:space="0"/>
                  </w:tcBorders>
                  <w:noWrap w:val="0"/>
                  <w:vAlign w:val="center"/>
                </w:tcPr>
                <w:p w14:paraId="760DAC5C">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w:t>
                  </w:r>
                </w:p>
              </w:tc>
              <w:tc>
                <w:tcPr>
                  <w:tcW w:w="1941" w:type="dxa"/>
                  <w:tcBorders>
                    <w:top w:val="single" w:color="000000" w:sz="4" w:space="0"/>
                    <w:bottom w:val="single" w:color="000000" w:sz="4" w:space="0"/>
                  </w:tcBorders>
                  <w:noWrap w:val="0"/>
                  <w:vAlign w:val="center"/>
                </w:tcPr>
                <w:p w14:paraId="637613F1">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辅助系统</w:t>
                  </w:r>
                </w:p>
              </w:tc>
            </w:tr>
            <w:tr w14:paraId="0B602D8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4D7C7250">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32</w:t>
                  </w:r>
                </w:p>
              </w:tc>
              <w:tc>
                <w:tcPr>
                  <w:tcW w:w="1754" w:type="dxa"/>
                  <w:tcBorders>
                    <w:top w:val="single" w:color="000000" w:sz="4" w:space="0"/>
                    <w:bottom w:val="single" w:color="000000" w:sz="4" w:space="0"/>
                    <w:right w:val="single" w:color="000000" w:sz="4" w:space="0"/>
                  </w:tcBorders>
                  <w:noWrap w:val="0"/>
                  <w:vAlign w:val="center"/>
                </w:tcPr>
                <w:p w14:paraId="79CB1521">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冷水系统</w:t>
                  </w:r>
                </w:p>
              </w:tc>
              <w:tc>
                <w:tcPr>
                  <w:tcW w:w="1818" w:type="dxa"/>
                  <w:tcBorders>
                    <w:top w:val="single" w:color="000000" w:sz="4" w:space="0"/>
                    <w:bottom w:val="single" w:color="000000" w:sz="4" w:space="0"/>
                  </w:tcBorders>
                  <w:noWrap w:val="0"/>
                  <w:vAlign w:val="center"/>
                </w:tcPr>
                <w:p w14:paraId="1E1CD81A">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p>
              </w:tc>
              <w:tc>
                <w:tcPr>
                  <w:tcW w:w="623" w:type="dxa"/>
                  <w:tcBorders>
                    <w:top w:val="single" w:color="000000" w:sz="4" w:space="0"/>
                    <w:bottom w:val="single" w:color="000000" w:sz="4" w:space="0"/>
                  </w:tcBorders>
                  <w:noWrap w:val="0"/>
                  <w:vAlign w:val="center"/>
                </w:tcPr>
                <w:p w14:paraId="2588C58F">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w:t>
                  </w:r>
                </w:p>
              </w:tc>
              <w:tc>
                <w:tcPr>
                  <w:tcW w:w="1941" w:type="dxa"/>
                  <w:tcBorders>
                    <w:top w:val="single" w:color="000000" w:sz="4" w:space="0"/>
                    <w:bottom w:val="single" w:color="000000" w:sz="4" w:space="0"/>
                  </w:tcBorders>
                  <w:noWrap w:val="0"/>
                  <w:vAlign w:val="center"/>
                </w:tcPr>
                <w:p w14:paraId="3902795C">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辅助系统</w:t>
                  </w:r>
                </w:p>
              </w:tc>
            </w:tr>
            <w:tr w14:paraId="2AE9F63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66AEEB89">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33</w:t>
                  </w:r>
                </w:p>
              </w:tc>
              <w:tc>
                <w:tcPr>
                  <w:tcW w:w="1754" w:type="dxa"/>
                  <w:tcBorders>
                    <w:top w:val="single" w:color="000000" w:sz="4" w:space="0"/>
                    <w:bottom w:val="single" w:color="000000" w:sz="4" w:space="0"/>
                    <w:right w:val="single" w:color="000000" w:sz="4" w:space="0"/>
                  </w:tcBorders>
                  <w:noWrap w:val="0"/>
                  <w:vAlign w:val="center"/>
                </w:tcPr>
                <w:p w14:paraId="1DDE240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空调系统</w:t>
                  </w:r>
                </w:p>
              </w:tc>
              <w:tc>
                <w:tcPr>
                  <w:tcW w:w="1818" w:type="dxa"/>
                  <w:tcBorders>
                    <w:top w:val="single" w:color="000000" w:sz="4" w:space="0"/>
                    <w:bottom w:val="single" w:color="000000" w:sz="4" w:space="0"/>
                  </w:tcBorders>
                  <w:noWrap w:val="0"/>
                  <w:vAlign w:val="center"/>
                </w:tcPr>
                <w:p w14:paraId="621384BA">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7A6C24E5">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w:t>
                  </w:r>
                </w:p>
              </w:tc>
              <w:tc>
                <w:tcPr>
                  <w:tcW w:w="1941" w:type="dxa"/>
                  <w:tcBorders>
                    <w:top w:val="single" w:color="000000" w:sz="4" w:space="0"/>
                    <w:bottom w:val="single" w:color="000000" w:sz="4" w:space="0"/>
                  </w:tcBorders>
                  <w:noWrap w:val="0"/>
                  <w:vAlign w:val="center"/>
                </w:tcPr>
                <w:p w14:paraId="5711386B">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辅助系统</w:t>
                  </w:r>
                </w:p>
              </w:tc>
            </w:tr>
            <w:tr w14:paraId="6541F93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7CA8C96D">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34</w:t>
                  </w:r>
                </w:p>
              </w:tc>
              <w:tc>
                <w:tcPr>
                  <w:tcW w:w="1754" w:type="dxa"/>
                  <w:tcBorders>
                    <w:top w:val="single" w:color="000000" w:sz="4" w:space="0"/>
                    <w:bottom w:val="single" w:color="000000" w:sz="4" w:space="0"/>
                    <w:right w:val="single" w:color="000000" w:sz="4" w:space="0"/>
                  </w:tcBorders>
                  <w:noWrap w:val="0"/>
                  <w:vAlign w:val="center"/>
                </w:tcPr>
                <w:p w14:paraId="6BAB5DD3">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制氮机（系统）</w:t>
                  </w:r>
                </w:p>
              </w:tc>
              <w:tc>
                <w:tcPr>
                  <w:tcW w:w="1818" w:type="dxa"/>
                  <w:tcBorders>
                    <w:top w:val="single" w:color="000000" w:sz="4" w:space="0"/>
                    <w:bottom w:val="single" w:color="000000" w:sz="4" w:space="0"/>
                  </w:tcBorders>
                  <w:noWrap w:val="0"/>
                  <w:vAlign w:val="center"/>
                </w:tcPr>
                <w:p w14:paraId="5C55E45E">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200m</w:t>
                  </w:r>
                  <w:r>
                    <w:rPr>
                      <w:rFonts w:hint="eastAsia" w:ascii="Times New Roman" w:hAnsi="Times New Roman" w:eastAsia="宋体" w:cs="Times New Roman"/>
                      <w:bCs/>
                      <w:color w:val="000000"/>
                      <w:kern w:val="2"/>
                      <w:sz w:val="21"/>
                      <w:szCs w:val="21"/>
                      <w:u w:val="none" w:color="auto"/>
                      <w:vertAlign w:val="superscript"/>
                      <w:lang w:val="en-US" w:eastAsia="zh-CN" w:bidi="ar-SA"/>
                    </w:rPr>
                    <w:t>3</w:t>
                  </w:r>
                  <w:r>
                    <w:rPr>
                      <w:rFonts w:hint="eastAsia" w:ascii="Times New Roman" w:hAnsi="Times New Roman" w:eastAsia="宋体" w:cs="Times New Roman"/>
                      <w:bCs/>
                      <w:color w:val="000000"/>
                      <w:kern w:val="2"/>
                      <w:sz w:val="21"/>
                      <w:szCs w:val="21"/>
                      <w:u w:val="none" w:color="auto"/>
                      <w:lang w:val="en-US" w:eastAsia="zh-CN" w:bidi="ar-SA"/>
                    </w:rPr>
                    <w:t>，纯度99.99%</w:t>
                  </w:r>
                </w:p>
              </w:tc>
              <w:tc>
                <w:tcPr>
                  <w:tcW w:w="623" w:type="dxa"/>
                  <w:tcBorders>
                    <w:top w:val="single" w:color="000000" w:sz="4" w:space="0"/>
                    <w:bottom w:val="single" w:color="000000" w:sz="4" w:space="0"/>
                  </w:tcBorders>
                  <w:noWrap w:val="0"/>
                  <w:vAlign w:val="center"/>
                </w:tcPr>
                <w:p w14:paraId="4435E6CD">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w:t>
                  </w:r>
                </w:p>
              </w:tc>
              <w:tc>
                <w:tcPr>
                  <w:tcW w:w="1941" w:type="dxa"/>
                  <w:tcBorders>
                    <w:top w:val="single" w:color="000000" w:sz="4" w:space="0"/>
                    <w:bottom w:val="single" w:color="000000" w:sz="4" w:space="0"/>
                  </w:tcBorders>
                  <w:noWrap w:val="0"/>
                  <w:vAlign w:val="center"/>
                </w:tcPr>
                <w:p w14:paraId="66C93B65">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辅助系统</w:t>
                  </w:r>
                </w:p>
              </w:tc>
            </w:tr>
            <w:tr w14:paraId="666663C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0F67A3CD">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35</w:t>
                  </w:r>
                </w:p>
              </w:tc>
              <w:tc>
                <w:tcPr>
                  <w:tcW w:w="1754" w:type="dxa"/>
                  <w:tcBorders>
                    <w:top w:val="single" w:color="000000" w:sz="4" w:space="0"/>
                    <w:bottom w:val="single" w:color="000000" w:sz="4" w:space="0"/>
                    <w:right w:val="single" w:color="000000" w:sz="4" w:space="0"/>
                  </w:tcBorders>
                  <w:noWrap w:val="0"/>
                  <w:vAlign w:val="center"/>
                </w:tcPr>
                <w:p w14:paraId="2DDC0269">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NMP回收系统</w:t>
                  </w:r>
                </w:p>
              </w:tc>
              <w:tc>
                <w:tcPr>
                  <w:tcW w:w="1818" w:type="dxa"/>
                  <w:tcBorders>
                    <w:top w:val="single" w:color="000000" w:sz="4" w:space="0"/>
                    <w:bottom w:val="single" w:color="000000" w:sz="4" w:space="0"/>
                  </w:tcBorders>
                  <w:noWrap w:val="0"/>
                  <w:vAlign w:val="center"/>
                </w:tcPr>
                <w:p w14:paraId="3933EC9D">
                  <w:pPr>
                    <w:keepNext w:val="0"/>
                    <w:keepLines w:val="0"/>
                    <w:widowControl/>
                    <w:suppressLineNumbers w:val="0"/>
                    <w:jc w:val="center"/>
                    <w:textAlignment w:val="center"/>
                    <w:rPr>
                      <w:rFonts w:hint="eastAsia"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HN-GT110K</w:t>
                  </w:r>
                </w:p>
                <w:p w14:paraId="2EB7730B">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风量</w:t>
                  </w:r>
                  <w:r>
                    <w:rPr>
                      <w:rFonts w:hint="eastAsia" w:cs="Times New Roman"/>
                      <w:bCs/>
                      <w:color w:val="000000"/>
                      <w:kern w:val="2"/>
                      <w:sz w:val="21"/>
                      <w:szCs w:val="21"/>
                      <w:u w:val="none" w:color="auto"/>
                      <w:lang w:val="en-US" w:eastAsia="zh-CN" w:bidi="ar-SA"/>
                    </w:rPr>
                    <w:t>6</w:t>
                  </w:r>
                  <w:r>
                    <w:rPr>
                      <w:rFonts w:hint="eastAsia" w:ascii="Times New Roman" w:hAnsi="Times New Roman" w:eastAsia="宋体" w:cs="Times New Roman"/>
                      <w:bCs/>
                      <w:color w:val="000000"/>
                      <w:kern w:val="2"/>
                      <w:sz w:val="21"/>
                      <w:szCs w:val="21"/>
                      <w:u w:val="none" w:color="auto"/>
                      <w:lang w:val="en-US" w:eastAsia="zh-CN" w:bidi="ar-SA"/>
                    </w:rPr>
                    <w:t>万m</w:t>
                  </w:r>
                  <w:r>
                    <w:rPr>
                      <w:rFonts w:hint="eastAsia" w:ascii="Times New Roman" w:hAnsi="Times New Roman" w:eastAsia="宋体" w:cs="Times New Roman"/>
                      <w:bCs/>
                      <w:color w:val="000000"/>
                      <w:kern w:val="2"/>
                      <w:sz w:val="21"/>
                      <w:szCs w:val="21"/>
                      <w:u w:val="none" w:color="auto"/>
                      <w:vertAlign w:val="superscript"/>
                      <w:lang w:val="en-US" w:eastAsia="zh-CN" w:bidi="ar-SA"/>
                    </w:rPr>
                    <w:t>3</w:t>
                  </w:r>
                  <w:r>
                    <w:rPr>
                      <w:rFonts w:hint="eastAsia" w:ascii="Times New Roman" w:hAnsi="Times New Roman" w:eastAsia="宋体" w:cs="Times New Roman"/>
                      <w:bCs/>
                      <w:color w:val="000000"/>
                      <w:kern w:val="2"/>
                      <w:sz w:val="21"/>
                      <w:szCs w:val="21"/>
                      <w:u w:val="none" w:color="auto"/>
                      <w:lang w:val="en-US" w:eastAsia="zh-CN" w:bidi="ar-SA"/>
                    </w:rPr>
                    <w:t>/h</w:t>
                  </w:r>
                </w:p>
              </w:tc>
              <w:tc>
                <w:tcPr>
                  <w:tcW w:w="623" w:type="dxa"/>
                  <w:tcBorders>
                    <w:top w:val="single" w:color="000000" w:sz="4" w:space="0"/>
                    <w:bottom w:val="single" w:color="000000" w:sz="4" w:space="0"/>
                  </w:tcBorders>
                  <w:noWrap w:val="0"/>
                  <w:vAlign w:val="center"/>
                </w:tcPr>
                <w:p w14:paraId="154F3406">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1</w:t>
                  </w:r>
                </w:p>
              </w:tc>
              <w:tc>
                <w:tcPr>
                  <w:tcW w:w="1941" w:type="dxa"/>
                  <w:tcBorders>
                    <w:top w:val="single" w:color="000000" w:sz="4" w:space="0"/>
                    <w:bottom w:val="single" w:color="000000" w:sz="4" w:space="0"/>
                  </w:tcBorders>
                  <w:noWrap w:val="0"/>
                  <w:vAlign w:val="center"/>
                </w:tcPr>
                <w:p w14:paraId="0CA2548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NMP回收系统</w:t>
                  </w:r>
                </w:p>
              </w:tc>
            </w:tr>
            <w:tr w14:paraId="4C5B90C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4583E36D">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36</w:t>
                  </w:r>
                </w:p>
              </w:tc>
              <w:tc>
                <w:tcPr>
                  <w:tcW w:w="1754" w:type="dxa"/>
                  <w:tcBorders>
                    <w:top w:val="single" w:color="000000" w:sz="4" w:space="0"/>
                    <w:bottom w:val="single" w:color="000000" w:sz="4" w:space="0"/>
                    <w:right w:val="single" w:color="000000" w:sz="4" w:space="0"/>
                  </w:tcBorders>
                  <w:noWrap w:val="0"/>
                  <w:vAlign w:val="center"/>
                </w:tcPr>
                <w:p w14:paraId="0EF06DC0">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除尘柜</w:t>
                  </w:r>
                </w:p>
              </w:tc>
              <w:tc>
                <w:tcPr>
                  <w:tcW w:w="1818" w:type="dxa"/>
                  <w:tcBorders>
                    <w:top w:val="single" w:color="000000" w:sz="4" w:space="0"/>
                    <w:bottom w:val="single" w:color="000000" w:sz="4" w:space="0"/>
                  </w:tcBorders>
                  <w:noWrap w:val="0"/>
                  <w:vAlign w:val="center"/>
                </w:tcPr>
                <w:p w14:paraId="0301B6C3">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7.5KW</w:t>
                  </w:r>
                </w:p>
              </w:tc>
              <w:tc>
                <w:tcPr>
                  <w:tcW w:w="623" w:type="dxa"/>
                  <w:tcBorders>
                    <w:top w:val="single" w:color="000000" w:sz="4" w:space="0"/>
                    <w:bottom w:val="single" w:color="000000" w:sz="4" w:space="0"/>
                  </w:tcBorders>
                  <w:noWrap w:val="0"/>
                  <w:vAlign w:val="center"/>
                </w:tcPr>
                <w:p w14:paraId="711374E8">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24</w:t>
                  </w:r>
                </w:p>
              </w:tc>
              <w:tc>
                <w:tcPr>
                  <w:tcW w:w="1941" w:type="dxa"/>
                  <w:tcBorders>
                    <w:top w:val="single" w:color="000000" w:sz="4" w:space="0"/>
                    <w:bottom w:val="single" w:color="000000" w:sz="4" w:space="0"/>
                  </w:tcBorders>
                  <w:noWrap w:val="0"/>
                  <w:vAlign w:val="center"/>
                </w:tcPr>
                <w:p w14:paraId="6E02021D">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default" w:ascii="Times New Roman" w:hAnsi="Times New Roman" w:eastAsia="宋体" w:cs="Times New Roman"/>
                      <w:bCs/>
                      <w:color w:val="000000"/>
                      <w:kern w:val="2"/>
                      <w:sz w:val="21"/>
                      <w:szCs w:val="21"/>
                      <w:u w:val="none" w:color="auto"/>
                      <w:lang w:val="en-US" w:eastAsia="zh-CN" w:bidi="ar-SA"/>
                    </w:rPr>
                    <w:t>除尘柜</w:t>
                  </w:r>
                </w:p>
              </w:tc>
            </w:tr>
            <w:tr w14:paraId="36771A7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48C7BC69">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37</w:t>
                  </w:r>
                </w:p>
              </w:tc>
              <w:tc>
                <w:tcPr>
                  <w:tcW w:w="1754" w:type="dxa"/>
                  <w:tcBorders>
                    <w:top w:val="single" w:color="000000" w:sz="4" w:space="0"/>
                    <w:bottom w:val="single" w:color="000000" w:sz="4" w:space="0"/>
                    <w:right w:val="single" w:color="000000" w:sz="4" w:space="0"/>
                  </w:tcBorders>
                  <w:noWrap w:val="0"/>
                  <w:vAlign w:val="center"/>
                </w:tcPr>
                <w:p w14:paraId="50CD251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纯水机</w:t>
                  </w:r>
                </w:p>
              </w:tc>
              <w:tc>
                <w:tcPr>
                  <w:tcW w:w="1818" w:type="dxa"/>
                  <w:tcBorders>
                    <w:top w:val="single" w:color="000000" w:sz="4" w:space="0"/>
                    <w:bottom w:val="single" w:color="000000" w:sz="4" w:space="0"/>
                  </w:tcBorders>
                  <w:noWrap w:val="0"/>
                  <w:vAlign w:val="center"/>
                </w:tcPr>
                <w:p w14:paraId="726A8EA7">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RO-10T/H，脱盐率≥97%</w:t>
                  </w:r>
                </w:p>
              </w:tc>
              <w:tc>
                <w:tcPr>
                  <w:tcW w:w="623" w:type="dxa"/>
                  <w:tcBorders>
                    <w:top w:val="single" w:color="000000" w:sz="4" w:space="0"/>
                    <w:bottom w:val="single" w:color="000000" w:sz="4" w:space="0"/>
                  </w:tcBorders>
                  <w:noWrap w:val="0"/>
                  <w:vAlign w:val="center"/>
                </w:tcPr>
                <w:p w14:paraId="63299EF9">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2</w:t>
                  </w:r>
                </w:p>
              </w:tc>
              <w:tc>
                <w:tcPr>
                  <w:tcW w:w="1941" w:type="dxa"/>
                  <w:tcBorders>
                    <w:top w:val="single" w:color="000000" w:sz="4" w:space="0"/>
                    <w:bottom w:val="single" w:color="000000" w:sz="4" w:space="0"/>
                  </w:tcBorders>
                  <w:noWrap w:val="0"/>
                  <w:vAlign w:val="center"/>
                </w:tcPr>
                <w:p w14:paraId="79B20CFD">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bCs/>
                      <w:color w:val="000000" w:themeColor="text1"/>
                      <w:sz w:val="21"/>
                      <w:szCs w:val="21"/>
                      <w:lang w:val="en-US" w:eastAsia="zh-CN"/>
                      <w14:textFill>
                        <w14:solidFill>
                          <w14:schemeClr w14:val="tx1"/>
                        </w14:solidFill>
                      </w14:textFill>
                    </w:rPr>
                    <w:t>采用石英砂过滤+活性炭过滤+精密过滤器+反渗透工艺制备纯水</w:t>
                  </w:r>
                </w:p>
              </w:tc>
            </w:tr>
            <w:tr w14:paraId="7EA18E8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03455E42">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38</w:t>
                  </w:r>
                </w:p>
              </w:tc>
              <w:tc>
                <w:tcPr>
                  <w:tcW w:w="1754" w:type="dxa"/>
                  <w:tcBorders>
                    <w:top w:val="single" w:color="000000" w:sz="4" w:space="0"/>
                    <w:bottom w:val="single" w:color="000000" w:sz="4" w:space="0"/>
                    <w:right w:val="single" w:color="000000" w:sz="4" w:space="0"/>
                  </w:tcBorders>
                  <w:noWrap w:val="0"/>
                  <w:vAlign w:val="center"/>
                </w:tcPr>
                <w:p w14:paraId="59874602">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真空泵</w:t>
                  </w:r>
                </w:p>
              </w:tc>
              <w:tc>
                <w:tcPr>
                  <w:tcW w:w="1818" w:type="dxa"/>
                  <w:tcBorders>
                    <w:top w:val="single" w:color="000000" w:sz="4" w:space="0"/>
                    <w:bottom w:val="single" w:color="000000" w:sz="4" w:space="0"/>
                  </w:tcBorders>
                  <w:noWrap w:val="0"/>
                  <w:vAlign w:val="center"/>
                </w:tcPr>
                <w:p w14:paraId="4D166BE8">
                  <w:pPr>
                    <w:keepNext w:val="0"/>
                    <w:keepLines w:val="0"/>
                    <w:widowControl/>
                    <w:suppressLineNumbers w:val="0"/>
                    <w:jc w:val="center"/>
                    <w:textAlignment w:val="center"/>
                    <w:rPr>
                      <w:rFonts w:hint="eastAsia"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w:t>
                  </w:r>
                </w:p>
              </w:tc>
              <w:tc>
                <w:tcPr>
                  <w:tcW w:w="623" w:type="dxa"/>
                  <w:tcBorders>
                    <w:top w:val="single" w:color="000000" w:sz="4" w:space="0"/>
                    <w:bottom w:val="single" w:color="000000" w:sz="4" w:space="0"/>
                  </w:tcBorders>
                  <w:noWrap w:val="0"/>
                  <w:vAlign w:val="center"/>
                </w:tcPr>
                <w:p w14:paraId="27B96252">
                  <w:pPr>
                    <w:keepNext w:val="0"/>
                    <w:keepLines w:val="0"/>
                    <w:widowControl/>
                    <w:suppressLineNumbers w:val="0"/>
                    <w:jc w:val="center"/>
                    <w:textAlignment w:val="center"/>
                    <w:rPr>
                      <w:rFonts w:hint="default"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9</w:t>
                  </w:r>
                </w:p>
              </w:tc>
              <w:tc>
                <w:tcPr>
                  <w:tcW w:w="1941" w:type="dxa"/>
                  <w:tcBorders>
                    <w:top w:val="single" w:color="000000" w:sz="4" w:space="0"/>
                    <w:bottom w:val="single" w:color="000000" w:sz="4" w:space="0"/>
                  </w:tcBorders>
                  <w:noWrap w:val="0"/>
                  <w:vAlign w:val="center"/>
                </w:tcPr>
                <w:p w14:paraId="6DBF4A6A">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辅助系统</w:t>
                  </w:r>
                </w:p>
              </w:tc>
            </w:tr>
            <w:tr w14:paraId="1C7901E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1" w:type="dxa"/>
                  <w:tcBorders>
                    <w:top w:val="single" w:color="000000" w:sz="4" w:space="0"/>
                    <w:bottom w:val="single" w:color="000000" w:sz="4" w:space="0"/>
                  </w:tcBorders>
                  <w:noWrap w:val="0"/>
                  <w:vAlign w:val="center"/>
                </w:tcPr>
                <w:p w14:paraId="06FCCAFC">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39</w:t>
                  </w:r>
                </w:p>
              </w:tc>
              <w:tc>
                <w:tcPr>
                  <w:tcW w:w="1754" w:type="dxa"/>
                  <w:tcBorders>
                    <w:top w:val="single" w:color="000000" w:sz="4" w:space="0"/>
                    <w:bottom w:val="single" w:color="000000" w:sz="4" w:space="0"/>
                    <w:right w:val="single" w:color="000000" w:sz="4" w:space="0"/>
                  </w:tcBorders>
                  <w:noWrap w:val="0"/>
                  <w:vAlign w:val="center"/>
                </w:tcPr>
                <w:p w14:paraId="54549995">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NMP储罐</w:t>
                  </w:r>
                </w:p>
              </w:tc>
              <w:tc>
                <w:tcPr>
                  <w:tcW w:w="1818" w:type="dxa"/>
                  <w:tcBorders>
                    <w:top w:val="single" w:color="000000" w:sz="4" w:space="0"/>
                    <w:bottom w:val="single" w:color="000000" w:sz="4" w:space="0"/>
                  </w:tcBorders>
                  <w:noWrap w:val="0"/>
                  <w:vAlign w:val="center"/>
                </w:tcPr>
                <w:p w14:paraId="6AE8B733">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200m</w:t>
                  </w:r>
                  <w:r>
                    <w:rPr>
                      <w:rFonts w:hint="eastAsia" w:ascii="Times New Roman" w:hAnsi="Times New Roman" w:eastAsia="宋体" w:cs="Times New Roman"/>
                      <w:bCs/>
                      <w:color w:val="000000"/>
                      <w:kern w:val="2"/>
                      <w:sz w:val="21"/>
                      <w:szCs w:val="21"/>
                      <w:u w:val="none" w:color="auto"/>
                      <w:vertAlign w:val="superscript"/>
                      <w:lang w:val="en-US" w:eastAsia="zh-CN" w:bidi="ar-SA"/>
                    </w:rPr>
                    <w:t>3</w:t>
                  </w:r>
                </w:p>
              </w:tc>
              <w:tc>
                <w:tcPr>
                  <w:tcW w:w="623" w:type="dxa"/>
                  <w:tcBorders>
                    <w:top w:val="single" w:color="000000" w:sz="4" w:space="0"/>
                    <w:bottom w:val="single" w:color="000000" w:sz="4" w:space="0"/>
                  </w:tcBorders>
                  <w:noWrap w:val="0"/>
                  <w:vAlign w:val="center"/>
                </w:tcPr>
                <w:p w14:paraId="0B40D5A2">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ascii="Times New Roman" w:hAnsi="Times New Roman" w:eastAsia="宋体" w:cs="Times New Roman"/>
                      <w:bCs/>
                      <w:color w:val="000000"/>
                      <w:kern w:val="2"/>
                      <w:sz w:val="21"/>
                      <w:szCs w:val="21"/>
                      <w:u w:val="none" w:color="auto"/>
                      <w:lang w:val="en-US" w:eastAsia="zh-CN" w:bidi="ar-SA"/>
                    </w:rPr>
                    <w:t>4</w:t>
                  </w:r>
                </w:p>
              </w:tc>
              <w:tc>
                <w:tcPr>
                  <w:tcW w:w="1941" w:type="dxa"/>
                  <w:tcBorders>
                    <w:top w:val="single" w:color="000000" w:sz="4" w:space="0"/>
                    <w:bottom w:val="single" w:color="000000" w:sz="4" w:space="0"/>
                  </w:tcBorders>
                  <w:noWrap w:val="0"/>
                  <w:vAlign w:val="center"/>
                </w:tcPr>
                <w:p w14:paraId="7FFEEE05">
                  <w:pPr>
                    <w:keepNext w:val="0"/>
                    <w:keepLines w:val="0"/>
                    <w:widowControl/>
                    <w:suppressLineNumbers w:val="0"/>
                    <w:jc w:val="center"/>
                    <w:textAlignment w:val="center"/>
                    <w:rPr>
                      <w:rFonts w:hint="default" w:ascii="Times New Roman" w:hAnsi="Times New Roman" w:eastAsia="宋体" w:cs="Times New Roman"/>
                      <w:bCs/>
                      <w:color w:val="000000"/>
                      <w:kern w:val="2"/>
                      <w:sz w:val="21"/>
                      <w:szCs w:val="21"/>
                      <w:u w:val="none" w:color="auto"/>
                      <w:lang w:val="en-US" w:eastAsia="zh-CN" w:bidi="ar-SA"/>
                    </w:rPr>
                  </w:pPr>
                  <w:r>
                    <w:rPr>
                      <w:rFonts w:hint="eastAsia" w:cs="Times New Roman"/>
                      <w:bCs/>
                      <w:color w:val="000000"/>
                      <w:kern w:val="2"/>
                      <w:sz w:val="21"/>
                      <w:szCs w:val="21"/>
                      <w:u w:val="none" w:color="auto"/>
                      <w:lang w:val="en-US" w:eastAsia="zh-CN" w:bidi="ar-SA"/>
                    </w:rPr>
                    <w:t>采用内浮顶罐</w:t>
                  </w:r>
                </w:p>
              </w:tc>
            </w:tr>
          </w:tbl>
          <w:p w14:paraId="21978971">
            <w:pPr>
              <w:adjustRightInd w:val="0"/>
              <w:snapToGrid w:val="0"/>
              <w:spacing w:line="360" w:lineRule="auto"/>
              <w:ind w:firstLine="482" w:firstLineChars="200"/>
              <w:rPr>
                <w:rFonts w:hint="eastAsia" w:eastAsia="宋体"/>
                <w:b/>
                <w:bCs/>
                <w:sz w:val="24"/>
                <w:u w:val="none" w:color="auto"/>
                <w:lang w:val="en-US" w:eastAsia="zh-CN"/>
              </w:rPr>
            </w:pPr>
            <w:r>
              <w:rPr>
                <w:rFonts w:hint="eastAsia"/>
                <w:b/>
                <w:bCs/>
                <w:sz w:val="24"/>
                <w:u w:val="none" w:color="auto"/>
                <w:lang w:val="en-US" w:eastAsia="zh-CN"/>
              </w:rPr>
              <w:t>5</w:t>
            </w:r>
            <w:r>
              <w:rPr>
                <w:rFonts w:hint="eastAsia"/>
                <w:b/>
                <w:bCs/>
                <w:sz w:val="24"/>
                <w:u w:val="none" w:color="auto"/>
              </w:rPr>
              <w:t>、</w:t>
            </w:r>
            <w:r>
              <w:rPr>
                <w:b/>
                <w:bCs/>
                <w:sz w:val="24"/>
                <w:u w:val="none" w:color="auto"/>
              </w:rPr>
              <w:t>主要原辅材料</w:t>
            </w:r>
            <w:r>
              <w:rPr>
                <w:rFonts w:hint="eastAsia"/>
                <w:b/>
                <w:bCs/>
                <w:sz w:val="24"/>
                <w:u w:val="none" w:color="auto"/>
                <w:lang w:val="en-US" w:eastAsia="zh-CN"/>
              </w:rPr>
              <w:t>消耗</w:t>
            </w:r>
          </w:p>
          <w:p w14:paraId="130C39F7">
            <w:pPr>
              <w:pStyle w:val="17"/>
              <w:keepNext w:val="0"/>
              <w:adjustRightInd w:val="0"/>
              <w:snapToGrid w:val="0"/>
              <w:ind w:firstLine="458" w:firstLineChars="200"/>
              <w:textAlignment w:val="baseline"/>
              <w:rPr>
                <w:rFonts w:hint="eastAsia" w:ascii="Times New Roman" w:hAnsi="Times New Roman" w:eastAsia="宋体" w:cs="Times New Roman"/>
                <w:bCs/>
                <w:color w:val="auto"/>
                <w:spacing w:val="-6"/>
                <w:sz w:val="24"/>
                <w:szCs w:val="24"/>
                <w:u w:val="none" w:color="auto"/>
              </w:rPr>
            </w:pPr>
            <w:r>
              <w:rPr>
                <w:rFonts w:hint="eastAsia" w:ascii="Times New Roman" w:hAnsi="Times New Roman" w:eastAsia="宋体" w:cs="Times New Roman"/>
                <w:bCs/>
                <w:color w:val="auto"/>
                <w:spacing w:val="-6"/>
                <w:sz w:val="24"/>
                <w:szCs w:val="24"/>
                <w:u w:val="none" w:color="auto"/>
              </w:rPr>
              <w:t xml:space="preserve">表2-5  </w:t>
            </w:r>
            <w:r>
              <w:rPr>
                <w:rFonts w:hint="eastAsia" w:ascii="Times New Roman" w:hAnsi="Times New Roman" w:eastAsia="宋体" w:cs="Times New Roman"/>
                <w:bCs/>
                <w:color w:val="auto"/>
                <w:spacing w:val="-6"/>
                <w:sz w:val="24"/>
                <w:szCs w:val="24"/>
                <w:u w:val="none" w:color="auto"/>
                <w:lang w:val="en-US" w:eastAsia="zh-CN"/>
              </w:rPr>
              <w:t>主要</w:t>
            </w:r>
            <w:r>
              <w:rPr>
                <w:rFonts w:hint="eastAsia" w:ascii="Times New Roman" w:hAnsi="Times New Roman" w:eastAsia="宋体" w:cs="Times New Roman"/>
                <w:bCs/>
                <w:color w:val="auto"/>
                <w:spacing w:val="-6"/>
                <w:sz w:val="24"/>
                <w:szCs w:val="24"/>
                <w:u w:val="none" w:color="auto"/>
              </w:rPr>
              <w:t>原辅材料</w:t>
            </w:r>
            <w:r>
              <w:rPr>
                <w:rFonts w:hint="eastAsia" w:cs="Times New Roman"/>
                <w:bCs/>
                <w:color w:val="auto"/>
                <w:spacing w:val="-6"/>
                <w:sz w:val="24"/>
                <w:szCs w:val="24"/>
                <w:u w:val="none" w:color="auto"/>
                <w:lang w:val="en-US" w:eastAsia="zh-CN"/>
              </w:rPr>
              <w:t>消耗</w:t>
            </w:r>
            <w:r>
              <w:rPr>
                <w:rFonts w:hint="eastAsia" w:ascii="Times New Roman" w:hAnsi="Times New Roman" w:eastAsia="宋体" w:cs="Times New Roman"/>
                <w:bCs/>
                <w:color w:val="auto"/>
                <w:spacing w:val="-6"/>
                <w:sz w:val="24"/>
                <w:szCs w:val="24"/>
                <w:u w:val="none" w:color="auto"/>
              </w:rPr>
              <w:t>一览表</w:t>
            </w:r>
          </w:p>
          <w:tbl>
            <w:tblPr>
              <w:tblStyle w:val="32"/>
              <w:tblW w:w="499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9"/>
              <w:gridCol w:w="2507"/>
              <w:gridCol w:w="1219"/>
              <w:gridCol w:w="1395"/>
              <w:gridCol w:w="1712"/>
            </w:tblGrid>
            <w:tr w14:paraId="1AA9296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bottom w:val="single" w:color="auto" w:sz="8" w:space="0"/>
                  </w:tcBorders>
                  <w:vAlign w:val="center"/>
                </w:tcPr>
                <w:p w14:paraId="2416F81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sz w:val="21"/>
                      <w:szCs w:val="21"/>
                      <w:u w:val="none" w:color="auto"/>
                    </w:rPr>
                  </w:pPr>
                  <w:r>
                    <w:rPr>
                      <w:rFonts w:hint="default" w:ascii="Times New Roman" w:hAnsi="Times New Roman" w:eastAsia="宋体" w:cs="Times New Roman"/>
                      <w:b/>
                      <w:sz w:val="21"/>
                      <w:szCs w:val="21"/>
                      <w:u w:val="none" w:color="auto"/>
                    </w:rPr>
                    <w:t>序号</w:t>
                  </w:r>
                </w:p>
              </w:tc>
              <w:tc>
                <w:tcPr>
                  <w:tcW w:w="1677" w:type="pct"/>
                  <w:tcBorders>
                    <w:bottom w:val="single" w:color="auto" w:sz="8" w:space="0"/>
                  </w:tcBorders>
                  <w:vAlign w:val="center"/>
                </w:tcPr>
                <w:p w14:paraId="79C18D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sz w:val="21"/>
                      <w:szCs w:val="21"/>
                      <w:u w:val="none" w:color="auto"/>
                    </w:rPr>
                  </w:pPr>
                  <w:r>
                    <w:rPr>
                      <w:rFonts w:hint="default" w:ascii="Times New Roman" w:hAnsi="Times New Roman" w:eastAsia="宋体" w:cs="Times New Roman"/>
                      <w:b/>
                      <w:sz w:val="21"/>
                      <w:szCs w:val="21"/>
                      <w:u w:val="none" w:color="auto"/>
                    </w:rPr>
                    <w:t>名称</w:t>
                  </w:r>
                </w:p>
              </w:tc>
              <w:tc>
                <w:tcPr>
                  <w:tcW w:w="815" w:type="pct"/>
                  <w:tcBorders>
                    <w:bottom w:val="single" w:color="auto" w:sz="8" w:space="0"/>
                  </w:tcBorders>
                  <w:vAlign w:val="center"/>
                </w:tcPr>
                <w:p w14:paraId="1333925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sz w:val="21"/>
                      <w:szCs w:val="21"/>
                      <w:u w:val="none" w:color="auto"/>
                    </w:rPr>
                  </w:pPr>
                  <w:r>
                    <w:rPr>
                      <w:rFonts w:hint="default" w:ascii="Times New Roman" w:hAnsi="Times New Roman" w:eastAsia="宋体" w:cs="Times New Roman"/>
                      <w:b/>
                      <w:sz w:val="21"/>
                      <w:szCs w:val="21"/>
                      <w:u w:val="none" w:color="auto"/>
                    </w:rPr>
                    <w:t>物料状态及包装方式</w:t>
                  </w:r>
                </w:p>
              </w:tc>
              <w:tc>
                <w:tcPr>
                  <w:tcW w:w="933" w:type="pct"/>
                  <w:tcBorders>
                    <w:bottom w:val="single" w:color="auto" w:sz="8" w:space="0"/>
                  </w:tcBorders>
                  <w:vAlign w:val="center"/>
                </w:tcPr>
                <w:p w14:paraId="42D4465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sz w:val="21"/>
                      <w:szCs w:val="21"/>
                      <w:u w:val="none" w:color="auto"/>
                    </w:rPr>
                  </w:pPr>
                  <w:r>
                    <w:rPr>
                      <w:rFonts w:hint="default" w:ascii="Times New Roman" w:hAnsi="Times New Roman" w:eastAsia="宋体" w:cs="Times New Roman"/>
                      <w:b/>
                      <w:sz w:val="21"/>
                      <w:szCs w:val="21"/>
                      <w:u w:val="none" w:color="auto"/>
                      <w:lang w:val="en-US" w:eastAsia="zh-CN"/>
                    </w:rPr>
                    <w:t>全厂</w:t>
                  </w:r>
                  <w:r>
                    <w:rPr>
                      <w:rFonts w:hint="default" w:ascii="Times New Roman" w:hAnsi="Times New Roman" w:eastAsia="宋体" w:cs="Times New Roman"/>
                      <w:b/>
                      <w:sz w:val="21"/>
                      <w:szCs w:val="21"/>
                      <w:u w:val="none" w:color="auto"/>
                    </w:rPr>
                    <w:t>用量</w:t>
                  </w:r>
                </w:p>
              </w:tc>
              <w:tc>
                <w:tcPr>
                  <w:tcW w:w="1145" w:type="pct"/>
                  <w:tcBorders>
                    <w:bottom w:val="single" w:color="auto" w:sz="8" w:space="0"/>
                  </w:tcBorders>
                  <w:vAlign w:val="center"/>
                </w:tcPr>
                <w:p w14:paraId="415682A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sz w:val="21"/>
                      <w:szCs w:val="21"/>
                      <w:u w:val="none" w:color="auto"/>
                    </w:rPr>
                  </w:pPr>
                  <w:r>
                    <w:rPr>
                      <w:rFonts w:hint="default" w:ascii="Times New Roman" w:hAnsi="Times New Roman" w:eastAsia="宋体" w:cs="Times New Roman"/>
                      <w:b/>
                      <w:sz w:val="21"/>
                      <w:szCs w:val="21"/>
                      <w:u w:val="none" w:color="auto"/>
                    </w:rPr>
                    <w:t>来源</w:t>
                  </w:r>
                </w:p>
              </w:tc>
            </w:tr>
            <w:tr w14:paraId="0CD80C4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667D420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w:t>
                  </w:r>
                </w:p>
              </w:tc>
              <w:tc>
                <w:tcPr>
                  <w:tcW w:w="1677" w:type="pct"/>
                  <w:tcBorders>
                    <w:top w:val="single" w:color="auto" w:sz="4" w:space="0"/>
                    <w:bottom w:val="single" w:color="auto" w:sz="4" w:space="0"/>
                  </w:tcBorders>
                  <w:shd w:val="clear" w:color="auto" w:fill="FFFFFF" w:themeFill="background1"/>
                  <w:vAlign w:val="center"/>
                </w:tcPr>
                <w:p w14:paraId="55332F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锰酸锂</w:t>
                  </w:r>
                </w:p>
              </w:tc>
              <w:tc>
                <w:tcPr>
                  <w:tcW w:w="815" w:type="pct"/>
                  <w:tcBorders>
                    <w:top w:val="single" w:color="auto" w:sz="4" w:space="0"/>
                    <w:bottom w:val="single" w:color="auto" w:sz="4" w:space="0"/>
                  </w:tcBorders>
                  <w:shd w:val="clear" w:color="auto" w:fill="FFFFFF" w:themeFill="background1"/>
                  <w:vAlign w:val="center"/>
                </w:tcPr>
                <w:p w14:paraId="31255D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粉状吨包</w:t>
                  </w:r>
                </w:p>
              </w:tc>
              <w:tc>
                <w:tcPr>
                  <w:tcW w:w="933" w:type="pct"/>
                  <w:tcBorders>
                    <w:top w:val="single" w:color="auto" w:sz="4" w:space="0"/>
                    <w:bottom w:val="single" w:color="auto" w:sz="4" w:space="0"/>
                  </w:tcBorders>
                  <w:shd w:val="clear" w:color="auto" w:fill="FFFFFF" w:themeFill="background1"/>
                  <w:vAlign w:val="center"/>
                </w:tcPr>
                <w:p w14:paraId="6FA8784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2831.96t/a</w:t>
                  </w:r>
                </w:p>
              </w:tc>
              <w:tc>
                <w:tcPr>
                  <w:tcW w:w="1145" w:type="pct"/>
                  <w:tcBorders>
                    <w:top w:val="single" w:color="auto" w:sz="4" w:space="0"/>
                    <w:bottom w:val="single" w:color="auto" w:sz="4" w:space="0"/>
                  </w:tcBorders>
                  <w:shd w:val="clear" w:color="auto" w:fill="FFFFFF" w:themeFill="background1"/>
                  <w:vAlign w:val="center"/>
                </w:tcPr>
                <w:p w14:paraId="1D36E19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外购</w:t>
                  </w:r>
                </w:p>
              </w:tc>
            </w:tr>
            <w:tr w14:paraId="0D5FD2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1D35D496">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w:t>
                  </w:r>
                </w:p>
              </w:tc>
              <w:tc>
                <w:tcPr>
                  <w:tcW w:w="1677" w:type="pct"/>
                  <w:tcBorders>
                    <w:top w:val="single" w:color="auto" w:sz="4" w:space="0"/>
                    <w:bottom w:val="single" w:color="auto" w:sz="4" w:space="0"/>
                  </w:tcBorders>
                  <w:shd w:val="clear" w:color="auto" w:fill="FFFFFF" w:themeFill="background1"/>
                  <w:vAlign w:val="center"/>
                </w:tcPr>
                <w:p w14:paraId="1EC59E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镍钴锰酸锂</w:t>
                  </w:r>
                </w:p>
              </w:tc>
              <w:tc>
                <w:tcPr>
                  <w:tcW w:w="815" w:type="pct"/>
                  <w:tcBorders>
                    <w:top w:val="single" w:color="auto" w:sz="4" w:space="0"/>
                    <w:bottom w:val="single" w:color="auto" w:sz="4" w:space="0"/>
                  </w:tcBorders>
                  <w:shd w:val="clear" w:color="auto" w:fill="FFFFFF" w:themeFill="background1"/>
                  <w:vAlign w:val="center"/>
                </w:tcPr>
                <w:p w14:paraId="7F9AD5F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粉状吨包</w:t>
                  </w:r>
                </w:p>
              </w:tc>
              <w:tc>
                <w:tcPr>
                  <w:tcW w:w="933" w:type="pct"/>
                  <w:tcBorders>
                    <w:top w:val="single" w:color="auto" w:sz="4" w:space="0"/>
                    <w:bottom w:val="single" w:color="auto" w:sz="4" w:space="0"/>
                  </w:tcBorders>
                  <w:shd w:val="clear" w:color="auto" w:fill="FFFFFF" w:themeFill="background1"/>
                  <w:vAlign w:val="center"/>
                </w:tcPr>
                <w:p w14:paraId="610ECE0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2t/a</w:t>
                  </w:r>
                </w:p>
              </w:tc>
              <w:tc>
                <w:tcPr>
                  <w:tcW w:w="1145" w:type="pct"/>
                  <w:tcBorders>
                    <w:top w:val="single" w:color="auto" w:sz="4" w:space="0"/>
                    <w:bottom w:val="single" w:color="auto" w:sz="4" w:space="0"/>
                  </w:tcBorders>
                  <w:shd w:val="clear" w:color="auto" w:fill="FFFFFF" w:themeFill="background1"/>
                  <w:vAlign w:val="center"/>
                </w:tcPr>
                <w:p w14:paraId="53D8947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外购</w:t>
                  </w:r>
                </w:p>
              </w:tc>
            </w:tr>
            <w:tr w14:paraId="698656E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45E6A5E3">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3</w:t>
                  </w:r>
                </w:p>
              </w:tc>
              <w:tc>
                <w:tcPr>
                  <w:tcW w:w="1677" w:type="pct"/>
                  <w:tcBorders>
                    <w:top w:val="single" w:color="auto" w:sz="4" w:space="0"/>
                    <w:bottom w:val="single" w:color="auto" w:sz="4" w:space="0"/>
                  </w:tcBorders>
                  <w:shd w:val="clear" w:color="auto" w:fill="FFFFFF" w:themeFill="background1"/>
                  <w:vAlign w:val="center"/>
                </w:tcPr>
                <w:p w14:paraId="73BEBC0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聚偏氟乙烯</w:t>
                  </w:r>
                  <w:r>
                    <w:rPr>
                      <w:rFonts w:hint="default" w:ascii="Times New Roman" w:hAnsi="Times New Roman" w:eastAsia="宋体" w:cs="Times New Roman"/>
                      <w:i w:val="0"/>
                      <w:iCs w:val="0"/>
                      <w:color w:val="000000"/>
                      <w:kern w:val="0"/>
                      <w:sz w:val="21"/>
                      <w:szCs w:val="21"/>
                      <w:u w:val="none" w:color="auto"/>
                      <w:lang w:val="en-US" w:eastAsia="zh-CN" w:bidi="ar"/>
                    </w:rPr>
                    <w:t>（PVDF）</w:t>
                  </w:r>
                </w:p>
              </w:tc>
              <w:tc>
                <w:tcPr>
                  <w:tcW w:w="815" w:type="pct"/>
                  <w:tcBorders>
                    <w:top w:val="single" w:color="auto" w:sz="4" w:space="0"/>
                    <w:bottom w:val="single" w:color="auto" w:sz="4" w:space="0"/>
                  </w:tcBorders>
                  <w:shd w:val="clear" w:color="auto" w:fill="FFFFFF" w:themeFill="background1"/>
                  <w:vAlign w:val="center"/>
                </w:tcPr>
                <w:p w14:paraId="4CA07920">
                  <w:pPr>
                    <w:spacing w:line="240" w:lineRule="auto"/>
                    <w:ind w:firstLine="0" w:firstLineChars="0"/>
                    <w:jc w:val="center"/>
                    <w:rPr>
                      <w:rFonts w:hint="default" w:ascii="Times New Roman" w:hAnsi="Times New Roman" w:eastAsia="宋体" w:cs="Times New Roman"/>
                      <w:sz w:val="21"/>
                      <w:szCs w:val="21"/>
                      <w:u w:val="none" w:color="auto"/>
                    </w:rPr>
                  </w:pPr>
                  <w:r>
                    <w:rPr>
                      <w:rFonts w:hint="eastAsia"/>
                      <w:sz w:val="21"/>
                      <w:szCs w:val="21"/>
                      <w:u w:val="none" w:color="auto"/>
                    </w:rPr>
                    <w:t>颗粒状吨包</w:t>
                  </w:r>
                </w:p>
              </w:tc>
              <w:tc>
                <w:tcPr>
                  <w:tcW w:w="933" w:type="pct"/>
                  <w:tcBorders>
                    <w:top w:val="single" w:color="auto" w:sz="4" w:space="0"/>
                    <w:bottom w:val="single" w:color="auto" w:sz="4" w:space="0"/>
                  </w:tcBorders>
                  <w:shd w:val="clear" w:color="auto" w:fill="FFFFFF" w:themeFill="background1"/>
                  <w:vAlign w:val="center"/>
                </w:tcPr>
                <w:p w14:paraId="5E41EB2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47.5</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bottom w:val="single" w:color="auto" w:sz="4" w:space="0"/>
                  </w:tcBorders>
                  <w:shd w:val="clear" w:color="auto" w:fill="FFFFFF" w:themeFill="background1"/>
                  <w:vAlign w:val="center"/>
                </w:tcPr>
                <w:p w14:paraId="7A1319A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46CF038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65B0583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4</w:t>
                  </w:r>
                </w:p>
              </w:tc>
              <w:tc>
                <w:tcPr>
                  <w:tcW w:w="1677" w:type="pct"/>
                  <w:tcBorders>
                    <w:top w:val="single" w:color="auto" w:sz="4" w:space="0"/>
                    <w:bottom w:val="single" w:color="auto" w:sz="4" w:space="0"/>
                  </w:tcBorders>
                  <w:vAlign w:val="center"/>
                </w:tcPr>
                <w:p w14:paraId="6A3CB6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lang w:val="en-US"/>
                    </w:rPr>
                  </w:pPr>
                  <w:r>
                    <w:rPr>
                      <w:rFonts w:hint="default" w:ascii="Times New Roman" w:hAnsi="Times New Roman" w:eastAsia="宋体" w:cs="Times New Roman"/>
                      <w:sz w:val="21"/>
                      <w:szCs w:val="21"/>
                      <w:u w:val="none" w:color="auto"/>
                    </w:rPr>
                    <w:t>导电浆</w:t>
                  </w:r>
                  <w:r>
                    <w:rPr>
                      <w:rFonts w:hint="default" w:ascii="Times New Roman" w:hAnsi="Times New Roman" w:eastAsia="宋体" w:cs="Times New Roman"/>
                      <w:i w:val="0"/>
                      <w:iCs w:val="0"/>
                      <w:color w:val="000000"/>
                      <w:kern w:val="0"/>
                      <w:sz w:val="21"/>
                      <w:szCs w:val="21"/>
                      <w:u w:val="none" w:color="auto"/>
                      <w:lang w:val="en-US" w:eastAsia="zh-CN" w:bidi="ar"/>
                    </w:rPr>
                    <w:t>（CNTs）</w:t>
                  </w:r>
                </w:p>
              </w:tc>
              <w:tc>
                <w:tcPr>
                  <w:tcW w:w="815" w:type="pct"/>
                  <w:tcBorders>
                    <w:top w:val="single" w:color="auto" w:sz="4" w:space="0"/>
                    <w:bottom w:val="single" w:color="auto" w:sz="4" w:space="0"/>
                  </w:tcBorders>
                  <w:vAlign w:val="center"/>
                </w:tcPr>
                <w:p w14:paraId="53E9DF5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浆状</w:t>
                  </w:r>
                </w:p>
              </w:tc>
              <w:tc>
                <w:tcPr>
                  <w:tcW w:w="933" w:type="pct"/>
                  <w:tcBorders>
                    <w:top w:val="single" w:color="auto" w:sz="4" w:space="0"/>
                    <w:bottom w:val="single" w:color="auto" w:sz="4" w:space="0"/>
                  </w:tcBorders>
                  <w:vAlign w:val="center"/>
                </w:tcPr>
                <w:p w14:paraId="203FCF7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439.94</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bottom w:val="single" w:color="auto" w:sz="4" w:space="0"/>
                  </w:tcBorders>
                  <w:vAlign w:val="center"/>
                </w:tcPr>
                <w:p w14:paraId="4B8C866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1E02CEA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7" w:type="pct"/>
                  <w:tcBorders>
                    <w:top w:val="single" w:color="auto" w:sz="4" w:space="0"/>
                    <w:bottom w:val="single" w:color="auto" w:sz="4" w:space="0"/>
                  </w:tcBorders>
                  <w:vAlign w:val="center"/>
                </w:tcPr>
                <w:p w14:paraId="1FA3412F">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5</w:t>
                  </w:r>
                </w:p>
              </w:tc>
              <w:tc>
                <w:tcPr>
                  <w:tcW w:w="1677" w:type="pct"/>
                  <w:tcBorders>
                    <w:top w:val="single" w:color="auto" w:sz="4" w:space="0"/>
                    <w:bottom w:val="single" w:color="auto" w:sz="4" w:space="0"/>
                  </w:tcBorders>
                  <w:vAlign w:val="center"/>
                </w:tcPr>
                <w:p w14:paraId="0C4CE6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default" w:ascii="Times New Roman" w:hAnsi="Times New Roman" w:eastAsia="宋体" w:cs="Times New Roman"/>
                      <w:sz w:val="21"/>
                      <w:szCs w:val="21"/>
                      <w:u w:val="none" w:color="auto"/>
                    </w:rPr>
                    <w:t>N-甲基吡咯烷酮</w:t>
                  </w:r>
                  <w:r>
                    <w:rPr>
                      <w:rFonts w:hint="default" w:ascii="Times New Roman" w:hAnsi="Times New Roman" w:eastAsia="宋体" w:cs="Times New Roman"/>
                      <w:sz w:val="21"/>
                      <w:szCs w:val="21"/>
                      <w:u w:val="none" w:color="auto"/>
                      <w:lang w:eastAsia="zh-CN"/>
                    </w:rPr>
                    <w:t>（</w:t>
                  </w:r>
                  <w:r>
                    <w:rPr>
                      <w:rFonts w:hint="default" w:ascii="Times New Roman" w:hAnsi="Times New Roman" w:eastAsia="宋体" w:cs="Times New Roman"/>
                      <w:sz w:val="21"/>
                      <w:szCs w:val="21"/>
                      <w:u w:val="none" w:color="auto"/>
                      <w:lang w:val="en-US" w:eastAsia="zh-CN"/>
                    </w:rPr>
                    <w:t>NMP</w:t>
                  </w:r>
                  <w:r>
                    <w:rPr>
                      <w:rFonts w:hint="default" w:ascii="Times New Roman" w:hAnsi="Times New Roman" w:eastAsia="宋体" w:cs="Times New Roman"/>
                      <w:sz w:val="21"/>
                      <w:szCs w:val="21"/>
                      <w:u w:val="none" w:color="auto"/>
                      <w:lang w:eastAsia="zh-CN"/>
                    </w:rPr>
                    <w:t>）</w:t>
                  </w:r>
                </w:p>
                <w:p w14:paraId="3F232A1E">
                  <w:pPr>
                    <w:keepNext w:val="0"/>
                    <w:keepLines w:val="0"/>
                    <w:widowControl/>
                    <w:suppressLineNumbers w:val="0"/>
                    <w:jc w:val="center"/>
                    <w:textAlignment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-正极配料</w:t>
                  </w:r>
                </w:p>
              </w:tc>
              <w:tc>
                <w:tcPr>
                  <w:tcW w:w="815" w:type="pct"/>
                  <w:tcBorders>
                    <w:top w:val="single" w:color="auto" w:sz="4" w:space="0"/>
                    <w:bottom w:val="single" w:color="auto" w:sz="4" w:space="0"/>
                  </w:tcBorders>
                  <w:vAlign w:val="center"/>
                </w:tcPr>
                <w:p w14:paraId="5035C53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液态罐储存</w:t>
                  </w:r>
                </w:p>
              </w:tc>
              <w:tc>
                <w:tcPr>
                  <w:tcW w:w="933" w:type="pct"/>
                  <w:tcBorders>
                    <w:top w:val="single" w:color="auto" w:sz="4" w:space="0"/>
                    <w:bottom w:val="single" w:color="auto" w:sz="4" w:space="0"/>
                  </w:tcBorders>
                  <w:vAlign w:val="center"/>
                </w:tcPr>
                <w:p w14:paraId="2EDB5C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1280.92</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bottom w:val="single" w:color="auto" w:sz="4" w:space="0"/>
                  </w:tcBorders>
                  <w:vAlign w:val="center"/>
                </w:tcPr>
                <w:p w14:paraId="3401AA2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459149C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20E5185F">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6</w:t>
                  </w:r>
                </w:p>
              </w:tc>
              <w:tc>
                <w:tcPr>
                  <w:tcW w:w="1677" w:type="pct"/>
                  <w:tcBorders>
                    <w:top w:val="single" w:color="auto" w:sz="4" w:space="0"/>
                    <w:bottom w:val="single" w:color="auto" w:sz="4" w:space="0"/>
                  </w:tcBorders>
                  <w:vAlign w:val="center"/>
                </w:tcPr>
                <w:p w14:paraId="174F85F9">
                  <w:pPr>
                    <w:keepNext w:val="0"/>
                    <w:keepLines w:val="0"/>
                    <w:widowControl/>
                    <w:suppressLineNumbers w:val="0"/>
                    <w:jc w:val="center"/>
                    <w:textAlignment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石墨</w:t>
                  </w:r>
                </w:p>
              </w:tc>
              <w:tc>
                <w:tcPr>
                  <w:tcW w:w="815" w:type="pct"/>
                  <w:tcBorders>
                    <w:top w:val="single" w:color="auto" w:sz="4" w:space="0"/>
                    <w:bottom w:val="single" w:color="auto" w:sz="4" w:space="0"/>
                  </w:tcBorders>
                  <w:vAlign w:val="center"/>
                </w:tcPr>
                <w:p w14:paraId="110DAAD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粉状吨包</w:t>
                  </w:r>
                </w:p>
              </w:tc>
              <w:tc>
                <w:tcPr>
                  <w:tcW w:w="933" w:type="pct"/>
                  <w:tcBorders>
                    <w:top w:val="single" w:color="auto" w:sz="4" w:space="0"/>
                    <w:bottom w:val="single" w:color="auto" w:sz="4" w:space="0"/>
                  </w:tcBorders>
                  <w:vAlign w:val="center"/>
                </w:tcPr>
                <w:p w14:paraId="2030B4D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1418.5</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bottom w:val="single" w:color="auto" w:sz="4" w:space="0"/>
                  </w:tcBorders>
                  <w:vAlign w:val="center"/>
                </w:tcPr>
                <w:p w14:paraId="6FECB1F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3765520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tcBorders>
                  <w:vAlign w:val="center"/>
                </w:tcPr>
                <w:p w14:paraId="4C1FCABE">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7</w:t>
                  </w:r>
                </w:p>
              </w:tc>
              <w:tc>
                <w:tcPr>
                  <w:tcW w:w="1677" w:type="pct"/>
                  <w:tcBorders>
                    <w:top w:val="single" w:color="auto" w:sz="4" w:space="0"/>
                    <w:bottom w:val="single" w:color="auto" w:sz="4" w:space="0"/>
                  </w:tcBorders>
                  <w:vAlign w:val="center"/>
                </w:tcPr>
                <w:p w14:paraId="6D30B7EB">
                  <w:pPr>
                    <w:keepNext w:val="0"/>
                    <w:keepLines w:val="0"/>
                    <w:widowControl/>
                    <w:suppressLineNumbers w:val="0"/>
                    <w:jc w:val="center"/>
                    <w:textAlignment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羧甲基纤维素钠</w:t>
                  </w:r>
                  <w:r>
                    <w:rPr>
                      <w:rFonts w:hint="default" w:ascii="Times New Roman" w:hAnsi="Times New Roman" w:eastAsia="宋体" w:cs="Times New Roman"/>
                      <w:i w:val="0"/>
                      <w:iCs w:val="0"/>
                      <w:color w:val="000000"/>
                      <w:kern w:val="0"/>
                      <w:sz w:val="21"/>
                      <w:szCs w:val="21"/>
                      <w:u w:val="none" w:color="auto"/>
                      <w:lang w:val="en-US" w:eastAsia="zh-CN" w:bidi="ar"/>
                    </w:rPr>
                    <w:t>（CMC）</w:t>
                  </w:r>
                </w:p>
              </w:tc>
              <w:tc>
                <w:tcPr>
                  <w:tcW w:w="815" w:type="pct"/>
                  <w:tcBorders>
                    <w:top w:val="single" w:color="auto" w:sz="4" w:space="0"/>
                    <w:bottom w:val="single" w:color="auto" w:sz="4" w:space="0"/>
                  </w:tcBorders>
                  <w:vAlign w:val="center"/>
                </w:tcPr>
                <w:p w14:paraId="02D0F1E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颗粒状吨包</w:t>
                  </w:r>
                </w:p>
              </w:tc>
              <w:tc>
                <w:tcPr>
                  <w:tcW w:w="933" w:type="pct"/>
                  <w:tcBorders>
                    <w:top w:val="single" w:color="auto" w:sz="4" w:space="0"/>
                  </w:tcBorders>
                  <w:vAlign w:val="center"/>
                </w:tcPr>
                <w:p w14:paraId="511E8B9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21.46</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tcBorders>
                  <w:vAlign w:val="center"/>
                </w:tcPr>
                <w:p w14:paraId="3858C81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5FB1886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6BB17E13">
                  <w:pPr>
                    <w:keepNext w:val="0"/>
                    <w:keepLines w:val="0"/>
                    <w:suppressLineNumbers w:val="0"/>
                    <w:tabs>
                      <w:tab w:val="left" w:pos="591"/>
                    </w:tabs>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8</w:t>
                  </w:r>
                </w:p>
              </w:tc>
              <w:tc>
                <w:tcPr>
                  <w:tcW w:w="1677" w:type="pct"/>
                  <w:tcBorders>
                    <w:top w:val="single" w:color="auto" w:sz="4" w:space="0"/>
                    <w:bottom w:val="single" w:color="auto" w:sz="4" w:space="0"/>
                  </w:tcBorders>
                  <w:vAlign w:val="center"/>
                </w:tcPr>
                <w:p w14:paraId="2A9E2E9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丁苯橡胶</w:t>
                  </w:r>
                  <w:r>
                    <w:rPr>
                      <w:rFonts w:hint="default" w:ascii="Times New Roman" w:hAnsi="Times New Roman" w:eastAsia="宋体" w:cs="Times New Roman"/>
                      <w:i w:val="0"/>
                      <w:iCs w:val="0"/>
                      <w:color w:val="000000"/>
                      <w:kern w:val="0"/>
                      <w:sz w:val="21"/>
                      <w:szCs w:val="21"/>
                      <w:u w:val="none" w:color="auto"/>
                      <w:lang w:val="en-US" w:eastAsia="zh-CN" w:bidi="ar"/>
                    </w:rPr>
                    <w:t>（SBR）</w:t>
                  </w:r>
                </w:p>
              </w:tc>
              <w:tc>
                <w:tcPr>
                  <w:tcW w:w="815" w:type="pct"/>
                  <w:tcBorders>
                    <w:top w:val="single" w:color="auto" w:sz="4" w:space="0"/>
                    <w:bottom w:val="single" w:color="auto" w:sz="4" w:space="0"/>
                  </w:tcBorders>
                  <w:vAlign w:val="center"/>
                </w:tcPr>
                <w:p w14:paraId="3F9C13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颗粒状吨包</w:t>
                  </w:r>
                </w:p>
              </w:tc>
              <w:tc>
                <w:tcPr>
                  <w:tcW w:w="933" w:type="pct"/>
                  <w:tcBorders>
                    <w:top w:val="single" w:color="auto" w:sz="4" w:space="0"/>
                    <w:bottom w:val="single" w:color="auto" w:sz="4" w:space="0"/>
                  </w:tcBorders>
                  <w:vAlign w:val="center"/>
                </w:tcPr>
                <w:p w14:paraId="7974BCA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66.58</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bottom w:val="single" w:color="auto" w:sz="4" w:space="0"/>
                  </w:tcBorders>
                  <w:vAlign w:val="center"/>
                </w:tcPr>
                <w:p w14:paraId="598F873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58F1A7E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7" w:type="pct"/>
                  <w:tcBorders>
                    <w:top w:val="single" w:color="auto" w:sz="4" w:space="0"/>
                    <w:bottom w:val="single" w:color="auto" w:sz="4" w:space="0"/>
                  </w:tcBorders>
                  <w:vAlign w:val="center"/>
                </w:tcPr>
                <w:p w14:paraId="4D499E63">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9</w:t>
                  </w:r>
                </w:p>
              </w:tc>
              <w:tc>
                <w:tcPr>
                  <w:tcW w:w="1677" w:type="pct"/>
                  <w:tcBorders>
                    <w:top w:val="single" w:color="auto" w:sz="4" w:space="0"/>
                    <w:bottom w:val="single" w:color="auto" w:sz="4" w:space="0"/>
                  </w:tcBorders>
                  <w:vAlign w:val="center"/>
                </w:tcPr>
                <w:p w14:paraId="76489544">
                  <w:pPr>
                    <w:keepNext w:val="0"/>
                    <w:keepLines w:val="0"/>
                    <w:widowControl/>
                    <w:suppressLineNumbers w:val="0"/>
                    <w:jc w:val="center"/>
                    <w:textAlignment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铜箔</w:t>
                  </w:r>
                </w:p>
              </w:tc>
              <w:tc>
                <w:tcPr>
                  <w:tcW w:w="815" w:type="pct"/>
                  <w:tcBorders>
                    <w:top w:val="single" w:color="auto" w:sz="4" w:space="0"/>
                    <w:bottom w:val="single" w:color="auto" w:sz="4" w:space="0"/>
                  </w:tcBorders>
                  <w:vAlign w:val="center"/>
                </w:tcPr>
                <w:p w14:paraId="09738B1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固态</w:t>
                  </w:r>
                </w:p>
              </w:tc>
              <w:tc>
                <w:tcPr>
                  <w:tcW w:w="933" w:type="pct"/>
                  <w:tcBorders>
                    <w:top w:val="single" w:color="auto" w:sz="4" w:space="0"/>
                    <w:bottom w:val="single" w:color="auto" w:sz="4" w:space="0"/>
                  </w:tcBorders>
                  <w:vAlign w:val="center"/>
                </w:tcPr>
                <w:p w14:paraId="5991BF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361.54</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bottom w:val="single" w:color="auto" w:sz="4" w:space="0"/>
                  </w:tcBorders>
                  <w:vAlign w:val="center"/>
                </w:tcPr>
                <w:p w14:paraId="3CECD21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r>
                    <w:rPr>
                      <w:rFonts w:hint="default" w:ascii="Times New Roman" w:hAnsi="Times New Roman" w:eastAsia="宋体" w:cs="Times New Roman"/>
                      <w:sz w:val="21"/>
                      <w:szCs w:val="21"/>
                      <w:u w:val="none" w:color="auto"/>
                    </w:rPr>
                    <w:t>负极母卷</w:t>
                  </w:r>
                </w:p>
              </w:tc>
            </w:tr>
            <w:tr w14:paraId="4CFF428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30F2C959">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10</w:t>
                  </w:r>
                </w:p>
              </w:tc>
              <w:tc>
                <w:tcPr>
                  <w:tcW w:w="1677" w:type="pct"/>
                  <w:tcBorders>
                    <w:top w:val="single" w:color="auto" w:sz="4" w:space="0"/>
                    <w:bottom w:val="single" w:color="auto" w:sz="4" w:space="0"/>
                  </w:tcBorders>
                  <w:vAlign w:val="center"/>
                </w:tcPr>
                <w:p w14:paraId="69C54124">
                  <w:pPr>
                    <w:keepNext w:val="0"/>
                    <w:keepLines w:val="0"/>
                    <w:widowControl/>
                    <w:suppressLineNumbers w:val="0"/>
                    <w:jc w:val="center"/>
                    <w:textAlignment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铝箔</w:t>
                  </w:r>
                </w:p>
              </w:tc>
              <w:tc>
                <w:tcPr>
                  <w:tcW w:w="815" w:type="pct"/>
                  <w:tcBorders>
                    <w:top w:val="single" w:color="auto" w:sz="4" w:space="0"/>
                    <w:bottom w:val="single" w:color="auto" w:sz="4" w:space="0"/>
                  </w:tcBorders>
                  <w:vAlign w:val="center"/>
                </w:tcPr>
                <w:p w14:paraId="60AB6C8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固态</w:t>
                  </w:r>
                </w:p>
              </w:tc>
              <w:tc>
                <w:tcPr>
                  <w:tcW w:w="933" w:type="pct"/>
                  <w:tcBorders>
                    <w:top w:val="single" w:color="auto" w:sz="4" w:space="0"/>
                    <w:bottom w:val="single" w:color="auto" w:sz="4" w:space="0"/>
                  </w:tcBorders>
                  <w:vAlign w:val="center"/>
                </w:tcPr>
                <w:p w14:paraId="409C90F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232</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bottom w:val="single" w:color="auto" w:sz="4" w:space="0"/>
                  </w:tcBorders>
                  <w:vAlign w:val="center"/>
                </w:tcPr>
                <w:p w14:paraId="207E713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r>
                    <w:rPr>
                      <w:rFonts w:hint="default" w:ascii="Times New Roman" w:hAnsi="Times New Roman" w:eastAsia="宋体" w:cs="Times New Roman"/>
                      <w:sz w:val="21"/>
                      <w:szCs w:val="21"/>
                      <w:u w:val="none" w:color="auto"/>
                    </w:rPr>
                    <w:t>正极母卷</w:t>
                  </w:r>
                </w:p>
              </w:tc>
            </w:tr>
            <w:tr w14:paraId="1ADA73D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771509AE">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11</w:t>
                  </w:r>
                </w:p>
              </w:tc>
              <w:tc>
                <w:tcPr>
                  <w:tcW w:w="1677" w:type="pct"/>
                  <w:tcBorders>
                    <w:top w:val="single" w:color="auto" w:sz="4" w:space="0"/>
                    <w:bottom w:val="single" w:color="auto" w:sz="4" w:space="0"/>
                  </w:tcBorders>
                  <w:vAlign w:val="center"/>
                </w:tcPr>
                <w:p w14:paraId="6327B954">
                  <w:pPr>
                    <w:keepNext w:val="0"/>
                    <w:keepLines w:val="0"/>
                    <w:widowControl/>
                    <w:suppressLineNumbers w:val="0"/>
                    <w:jc w:val="center"/>
                    <w:textAlignment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铝带</w:t>
                  </w:r>
                </w:p>
              </w:tc>
              <w:tc>
                <w:tcPr>
                  <w:tcW w:w="815" w:type="pct"/>
                  <w:tcBorders>
                    <w:top w:val="single" w:color="auto" w:sz="4" w:space="0"/>
                    <w:bottom w:val="single" w:color="auto" w:sz="4" w:space="0"/>
                  </w:tcBorders>
                  <w:vAlign w:val="center"/>
                </w:tcPr>
                <w:p w14:paraId="0E1DD25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固态</w:t>
                  </w:r>
                </w:p>
              </w:tc>
              <w:tc>
                <w:tcPr>
                  <w:tcW w:w="933" w:type="pct"/>
                  <w:tcBorders>
                    <w:top w:val="single" w:color="auto" w:sz="4" w:space="0"/>
                    <w:bottom w:val="single" w:color="auto" w:sz="4" w:space="0"/>
                  </w:tcBorders>
                  <w:vAlign w:val="center"/>
                </w:tcPr>
                <w:p w14:paraId="007772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23.8</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bottom w:val="single" w:color="auto" w:sz="4" w:space="0"/>
                  </w:tcBorders>
                  <w:vAlign w:val="center"/>
                </w:tcPr>
                <w:p w14:paraId="152B8E6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外购</w:t>
                  </w:r>
                </w:p>
              </w:tc>
            </w:tr>
            <w:tr w14:paraId="6E19F27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76F82107">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12</w:t>
                  </w:r>
                </w:p>
              </w:tc>
              <w:tc>
                <w:tcPr>
                  <w:tcW w:w="1677" w:type="pct"/>
                  <w:tcBorders>
                    <w:top w:val="single" w:color="auto" w:sz="4" w:space="0"/>
                    <w:bottom w:val="single" w:color="auto" w:sz="4" w:space="0"/>
                  </w:tcBorders>
                  <w:vAlign w:val="center"/>
                </w:tcPr>
                <w:p w14:paraId="53BFEE62">
                  <w:pPr>
                    <w:keepNext w:val="0"/>
                    <w:keepLines w:val="0"/>
                    <w:widowControl/>
                    <w:suppressLineNumbers w:val="0"/>
                    <w:jc w:val="center"/>
                    <w:textAlignment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镀镍钢带</w:t>
                  </w:r>
                </w:p>
              </w:tc>
              <w:tc>
                <w:tcPr>
                  <w:tcW w:w="815" w:type="pct"/>
                  <w:tcBorders>
                    <w:top w:val="single" w:color="auto" w:sz="4" w:space="0"/>
                    <w:bottom w:val="single" w:color="auto" w:sz="4" w:space="0"/>
                  </w:tcBorders>
                  <w:vAlign w:val="center"/>
                </w:tcPr>
                <w:p w14:paraId="36E2885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固态</w:t>
                  </w:r>
                </w:p>
              </w:tc>
              <w:tc>
                <w:tcPr>
                  <w:tcW w:w="933" w:type="pct"/>
                  <w:tcBorders>
                    <w:top w:val="single" w:color="auto" w:sz="4" w:space="0"/>
                    <w:bottom w:val="single" w:color="auto" w:sz="4" w:space="0"/>
                  </w:tcBorders>
                  <w:vAlign w:val="center"/>
                </w:tcPr>
                <w:p w14:paraId="35F8A0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66</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bottom w:val="single" w:color="auto" w:sz="4" w:space="0"/>
                  </w:tcBorders>
                  <w:vAlign w:val="center"/>
                </w:tcPr>
                <w:p w14:paraId="06E1D0B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1A89963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3B1537F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13</w:t>
                  </w:r>
                </w:p>
              </w:tc>
              <w:tc>
                <w:tcPr>
                  <w:tcW w:w="1677" w:type="pct"/>
                  <w:tcBorders>
                    <w:top w:val="single" w:color="auto" w:sz="4" w:space="0"/>
                    <w:bottom w:val="single" w:color="auto" w:sz="4" w:space="0"/>
                  </w:tcBorders>
                  <w:vAlign w:val="center"/>
                </w:tcPr>
                <w:p w14:paraId="25A41446">
                  <w:pPr>
                    <w:keepNext w:val="0"/>
                    <w:keepLines w:val="0"/>
                    <w:widowControl/>
                    <w:suppressLineNumbers w:val="0"/>
                    <w:jc w:val="center"/>
                    <w:textAlignment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胶带</w:t>
                  </w:r>
                </w:p>
              </w:tc>
              <w:tc>
                <w:tcPr>
                  <w:tcW w:w="815" w:type="pct"/>
                  <w:tcBorders>
                    <w:top w:val="single" w:color="auto" w:sz="4" w:space="0"/>
                    <w:bottom w:val="single" w:color="auto" w:sz="4" w:space="0"/>
                  </w:tcBorders>
                  <w:vAlign w:val="center"/>
                </w:tcPr>
                <w:p w14:paraId="22BD10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固态</w:t>
                  </w:r>
                </w:p>
              </w:tc>
              <w:tc>
                <w:tcPr>
                  <w:tcW w:w="933" w:type="pct"/>
                  <w:tcBorders>
                    <w:top w:val="single" w:color="auto" w:sz="4" w:space="0"/>
                    <w:bottom w:val="single" w:color="auto" w:sz="4" w:space="0"/>
                  </w:tcBorders>
                  <w:vAlign w:val="center"/>
                </w:tcPr>
                <w:p w14:paraId="4F45692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69600km</w:t>
                  </w:r>
                </w:p>
              </w:tc>
              <w:tc>
                <w:tcPr>
                  <w:tcW w:w="1145" w:type="pct"/>
                  <w:tcBorders>
                    <w:top w:val="single" w:color="auto" w:sz="4" w:space="0"/>
                    <w:bottom w:val="single" w:color="auto" w:sz="4" w:space="0"/>
                  </w:tcBorders>
                  <w:vAlign w:val="center"/>
                </w:tcPr>
                <w:p w14:paraId="39EDE9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0E3FED2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6F089CF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rPr>
                    <w:t>14</w:t>
                  </w:r>
                </w:p>
              </w:tc>
              <w:tc>
                <w:tcPr>
                  <w:tcW w:w="1677" w:type="pct"/>
                  <w:tcBorders>
                    <w:top w:val="single" w:color="auto" w:sz="4" w:space="0"/>
                    <w:bottom w:val="single" w:color="auto" w:sz="4" w:space="0"/>
                  </w:tcBorders>
                  <w:vAlign w:val="center"/>
                </w:tcPr>
                <w:p w14:paraId="760DC055">
                  <w:pPr>
                    <w:keepNext w:val="0"/>
                    <w:keepLines w:val="0"/>
                    <w:widowControl/>
                    <w:suppressLineNumbers w:val="0"/>
                    <w:jc w:val="center"/>
                    <w:textAlignment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钢壳</w:t>
                  </w:r>
                </w:p>
              </w:tc>
              <w:tc>
                <w:tcPr>
                  <w:tcW w:w="815" w:type="pct"/>
                  <w:tcBorders>
                    <w:top w:val="single" w:color="auto" w:sz="4" w:space="0"/>
                    <w:bottom w:val="single" w:color="auto" w:sz="4" w:space="0"/>
                  </w:tcBorders>
                  <w:vAlign w:val="center"/>
                </w:tcPr>
                <w:p w14:paraId="036D80B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固态</w:t>
                  </w:r>
                </w:p>
              </w:tc>
              <w:tc>
                <w:tcPr>
                  <w:tcW w:w="933" w:type="pct"/>
                  <w:tcBorders>
                    <w:top w:val="single" w:color="auto" w:sz="4" w:space="0"/>
                    <w:bottom w:val="single" w:color="auto" w:sz="4" w:space="0"/>
                  </w:tcBorders>
                  <w:vAlign w:val="center"/>
                </w:tcPr>
                <w:p w14:paraId="7B73A7B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6亿支</w:t>
                  </w:r>
                </w:p>
              </w:tc>
              <w:tc>
                <w:tcPr>
                  <w:tcW w:w="1145" w:type="pct"/>
                  <w:tcBorders>
                    <w:top w:val="single" w:color="auto" w:sz="4" w:space="0"/>
                    <w:bottom w:val="single" w:color="auto" w:sz="4" w:space="0"/>
                  </w:tcBorders>
                  <w:vAlign w:val="center"/>
                </w:tcPr>
                <w:p w14:paraId="4ECA3808">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7A52AEC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69E3E04D">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15</w:t>
                  </w:r>
                </w:p>
              </w:tc>
              <w:tc>
                <w:tcPr>
                  <w:tcW w:w="1677" w:type="pct"/>
                  <w:tcBorders>
                    <w:top w:val="single" w:color="auto" w:sz="4" w:space="0"/>
                    <w:bottom w:val="single" w:color="auto" w:sz="4" w:space="0"/>
                  </w:tcBorders>
                  <w:vAlign w:val="center"/>
                </w:tcPr>
                <w:p w14:paraId="6C8E7CC3">
                  <w:pPr>
                    <w:keepNext w:val="0"/>
                    <w:keepLines w:val="0"/>
                    <w:widowControl/>
                    <w:suppressLineNumbers w:val="0"/>
                    <w:jc w:val="center"/>
                    <w:textAlignment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绝缘带（底垫片+上垫片）</w:t>
                  </w:r>
                </w:p>
              </w:tc>
              <w:tc>
                <w:tcPr>
                  <w:tcW w:w="815" w:type="pct"/>
                  <w:tcBorders>
                    <w:top w:val="single" w:color="auto" w:sz="4" w:space="0"/>
                    <w:bottom w:val="single" w:color="auto" w:sz="4" w:space="0"/>
                  </w:tcBorders>
                  <w:vAlign w:val="center"/>
                </w:tcPr>
                <w:p w14:paraId="02007E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固态</w:t>
                  </w:r>
                </w:p>
              </w:tc>
              <w:tc>
                <w:tcPr>
                  <w:tcW w:w="933" w:type="pct"/>
                  <w:tcBorders>
                    <w:top w:val="single" w:color="auto" w:sz="4" w:space="0"/>
                    <w:bottom w:val="single" w:color="auto" w:sz="4" w:space="0"/>
                  </w:tcBorders>
                  <w:vAlign w:val="center"/>
                </w:tcPr>
                <w:p w14:paraId="6E0F15C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75.049</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bottom w:val="single" w:color="auto" w:sz="4" w:space="0"/>
                  </w:tcBorders>
                  <w:vAlign w:val="center"/>
                </w:tcPr>
                <w:p w14:paraId="0B6BA9F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30A433D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577B3A8D">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16</w:t>
                  </w:r>
                </w:p>
              </w:tc>
              <w:tc>
                <w:tcPr>
                  <w:tcW w:w="1677" w:type="pct"/>
                  <w:tcBorders>
                    <w:top w:val="single" w:color="auto" w:sz="4" w:space="0"/>
                    <w:bottom w:val="single" w:color="auto" w:sz="4" w:space="0"/>
                  </w:tcBorders>
                  <w:vAlign w:val="center"/>
                </w:tcPr>
                <w:p w14:paraId="750CF3C6">
                  <w:pPr>
                    <w:keepNext w:val="0"/>
                    <w:keepLines w:val="0"/>
                    <w:widowControl/>
                    <w:suppressLineNumbers w:val="0"/>
                    <w:jc w:val="center"/>
                    <w:textAlignment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隔膜</w:t>
                  </w:r>
                </w:p>
              </w:tc>
              <w:tc>
                <w:tcPr>
                  <w:tcW w:w="815" w:type="pct"/>
                  <w:tcBorders>
                    <w:top w:val="single" w:color="auto" w:sz="4" w:space="0"/>
                    <w:bottom w:val="single" w:color="auto" w:sz="4" w:space="0"/>
                  </w:tcBorders>
                  <w:vAlign w:val="center"/>
                </w:tcPr>
                <w:p w14:paraId="71965123">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固态</w:t>
                  </w:r>
                </w:p>
              </w:tc>
              <w:tc>
                <w:tcPr>
                  <w:tcW w:w="933" w:type="pct"/>
                  <w:tcBorders>
                    <w:top w:val="single" w:color="auto" w:sz="4" w:space="0"/>
                    <w:bottom w:val="single" w:color="auto" w:sz="4" w:space="0"/>
                  </w:tcBorders>
                  <w:vAlign w:val="center"/>
                </w:tcPr>
                <w:p w14:paraId="7A87C50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color="auto"/>
                      <w:lang w:val="en-US" w:eastAsia="zh-CN" w:bidi="ar"/>
                    </w:rPr>
                    <w:t>20446524m</w:t>
                  </w:r>
                  <w:r>
                    <w:rPr>
                      <w:rFonts w:hint="default" w:ascii="Times New Roman" w:hAnsi="Times New Roman" w:eastAsia="宋体" w:cs="Times New Roman"/>
                      <w:i w:val="0"/>
                      <w:iCs w:val="0"/>
                      <w:color w:val="000000"/>
                      <w:kern w:val="0"/>
                      <w:sz w:val="21"/>
                      <w:szCs w:val="21"/>
                      <w:u w:val="none" w:color="auto"/>
                      <w:vertAlign w:val="superscript"/>
                      <w:lang w:val="en-US" w:eastAsia="zh-CN" w:bidi="ar"/>
                    </w:rPr>
                    <w:t>2</w:t>
                  </w:r>
                </w:p>
              </w:tc>
              <w:tc>
                <w:tcPr>
                  <w:tcW w:w="1145" w:type="pct"/>
                  <w:tcBorders>
                    <w:top w:val="single" w:color="auto" w:sz="4" w:space="0"/>
                    <w:bottom w:val="single" w:color="auto" w:sz="4" w:space="0"/>
                  </w:tcBorders>
                  <w:vAlign w:val="center"/>
                </w:tcPr>
                <w:p w14:paraId="7ABEB5D6">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6A4144D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7C86491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rPr>
                    <w:t>17</w:t>
                  </w:r>
                </w:p>
              </w:tc>
              <w:tc>
                <w:tcPr>
                  <w:tcW w:w="1677" w:type="pct"/>
                  <w:tcBorders>
                    <w:top w:val="single" w:color="auto" w:sz="4" w:space="0"/>
                    <w:bottom w:val="single" w:color="auto" w:sz="4" w:space="0"/>
                  </w:tcBorders>
                  <w:vAlign w:val="center"/>
                </w:tcPr>
                <w:p w14:paraId="42A69DFE">
                  <w:pPr>
                    <w:keepNext w:val="0"/>
                    <w:keepLines w:val="0"/>
                    <w:widowControl/>
                    <w:suppressLineNumbers w:val="0"/>
                    <w:jc w:val="center"/>
                    <w:textAlignment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数字胶带</w:t>
                  </w:r>
                </w:p>
              </w:tc>
              <w:tc>
                <w:tcPr>
                  <w:tcW w:w="815" w:type="pct"/>
                  <w:tcBorders>
                    <w:top w:val="single" w:color="auto" w:sz="4" w:space="0"/>
                    <w:bottom w:val="single" w:color="auto" w:sz="4" w:space="0"/>
                  </w:tcBorders>
                  <w:vAlign w:val="center"/>
                </w:tcPr>
                <w:p w14:paraId="038F10A2">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固态</w:t>
                  </w:r>
                </w:p>
              </w:tc>
              <w:tc>
                <w:tcPr>
                  <w:tcW w:w="933" w:type="pct"/>
                  <w:tcBorders>
                    <w:top w:val="single" w:color="auto" w:sz="4" w:space="0"/>
                    <w:bottom w:val="single" w:color="auto" w:sz="4" w:space="0"/>
                  </w:tcBorders>
                  <w:vAlign w:val="center"/>
                </w:tcPr>
                <w:p w14:paraId="53D8095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color="auto"/>
                      <w:lang w:val="en-US" w:eastAsia="zh-CN" w:bidi="ar"/>
                    </w:rPr>
                    <w:t>30137.94</w:t>
                  </w: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km</w:t>
                  </w:r>
                </w:p>
              </w:tc>
              <w:tc>
                <w:tcPr>
                  <w:tcW w:w="1145" w:type="pct"/>
                  <w:tcBorders>
                    <w:top w:val="single" w:color="auto" w:sz="4" w:space="0"/>
                    <w:bottom w:val="single" w:color="auto" w:sz="4" w:space="0"/>
                  </w:tcBorders>
                  <w:vAlign w:val="center"/>
                </w:tcPr>
                <w:p w14:paraId="6C27775D">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4BDAC6B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658D959C">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18</w:t>
                  </w:r>
                </w:p>
              </w:tc>
              <w:tc>
                <w:tcPr>
                  <w:tcW w:w="1677" w:type="pct"/>
                  <w:tcBorders>
                    <w:top w:val="single" w:color="auto" w:sz="4" w:space="0"/>
                    <w:bottom w:val="single" w:color="auto" w:sz="4" w:space="0"/>
                  </w:tcBorders>
                  <w:vAlign w:val="center"/>
                </w:tcPr>
                <w:p w14:paraId="706E71D5">
                  <w:pPr>
                    <w:keepNext w:val="0"/>
                    <w:keepLines w:val="0"/>
                    <w:widowControl/>
                    <w:suppressLineNumbers w:val="0"/>
                    <w:jc w:val="center"/>
                    <w:textAlignment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盖帽</w:t>
                  </w:r>
                </w:p>
              </w:tc>
              <w:tc>
                <w:tcPr>
                  <w:tcW w:w="815" w:type="pct"/>
                  <w:tcBorders>
                    <w:top w:val="single" w:color="auto" w:sz="4" w:space="0"/>
                    <w:bottom w:val="single" w:color="auto" w:sz="4" w:space="0"/>
                  </w:tcBorders>
                  <w:vAlign w:val="center"/>
                </w:tcPr>
                <w:p w14:paraId="5375CE4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固态</w:t>
                  </w:r>
                </w:p>
              </w:tc>
              <w:tc>
                <w:tcPr>
                  <w:tcW w:w="933" w:type="pct"/>
                  <w:tcBorders>
                    <w:top w:val="single" w:color="auto" w:sz="4" w:space="0"/>
                    <w:bottom w:val="single" w:color="auto" w:sz="4" w:space="0"/>
                  </w:tcBorders>
                  <w:vAlign w:val="center"/>
                </w:tcPr>
                <w:p w14:paraId="04F7020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t>590940000</w:t>
                  </w:r>
                </w:p>
              </w:tc>
              <w:tc>
                <w:tcPr>
                  <w:tcW w:w="1145" w:type="pct"/>
                  <w:tcBorders>
                    <w:top w:val="single" w:color="auto" w:sz="4" w:space="0"/>
                    <w:bottom w:val="single" w:color="auto" w:sz="4" w:space="0"/>
                  </w:tcBorders>
                  <w:vAlign w:val="center"/>
                </w:tcPr>
                <w:p w14:paraId="708AA60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49CBB3D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03D0E37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19</w:t>
                  </w:r>
                </w:p>
              </w:tc>
              <w:tc>
                <w:tcPr>
                  <w:tcW w:w="1677" w:type="pct"/>
                  <w:tcBorders>
                    <w:top w:val="single" w:color="auto" w:sz="4" w:space="0"/>
                    <w:bottom w:val="single" w:color="auto" w:sz="4" w:space="0"/>
                  </w:tcBorders>
                  <w:vAlign w:val="center"/>
                </w:tcPr>
                <w:p w14:paraId="43EB15AE">
                  <w:pPr>
                    <w:keepNext w:val="0"/>
                    <w:keepLines w:val="0"/>
                    <w:widowControl/>
                    <w:suppressLineNumbers w:val="0"/>
                    <w:jc w:val="center"/>
                    <w:textAlignment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电解液</w:t>
                  </w:r>
                </w:p>
              </w:tc>
              <w:tc>
                <w:tcPr>
                  <w:tcW w:w="815" w:type="pct"/>
                  <w:tcBorders>
                    <w:top w:val="single" w:color="auto" w:sz="4" w:space="0"/>
                    <w:bottom w:val="single" w:color="auto" w:sz="4" w:space="0"/>
                  </w:tcBorders>
                  <w:vAlign w:val="center"/>
                </w:tcPr>
                <w:p w14:paraId="4EC3AF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液态</w:t>
                  </w:r>
                </w:p>
              </w:tc>
              <w:tc>
                <w:tcPr>
                  <w:tcW w:w="933" w:type="pct"/>
                  <w:tcBorders>
                    <w:top w:val="single" w:color="auto" w:sz="4" w:space="0"/>
                    <w:bottom w:val="single" w:color="auto" w:sz="4" w:space="0"/>
                  </w:tcBorders>
                  <w:vAlign w:val="center"/>
                </w:tcPr>
                <w:p w14:paraId="229231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t>1778.27</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bottom w:val="single" w:color="auto" w:sz="4" w:space="0"/>
                  </w:tcBorders>
                  <w:vAlign w:val="center"/>
                </w:tcPr>
                <w:p w14:paraId="4B5D835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46AC624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0A96113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20</w:t>
                  </w:r>
                </w:p>
              </w:tc>
              <w:tc>
                <w:tcPr>
                  <w:tcW w:w="1677" w:type="pct"/>
                  <w:tcBorders>
                    <w:top w:val="single" w:color="auto" w:sz="4" w:space="0"/>
                    <w:bottom w:val="single" w:color="auto" w:sz="4" w:space="0"/>
                  </w:tcBorders>
                  <w:vAlign w:val="center"/>
                </w:tcPr>
                <w:p w14:paraId="58AF8501">
                  <w:pPr>
                    <w:keepNext w:val="0"/>
                    <w:keepLines w:val="0"/>
                    <w:widowControl/>
                    <w:suppressLineNumbers w:val="0"/>
                    <w:jc w:val="center"/>
                    <w:textAlignment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果绿色单印字</w:t>
                  </w:r>
                </w:p>
              </w:tc>
              <w:tc>
                <w:tcPr>
                  <w:tcW w:w="815" w:type="pct"/>
                  <w:tcBorders>
                    <w:top w:val="single" w:color="auto" w:sz="4" w:space="0"/>
                    <w:bottom w:val="single" w:color="auto" w:sz="4" w:space="0"/>
                  </w:tcBorders>
                  <w:vAlign w:val="center"/>
                </w:tcPr>
                <w:p w14:paraId="79EABF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固态</w:t>
                  </w:r>
                </w:p>
              </w:tc>
              <w:tc>
                <w:tcPr>
                  <w:tcW w:w="933" w:type="pct"/>
                  <w:tcBorders>
                    <w:top w:val="single" w:color="auto" w:sz="4" w:space="0"/>
                    <w:bottom w:val="single" w:color="auto" w:sz="4" w:space="0"/>
                  </w:tcBorders>
                  <w:vAlign w:val="center"/>
                </w:tcPr>
                <w:p w14:paraId="733AAFAE">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t>178.464</w:t>
                  </w:r>
                  <w:r>
                    <w:rPr>
                      <w:rFonts w:hint="default" w:ascii="Times New Roman" w:hAnsi="Times New Roman" w:eastAsia="宋体" w:cs="Times New Roman"/>
                      <w:color w:val="auto"/>
                      <w:sz w:val="21"/>
                      <w:szCs w:val="21"/>
                      <w:highlight w:val="none"/>
                      <w:u w:val="none" w:color="auto"/>
                      <w:lang w:val="en-US" w:eastAsia="zh-CN"/>
                    </w:rPr>
                    <w:t>t/a</w:t>
                  </w:r>
                </w:p>
              </w:tc>
              <w:tc>
                <w:tcPr>
                  <w:tcW w:w="1145" w:type="pct"/>
                  <w:tcBorders>
                    <w:top w:val="single" w:color="auto" w:sz="4" w:space="0"/>
                    <w:bottom w:val="single" w:color="auto" w:sz="4" w:space="0"/>
                  </w:tcBorders>
                  <w:vAlign w:val="center"/>
                </w:tcPr>
                <w:p w14:paraId="137A662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lang w:val="en-US" w:eastAsia="zh-CN"/>
                    </w:rPr>
                    <w:t>外购</w:t>
                  </w:r>
                </w:p>
              </w:tc>
            </w:tr>
            <w:tr w14:paraId="2463E7E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1B35701A">
                  <w:pPr>
                    <w:keepNext w:val="0"/>
                    <w:keepLines w:val="0"/>
                    <w:suppressLineNumbers w:val="0"/>
                    <w:spacing w:before="0" w:beforeAutospacing="0" w:after="0" w:afterAutospacing="0" w:line="240" w:lineRule="auto"/>
                    <w:ind w:left="0" w:right="0" w:firstLine="0" w:firstLineChars="0"/>
                    <w:jc w:val="center"/>
                    <w:rPr>
                      <w:rFonts w:hint="default" w:cs="Times New Roman"/>
                      <w:sz w:val="21"/>
                      <w:szCs w:val="21"/>
                      <w:u w:val="none" w:color="auto"/>
                      <w:lang w:val="en-US" w:eastAsia="zh-CN"/>
                    </w:rPr>
                  </w:pPr>
                  <w:r>
                    <w:rPr>
                      <w:rFonts w:hint="eastAsia" w:cs="Times New Roman"/>
                      <w:sz w:val="21"/>
                      <w:szCs w:val="21"/>
                      <w:u w:val="none" w:color="auto"/>
                      <w:lang w:val="en-US" w:eastAsia="zh-CN"/>
                    </w:rPr>
                    <w:t>21</w:t>
                  </w:r>
                </w:p>
              </w:tc>
              <w:tc>
                <w:tcPr>
                  <w:tcW w:w="1677" w:type="pct"/>
                  <w:tcBorders>
                    <w:top w:val="single" w:color="auto" w:sz="4" w:space="0"/>
                    <w:bottom w:val="single" w:color="auto" w:sz="4" w:space="0"/>
                  </w:tcBorders>
                  <w:vAlign w:val="center"/>
                </w:tcPr>
                <w:p w14:paraId="4308B6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cs="Times New Roman"/>
                      <w:i w:val="0"/>
                      <w:iCs w:val="0"/>
                      <w:color w:val="000000"/>
                      <w:kern w:val="0"/>
                      <w:sz w:val="21"/>
                      <w:szCs w:val="21"/>
                      <w:u w:val="none" w:color="auto"/>
                      <w:lang w:val="en-US" w:eastAsia="zh-CN" w:bidi="ar"/>
                    </w:rPr>
                    <w:t>新鲜水</w:t>
                  </w:r>
                </w:p>
              </w:tc>
              <w:tc>
                <w:tcPr>
                  <w:tcW w:w="1749" w:type="pct"/>
                  <w:gridSpan w:val="2"/>
                  <w:tcBorders>
                    <w:top w:val="single" w:color="auto" w:sz="4" w:space="0"/>
                    <w:bottom w:val="single" w:color="auto" w:sz="4" w:space="0"/>
                  </w:tcBorders>
                  <w:vAlign w:val="center"/>
                </w:tcPr>
                <w:p w14:paraId="0BFB95B6">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u w:val="none" w:color="auto"/>
                      <w:lang w:val="en-US" w:eastAsia="zh-CN"/>
                    </w:rPr>
                    <w:t>27192</w:t>
                  </w:r>
                  <w:r>
                    <w:rPr>
                      <w:rFonts w:hint="eastAsia" w:cs="Times New Roman"/>
                      <w:color w:val="000000" w:themeColor="text1"/>
                      <w:sz w:val="21"/>
                      <w:szCs w:val="21"/>
                      <w:u w:val="none" w:color="auto"/>
                      <w:lang w:val="en-US" w:eastAsia="zh-CN"/>
                      <w14:textFill>
                        <w14:solidFill>
                          <w14:schemeClr w14:val="tx1"/>
                        </w14:solidFill>
                      </w14:textFill>
                    </w:rPr>
                    <w:t>m</w:t>
                  </w:r>
                  <w:r>
                    <w:rPr>
                      <w:rFonts w:hint="eastAsia" w:cs="Times New Roman"/>
                      <w:color w:val="000000" w:themeColor="text1"/>
                      <w:sz w:val="21"/>
                      <w:szCs w:val="21"/>
                      <w:u w:val="none" w:color="auto"/>
                      <w:vertAlign w:val="superscript"/>
                      <w:lang w:val="en-US" w:eastAsia="zh-CN"/>
                      <w14:textFill>
                        <w14:solidFill>
                          <w14:schemeClr w14:val="tx1"/>
                        </w14:solidFill>
                      </w14:textFill>
                    </w:rPr>
                    <w:t>3</w:t>
                  </w:r>
                  <w:r>
                    <w:rPr>
                      <w:rFonts w:hint="eastAsia" w:cs="Times New Roman"/>
                      <w:color w:val="000000" w:themeColor="text1"/>
                      <w:sz w:val="21"/>
                      <w:szCs w:val="21"/>
                      <w:u w:val="none" w:color="auto"/>
                      <w:lang w:val="en-US" w:eastAsia="zh-CN"/>
                      <w14:textFill>
                        <w14:solidFill>
                          <w14:schemeClr w14:val="tx1"/>
                        </w14:solidFill>
                      </w14:textFill>
                    </w:rPr>
                    <w:t>/a</w:t>
                  </w:r>
                </w:p>
              </w:tc>
              <w:tc>
                <w:tcPr>
                  <w:tcW w:w="1145" w:type="pct"/>
                  <w:tcBorders>
                    <w:top w:val="single" w:color="auto" w:sz="4" w:space="0"/>
                    <w:bottom w:val="single" w:color="auto" w:sz="4" w:space="0"/>
                  </w:tcBorders>
                  <w:vAlign w:val="center"/>
                </w:tcPr>
                <w:p w14:paraId="07EC98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市政供水</w:t>
                  </w:r>
                </w:p>
              </w:tc>
            </w:tr>
            <w:tr w14:paraId="0D79197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7" w:type="pct"/>
                  <w:tcBorders>
                    <w:top w:val="single" w:color="auto" w:sz="4" w:space="0"/>
                    <w:bottom w:val="single" w:color="auto" w:sz="4" w:space="0"/>
                  </w:tcBorders>
                  <w:vAlign w:val="center"/>
                </w:tcPr>
                <w:p w14:paraId="20AB81E0">
                  <w:pPr>
                    <w:keepNext w:val="0"/>
                    <w:keepLines w:val="0"/>
                    <w:suppressLineNumbers w:val="0"/>
                    <w:spacing w:before="0" w:beforeAutospacing="0" w:after="0" w:afterAutospacing="0" w:line="240" w:lineRule="auto"/>
                    <w:ind w:left="0" w:right="0" w:firstLine="0" w:firstLineChars="0"/>
                    <w:jc w:val="center"/>
                    <w:rPr>
                      <w:rFonts w:hint="default" w:cs="Times New Roman"/>
                      <w:sz w:val="21"/>
                      <w:szCs w:val="21"/>
                      <w:u w:val="none" w:color="auto"/>
                      <w:lang w:val="en-US" w:eastAsia="zh-CN"/>
                    </w:rPr>
                  </w:pPr>
                  <w:r>
                    <w:rPr>
                      <w:rFonts w:hint="eastAsia" w:cs="Times New Roman"/>
                      <w:sz w:val="21"/>
                      <w:szCs w:val="21"/>
                      <w:u w:val="none" w:color="auto"/>
                      <w:lang w:val="en-US" w:eastAsia="zh-CN"/>
                    </w:rPr>
                    <w:t>22</w:t>
                  </w:r>
                </w:p>
              </w:tc>
              <w:tc>
                <w:tcPr>
                  <w:tcW w:w="1677" w:type="pct"/>
                  <w:tcBorders>
                    <w:top w:val="single" w:color="auto" w:sz="4" w:space="0"/>
                    <w:bottom w:val="single" w:color="auto" w:sz="4" w:space="0"/>
                  </w:tcBorders>
                  <w:vAlign w:val="center"/>
                </w:tcPr>
                <w:p w14:paraId="4B12F326">
                  <w:pPr>
                    <w:keepNext w:val="0"/>
                    <w:keepLines w:val="0"/>
                    <w:widowControl/>
                    <w:suppressLineNumbers w:val="0"/>
                    <w:jc w:val="center"/>
                    <w:textAlignment w:val="center"/>
                    <w:rPr>
                      <w:rFonts w:hint="default" w:cs="Times New Roman"/>
                      <w:i w:val="0"/>
                      <w:iCs w:val="0"/>
                      <w:color w:val="000000"/>
                      <w:kern w:val="0"/>
                      <w:sz w:val="21"/>
                      <w:szCs w:val="21"/>
                      <w:u w:val="none" w:color="auto"/>
                      <w:lang w:val="en-US" w:eastAsia="zh-CN" w:bidi="ar"/>
                    </w:rPr>
                  </w:pPr>
                  <w:r>
                    <w:rPr>
                      <w:rFonts w:hint="eastAsia" w:cs="Times New Roman"/>
                      <w:i w:val="0"/>
                      <w:iCs w:val="0"/>
                      <w:color w:val="000000"/>
                      <w:kern w:val="0"/>
                      <w:sz w:val="21"/>
                      <w:szCs w:val="21"/>
                      <w:u w:val="none" w:color="auto"/>
                      <w:lang w:val="en-US" w:eastAsia="zh-CN" w:bidi="ar"/>
                    </w:rPr>
                    <w:t>热蒸汽</w:t>
                  </w:r>
                </w:p>
              </w:tc>
              <w:tc>
                <w:tcPr>
                  <w:tcW w:w="1749" w:type="pct"/>
                  <w:gridSpan w:val="2"/>
                  <w:tcBorders>
                    <w:top w:val="single" w:color="auto" w:sz="4" w:space="0"/>
                    <w:bottom w:val="single" w:color="auto" w:sz="4" w:space="0"/>
                  </w:tcBorders>
                  <w:vAlign w:val="center"/>
                </w:tcPr>
                <w:p w14:paraId="1A33D8EC">
                  <w:pPr>
                    <w:keepNext w:val="0"/>
                    <w:keepLines w:val="0"/>
                    <w:suppressLineNumbers w:val="0"/>
                    <w:spacing w:before="0" w:beforeAutospacing="0" w:after="0" w:afterAutospacing="0" w:line="240" w:lineRule="auto"/>
                    <w:ind w:left="0" w:leftChars="0" w:right="0" w:rightChars="0" w:firstLine="0" w:firstLineChars="0"/>
                    <w:jc w:val="center"/>
                    <w:rPr>
                      <w:rFonts w:hint="default" w:cs="Times New Roman"/>
                      <w:color w:val="000000" w:themeColor="text1"/>
                      <w:sz w:val="21"/>
                      <w:szCs w:val="21"/>
                      <w:u w:val="none" w:color="auto"/>
                      <w:lang w:val="en-US" w:eastAsia="zh-CN"/>
                      <w14:textFill>
                        <w14:solidFill>
                          <w14:schemeClr w14:val="tx1"/>
                        </w14:solidFill>
                      </w14:textFill>
                    </w:rPr>
                  </w:pPr>
                  <w:r>
                    <w:rPr>
                      <w:rFonts w:hint="eastAsia" w:cs="Times New Roman"/>
                      <w:color w:val="000000" w:themeColor="text1"/>
                      <w:sz w:val="21"/>
                      <w:szCs w:val="21"/>
                      <w:u w:val="none" w:color="auto"/>
                      <w:lang w:val="en-US" w:eastAsia="zh-CN"/>
                      <w14:textFill>
                        <w14:solidFill>
                          <w14:schemeClr w14:val="tx1"/>
                        </w14:solidFill>
                      </w14:textFill>
                    </w:rPr>
                    <w:t>2640 t/a</w:t>
                  </w:r>
                </w:p>
              </w:tc>
              <w:tc>
                <w:tcPr>
                  <w:tcW w:w="1145" w:type="pct"/>
                  <w:tcBorders>
                    <w:top w:val="single" w:color="auto" w:sz="4" w:space="0"/>
                    <w:bottom w:val="single" w:color="auto" w:sz="4" w:space="0"/>
                  </w:tcBorders>
                  <w:vAlign w:val="center"/>
                </w:tcPr>
                <w:p w14:paraId="4DB01095">
                  <w:pPr>
                    <w:keepNext w:val="0"/>
                    <w:keepLines w:val="0"/>
                    <w:suppressLineNumbers w:val="0"/>
                    <w:spacing w:before="0" w:beforeAutospacing="0" w:after="0" w:afterAutospacing="0" w:line="240" w:lineRule="auto"/>
                    <w:ind w:left="0" w:right="0" w:firstLine="0" w:firstLineChars="0"/>
                    <w:jc w:val="center"/>
                    <w:rPr>
                      <w:rFonts w:hint="default" w:cs="Times New Roman"/>
                      <w:sz w:val="21"/>
                      <w:szCs w:val="21"/>
                      <w:u w:val="none" w:color="auto"/>
                      <w:lang w:val="en-US" w:eastAsia="zh-CN"/>
                    </w:rPr>
                  </w:pPr>
                  <w:r>
                    <w:rPr>
                      <w:rFonts w:hint="eastAsia" w:cs="Times New Roman"/>
                      <w:sz w:val="21"/>
                      <w:szCs w:val="21"/>
                      <w:u w:val="none" w:color="auto"/>
                      <w:lang w:val="en-US" w:eastAsia="zh-CN"/>
                    </w:rPr>
                    <w:t>外购，</w:t>
                  </w:r>
                  <w:r>
                    <w:rPr>
                      <w:rFonts w:hint="eastAsia"/>
                      <w:szCs w:val="21"/>
                      <w:u w:val="none" w:color="auto"/>
                      <w:lang w:val="en-US" w:eastAsia="zh-CN"/>
                    </w:rPr>
                    <w:t>蒸汽由华电渠东发电有限公司提供</w:t>
                  </w:r>
                </w:p>
              </w:tc>
            </w:tr>
          </w:tbl>
          <w:p w14:paraId="0A47E789">
            <w:pPr>
              <w:keepNext w:val="0"/>
              <w:keepLines w:val="0"/>
              <w:pageBreakBefore w:val="0"/>
              <w:widowControl/>
              <w:kinsoku/>
              <w:wordWrap/>
              <w:overflowPunct/>
              <w:topLinePunct w:val="0"/>
              <w:autoSpaceDE/>
              <w:autoSpaceDN/>
              <w:bidi w:val="0"/>
              <w:spacing w:line="440" w:lineRule="exact"/>
              <w:textAlignment w:val="auto"/>
              <w:rPr>
                <w:b/>
                <w:sz w:val="24"/>
                <w:u w:val="none" w:color="auto"/>
                <w:lang w:val="pt-BR"/>
              </w:rPr>
            </w:pPr>
            <w:r>
              <w:rPr>
                <w:rFonts w:hint="eastAsia"/>
                <w:b/>
                <w:sz w:val="24"/>
                <w:u w:val="none" w:color="auto"/>
              </w:rPr>
              <w:t>原辅材料理化性质</w:t>
            </w:r>
            <w:r>
              <w:rPr>
                <w:rFonts w:hint="eastAsia"/>
                <w:b/>
                <w:sz w:val="24"/>
                <w:u w:val="none" w:color="auto"/>
                <w:lang w:val="pt-BR"/>
              </w:rPr>
              <w:t>：</w:t>
            </w:r>
          </w:p>
          <w:p w14:paraId="6E552F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jc w:val="both"/>
              <w:textAlignment w:val="baseline"/>
              <w:rPr>
                <w:rFonts w:hint="default"/>
                <w:sz w:val="24"/>
                <w:szCs w:val="24"/>
                <w:u w:val="none" w:color="auto"/>
              </w:rPr>
            </w:pPr>
            <w:r>
              <w:rPr>
                <w:rFonts w:hint="default"/>
                <w:b/>
                <w:bCs/>
                <w:sz w:val="24"/>
                <w:szCs w:val="24"/>
                <w:u w:val="none" w:color="auto"/>
              </w:rPr>
              <w:t>锰酸锂：</w:t>
            </w:r>
            <w:r>
              <w:rPr>
                <w:rFonts w:hint="default"/>
                <w:sz w:val="24"/>
                <w:szCs w:val="24"/>
                <w:u w:val="none" w:color="auto"/>
              </w:rPr>
              <w:t>化学式LiMn</w:t>
            </w:r>
            <w:r>
              <w:rPr>
                <w:rFonts w:hint="default"/>
                <w:sz w:val="24"/>
                <w:szCs w:val="24"/>
                <w:u w:val="none" w:color="auto"/>
                <w:vertAlign w:val="subscript"/>
              </w:rPr>
              <w:t>2</w:t>
            </w:r>
            <w:r>
              <w:rPr>
                <w:rFonts w:hint="default"/>
                <w:sz w:val="24"/>
                <w:szCs w:val="24"/>
                <w:u w:val="none" w:color="auto"/>
              </w:rPr>
              <w:t>O</w:t>
            </w:r>
            <w:r>
              <w:rPr>
                <w:rFonts w:hint="default"/>
                <w:sz w:val="24"/>
                <w:szCs w:val="24"/>
                <w:u w:val="none" w:color="auto"/>
                <w:vertAlign w:val="subscript"/>
              </w:rPr>
              <w:t>4</w:t>
            </w:r>
            <w:r>
              <w:rPr>
                <w:rFonts w:hint="default"/>
                <w:sz w:val="24"/>
                <w:szCs w:val="24"/>
                <w:u w:val="none" w:color="auto"/>
              </w:rPr>
              <w:t>，</w:t>
            </w:r>
            <w:r>
              <w:rPr>
                <w:rFonts w:hint="eastAsia"/>
                <w:sz w:val="24"/>
                <w:szCs w:val="24"/>
                <w:u w:val="none" w:color="auto"/>
                <w:lang w:val="en-US" w:eastAsia="zh-CN"/>
              </w:rPr>
              <w:t>尖晶石结构</w:t>
            </w:r>
            <w:r>
              <w:rPr>
                <w:rFonts w:hint="default"/>
                <w:sz w:val="24"/>
                <w:szCs w:val="24"/>
                <w:u w:val="none" w:color="auto"/>
              </w:rPr>
              <w:t>。合成方法有很多种，主要有高温固相法、熔融浸渍法、微波合成法、溶胶凝胶法、乳化干燥法、共沉淀法等，主要用于制造手机和笔记本电脑及其它便携式电子设备的锂离子电池作正极材料。</w:t>
            </w:r>
          </w:p>
          <w:p w14:paraId="623271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jc w:val="both"/>
              <w:textAlignment w:val="baseline"/>
              <w:rPr>
                <w:rFonts w:hint="eastAsia" w:eastAsia="宋体"/>
                <w:sz w:val="24"/>
                <w:szCs w:val="24"/>
                <w:u w:val="none" w:color="auto"/>
                <w:lang w:val="en-US" w:eastAsia="zh-CN"/>
              </w:rPr>
            </w:pPr>
            <w:r>
              <w:rPr>
                <w:rFonts w:hint="default"/>
                <w:b/>
                <w:bCs/>
                <w:sz w:val="24"/>
                <w:szCs w:val="24"/>
                <w:u w:val="none" w:color="auto"/>
              </w:rPr>
              <w:t>镍钴锰酸锂：</w:t>
            </w:r>
            <w:r>
              <w:rPr>
                <w:rFonts w:hint="default"/>
                <w:sz w:val="24"/>
                <w:szCs w:val="24"/>
                <w:u w:val="none" w:color="auto"/>
              </w:rPr>
              <w:t>化学式LiNixCoyMn</w:t>
            </w:r>
            <w:r>
              <w:rPr>
                <w:rFonts w:hint="default"/>
                <w:sz w:val="24"/>
                <w:szCs w:val="24"/>
                <w:u w:val="none" w:color="auto"/>
                <w:vertAlign w:val="subscript"/>
              </w:rPr>
              <w:t>1</w:t>
            </w:r>
            <w:r>
              <w:rPr>
                <w:rFonts w:hint="default"/>
                <w:sz w:val="24"/>
                <w:szCs w:val="24"/>
                <w:u w:val="none" w:color="auto"/>
              </w:rPr>
              <w:t>-x-yO</w:t>
            </w:r>
            <w:r>
              <w:rPr>
                <w:rFonts w:hint="default"/>
                <w:sz w:val="24"/>
                <w:szCs w:val="24"/>
                <w:u w:val="none" w:color="auto"/>
                <w:vertAlign w:val="subscript"/>
              </w:rPr>
              <w:t>2</w:t>
            </w:r>
            <w:r>
              <w:rPr>
                <w:rFonts w:hint="default"/>
                <w:sz w:val="24"/>
                <w:szCs w:val="24"/>
                <w:u w:val="none" w:color="auto"/>
              </w:rPr>
              <w:t>，是锂离子电池的关键三元正极材料，拥有比单元正极材料更高的比容量和更低的成本。由于镍钴锰酸锂是在钴酸锂基础上经过改进而成具有较高安全性的正极材料，自提出以来，其凭借容量高、热稳定性能好、充放电压宽等优良的电化学性能而受到广泛关注，被视为下一代锂离子电池正极材料的理想之选。镍钴锰酸锂在层状结构中以Ni和Mn取代部分Co，减少了钴的用量，降低了成本，而且提高了能量密度，已在动力型圆柱锂离子电池中得到广泛应用</w:t>
            </w:r>
            <w:r>
              <w:rPr>
                <w:rFonts w:hint="eastAsia"/>
                <w:sz w:val="24"/>
                <w:szCs w:val="24"/>
                <w:u w:val="none" w:color="auto"/>
                <w:lang w:eastAsia="zh-CN"/>
              </w:rPr>
              <w:t>。</w:t>
            </w:r>
          </w:p>
          <w:p w14:paraId="768C7B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jc w:val="both"/>
              <w:textAlignment w:val="baseline"/>
              <w:rPr>
                <w:rFonts w:hint="default"/>
                <w:sz w:val="24"/>
                <w:szCs w:val="24"/>
                <w:u w:val="none" w:color="auto"/>
              </w:rPr>
            </w:pPr>
            <w:r>
              <w:rPr>
                <w:rFonts w:hint="default"/>
                <w:b/>
                <w:bCs/>
                <w:sz w:val="24"/>
                <w:szCs w:val="24"/>
                <w:u w:val="none" w:color="auto"/>
              </w:rPr>
              <w:t>聚偏氟乙烯（[-CH</w:t>
            </w:r>
            <w:r>
              <w:rPr>
                <w:rFonts w:hint="default"/>
                <w:b/>
                <w:bCs/>
                <w:sz w:val="24"/>
                <w:szCs w:val="24"/>
                <w:u w:val="none" w:color="auto"/>
                <w:vertAlign w:val="subscript"/>
              </w:rPr>
              <w:t>2</w:t>
            </w:r>
            <w:r>
              <w:rPr>
                <w:rFonts w:hint="default"/>
                <w:b/>
                <w:bCs/>
                <w:sz w:val="24"/>
                <w:szCs w:val="24"/>
                <w:u w:val="none" w:color="auto"/>
              </w:rPr>
              <w:t>-CF</w:t>
            </w:r>
            <w:r>
              <w:rPr>
                <w:rFonts w:hint="default"/>
                <w:b/>
                <w:bCs/>
                <w:sz w:val="24"/>
                <w:szCs w:val="24"/>
                <w:u w:val="none" w:color="auto"/>
                <w:vertAlign w:val="subscript"/>
              </w:rPr>
              <w:t>2</w:t>
            </w:r>
            <w:r>
              <w:rPr>
                <w:rFonts w:hint="default"/>
                <w:b/>
                <w:bCs/>
                <w:sz w:val="24"/>
                <w:szCs w:val="24"/>
                <w:u w:val="none" w:color="auto"/>
              </w:rPr>
              <w:t>-]-）：</w:t>
            </w:r>
            <w:r>
              <w:rPr>
                <w:rFonts w:hint="default"/>
                <w:sz w:val="24"/>
                <w:szCs w:val="24"/>
                <w:u w:val="none" w:color="auto"/>
              </w:rPr>
              <w:t>简称PVDF，白色粉末状结晶性聚合物。密度1.75-1.78g/cm</w:t>
            </w:r>
            <w:r>
              <w:rPr>
                <w:rFonts w:hint="default"/>
                <w:sz w:val="24"/>
                <w:szCs w:val="24"/>
                <w:u w:val="none" w:color="auto"/>
                <w:vertAlign w:val="superscript"/>
              </w:rPr>
              <w:t>3</w:t>
            </w:r>
            <w:r>
              <w:rPr>
                <w:rFonts w:hint="default"/>
                <w:sz w:val="24"/>
                <w:szCs w:val="24"/>
                <w:u w:val="none" w:color="auto"/>
              </w:rPr>
              <w:t>。熔点170℃，热分解温度350℃左右。具有良好的化学稳定性，发烟硫酸、强碱、酮、醚绵少数化学药品能使其溶胀或部分溶解，二甲基乙酰胺和二甲基亚砜等强极性有机溶剂能使其溶解成胶状溶液。</w:t>
            </w:r>
          </w:p>
          <w:p w14:paraId="7F89C0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jc w:val="both"/>
              <w:textAlignment w:val="baseline"/>
              <w:rPr>
                <w:rFonts w:hint="default"/>
                <w:sz w:val="24"/>
                <w:szCs w:val="24"/>
                <w:u w:val="none" w:color="auto"/>
              </w:rPr>
            </w:pPr>
            <w:r>
              <w:rPr>
                <w:rFonts w:hint="default"/>
                <w:b/>
                <w:bCs/>
                <w:sz w:val="24"/>
                <w:szCs w:val="24"/>
                <w:u w:val="none" w:color="auto"/>
              </w:rPr>
              <w:t>导电浆（CNTs）：</w:t>
            </w:r>
            <w:r>
              <w:rPr>
                <w:rFonts w:hint="default"/>
                <w:sz w:val="24"/>
                <w:szCs w:val="24"/>
                <w:u w:val="none" w:color="auto"/>
              </w:rPr>
              <w:t>导电浆料又称导电胶，是金属粉、</w:t>
            </w:r>
            <w:r>
              <w:rPr>
                <w:rFonts w:hint="default"/>
                <w:sz w:val="24"/>
                <w:szCs w:val="24"/>
                <w:u w:val="none" w:color="auto"/>
              </w:rPr>
              <w:fldChar w:fldCharType="begin"/>
            </w:r>
            <w:r>
              <w:rPr>
                <w:rFonts w:hint="default"/>
                <w:sz w:val="24"/>
                <w:szCs w:val="24"/>
                <w:u w:val="none" w:color="auto"/>
              </w:rPr>
              <w:instrText xml:space="preserve"> HYPERLINK "https://baike.baidu.com/item/%E7%8E%BB%E7%92%83%E7%B2%89/9561303" \t "_blank" </w:instrText>
            </w:r>
            <w:r>
              <w:rPr>
                <w:rFonts w:hint="default"/>
                <w:sz w:val="24"/>
                <w:szCs w:val="24"/>
                <w:u w:val="none" w:color="auto"/>
              </w:rPr>
              <w:fldChar w:fldCharType="separate"/>
            </w:r>
            <w:r>
              <w:rPr>
                <w:rFonts w:hint="default"/>
                <w:sz w:val="24"/>
                <w:szCs w:val="24"/>
                <w:u w:val="none" w:color="auto"/>
              </w:rPr>
              <w:t>玻璃粉</w:t>
            </w:r>
            <w:r>
              <w:rPr>
                <w:rFonts w:hint="default"/>
                <w:sz w:val="24"/>
                <w:szCs w:val="24"/>
                <w:u w:val="none" w:color="auto"/>
              </w:rPr>
              <w:fldChar w:fldCharType="end"/>
            </w:r>
            <w:r>
              <w:rPr>
                <w:rFonts w:hint="default"/>
                <w:sz w:val="24"/>
                <w:szCs w:val="24"/>
                <w:u w:val="none" w:color="auto"/>
              </w:rPr>
              <w:t>和合成树脂的混合物。其中添加溶剂后可制成涂料或石墨状物。金属粉的粒径约为1~2um，正在开发的有粒径为几十纳米的超微粉的浆料。实用的有Ag、Au、Au-Pd、Cu、Ni等浆料。这些浆料用丝网印刷或其他方法将其涂到基片所需要的部位上，然后在温度为400~1000℃下烧成导电体。主要用于厚膜集成电路的配线、</w:t>
            </w:r>
            <w:r>
              <w:rPr>
                <w:rFonts w:hint="default"/>
                <w:sz w:val="24"/>
                <w:szCs w:val="24"/>
                <w:u w:val="none" w:color="auto"/>
              </w:rPr>
              <w:fldChar w:fldCharType="begin"/>
            </w:r>
            <w:r>
              <w:rPr>
                <w:rFonts w:hint="default"/>
                <w:sz w:val="24"/>
                <w:szCs w:val="24"/>
                <w:u w:val="none" w:color="auto"/>
              </w:rPr>
              <w:instrText xml:space="preserve"> HYPERLINK "https://baike.baidu.com/item/%E9%99%B6%E7%93%B7%E7%94%B5%E5%AE%B9%E5%99%A8/2598526" \t "_blank" </w:instrText>
            </w:r>
            <w:r>
              <w:rPr>
                <w:rFonts w:hint="default"/>
                <w:sz w:val="24"/>
                <w:szCs w:val="24"/>
                <w:u w:val="none" w:color="auto"/>
              </w:rPr>
              <w:fldChar w:fldCharType="separate"/>
            </w:r>
            <w:r>
              <w:rPr>
                <w:rFonts w:hint="default"/>
                <w:sz w:val="24"/>
                <w:szCs w:val="24"/>
                <w:u w:val="none" w:color="auto"/>
              </w:rPr>
              <w:t>陶瓷电容器</w:t>
            </w:r>
            <w:r>
              <w:rPr>
                <w:rFonts w:hint="default"/>
                <w:sz w:val="24"/>
                <w:szCs w:val="24"/>
                <w:u w:val="none" w:color="auto"/>
              </w:rPr>
              <w:fldChar w:fldCharType="end"/>
            </w:r>
            <w:r>
              <w:rPr>
                <w:rFonts w:hint="default"/>
                <w:sz w:val="24"/>
                <w:szCs w:val="24"/>
                <w:u w:val="none" w:color="auto"/>
              </w:rPr>
              <w:t>等电极以及混合集成电路的引线。</w:t>
            </w:r>
          </w:p>
          <w:p w14:paraId="5692A9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jc w:val="both"/>
              <w:textAlignment w:val="baseline"/>
              <w:rPr>
                <w:rFonts w:hint="default"/>
                <w:sz w:val="24"/>
                <w:szCs w:val="24"/>
                <w:u w:val="none" w:color="auto"/>
              </w:rPr>
            </w:pPr>
            <w:r>
              <w:rPr>
                <w:rFonts w:hint="default"/>
                <w:b/>
                <w:bCs/>
                <w:sz w:val="24"/>
                <w:szCs w:val="24"/>
                <w:u w:val="none" w:color="auto"/>
              </w:rPr>
              <w:t>N-甲基吡咯烷酮（C</w:t>
            </w:r>
            <w:r>
              <w:rPr>
                <w:rFonts w:hint="default"/>
                <w:b/>
                <w:bCs/>
                <w:sz w:val="24"/>
                <w:szCs w:val="24"/>
                <w:u w:val="none" w:color="auto"/>
                <w:vertAlign w:val="subscript"/>
              </w:rPr>
              <w:t>5</w:t>
            </w:r>
            <w:r>
              <w:rPr>
                <w:rFonts w:hint="default"/>
                <w:b/>
                <w:bCs/>
                <w:sz w:val="24"/>
                <w:szCs w:val="24"/>
                <w:u w:val="none" w:color="auto"/>
              </w:rPr>
              <w:t>H</w:t>
            </w:r>
            <w:r>
              <w:rPr>
                <w:rFonts w:hint="default"/>
                <w:b/>
                <w:bCs/>
                <w:sz w:val="24"/>
                <w:szCs w:val="24"/>
                <w:u w:val="none" w:color="auto"/>
                <w:vertAlign w:val="subscript"/>
              </w:rPr>
              <w:t>9</w:t>
            </w:r>
            <w:r>
              <w:rPr>
                <w:rFonts w:hint="default"/>
                <w:b/>
                <w:bCs/>
                <w:sz w:val="24"/>
                <w:szCs w:val="24"/>
                <w:u w:val="none" w:color="auto"/>
              </w:rPr>
              <w:t>NO）：</w:t>
            </w:r>
            <w:r>
              <w:rPr>
                <w:rFonts w:hint="default"/>
                <w:sz w:val="24"/>
                <w:szCs w:val="24"/>
                <w:u w:val="none" w:color="auto"/>
              </w:rPr>
              <w:t>简称NMP，无色透明油状液体，微有氨的气味。熔点-24.4℃，沸点203℃，闪点95℃。相对密度1.0260(25/25℃)。能与水、醇、醚、酯、酮、卤代烃、芳烃互溶。挥发度低，热稳定性、化学稳定性均佳，能随水蒸气挥发，有吸湿性。毒性：对皮肤有轻度刺激作用，但未见吸收作用。由于蒸气压低，一次吸入的危险性很小。但慢性作用可致中枢神经系统机能障碍，引起呼吸器官、肾脏、血管系统的病变。小鼠吸入本品蒸气2小时，浓度为0.18~0.20mg/L，可对上呼吸道及眼睛产生轻度的刺激。小鼠灌胃LD</w:t>
            </w:r>
            <w:r>
              <w:rPr>
                <w:rFonts w:hint="default"/>
                <w:sz w:val="24"/>
                <w:szCs w:val="24"/>
                <w:u w:val="none" w:color="auto"/>
                <w:vertAlign w:val="subscript"/>
              </w:rPr>
              <w:t>50</w:t>
            </w:r>
            <w:r>
              <w:rPr>
                <w:rFonts w:hint="default"/>
                <w:sz w:val="24"/>
                <w:szCs w:val="24"/>
                <w:u w:val="none" w:color="auto"/>
              </w:rPr>
              <w:t>为5200mg/kg，大鼠灌胃LD</w:t>
            </w:r>
            <w:r>
              <w:rPr>
                <w:rFonts w:hint="default"/>
                <w:sz w:val="24"/>
                <w:szCs w:val="24"/>
                <w:u w:val="none" w:color="auto"/>
                <w:vertAlign w:val="subscript"/>
              </w:rPr>
              <w:t>50</w:t>
            </w:r>
            <w:r>
              <w:rPr>
                <w:rFonts w:hint="default"/>
                <w:sz w:val="24"/>
                <w:szCs w:val="24"/>
                <w:u w:val="none" w:color="auto"/>
              </w:rPr>
              <w:t>为7900mg/kg，半数致死量（大鼠，经口）3.8ml/kg。工作场所最高容许浓度100mg/m</w:t>
            </w:r>
            <w:r>
              <w:rPr>
                <w:rFonts w:hint="default"/>
                <w:sz w:val="24"/>
                <w:szCs w:val="24"/>
                <w:u w:val="none" w:color="auto"/>
                <w:vertAlign w:val="superscript"/>
              </w:rPr>
              <w:t>3</w:t>
            </w:r>
            <w:r>
              <w:rPr>
                <w:rFonts w:hint="default"/>
                <w:sz w:val="24"/>
                <w:szCs w:val="24"/>
                <w:u w:val="none" w:color="auto"/>
              </w:rPr>
              <w:t>。现场操作人员应戴口罩、防护眼镜及手套。用途：在锂电、医药、农药、颜料、清洗剂、绝缘材料等行业中广泛应用。</w:t>
            </w:r>
          </w:p>
          <w:p w14:paraId="640D0B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jc w:val="both"/>
              <w:textAlignment w:val="baseline"/>
              <w:rPr>
                <w:rFonts w:hint="default"/>
                <w:sz w:val="24"/>
                <w:szCs w:val="24"/>
                <w:u w:val="none" w:color="auto"/>
              </w:rPr>
            </w:pPr>
            <w:r>
              <w:rPr>
                <w:rFonts w:hint="default"/>
                <w:b/>
                <w:bCs/>
                <w:sz w:val="24"/>
                <w:szCs w:val="24"/>
                <w:u w:val="none" w:color="auto"/>
              </w:rPr>
              <w:t>羧甲基纤维素钠（CMC）：</w:t>
            </w:r>
            <w:r>
              <w:rPr>
                <w:rFonts w:hint="default"/>
                <w:sz w:val="24"/>
                <w:szCs w:val="24"/>
                <w:u w:val="none" w:color="auto"/>
              </w:rPr>
              <w:t>一种重要的纤维素醚，是天然纤维经过化学改性后所获得的一种水溶性好的聚阴离子纤维素化合物，易溶于冷热水。CMC为白色或微黄色粉末、粒状或纤维状固体，无臭、无味、无毒；能够吸水膨胀，在水中溶胀时，可以形成透明的粘稠胶液，在酸碱度方面表现为中性；它具有增稠、分散、悬浮、粘合、成膜、保护胶体和保护水分等优良性能，可作为絮凝剂、螯合剂、乳化剂、增稠剂、保水剂、上浆剂、成膜材料等，还广泛应用于电子、农药、皮革、塑料、印刷、陶瓷、日用化工等领域；固体CMC对光及室温均较稳定，在干燥的环境中，可以长期保存。</w:t>
            </w:r>
          </w:p>
          <w:p w14:paraId="0993C7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jc w:val="both"/>
              <w:textAlignment w:val="baseline"/>
              <w:rPr>
                <w:rFonts w:hint="default"/>
                <w:sz w:val="24"/>
                <w:szCs w:val="24"/>
                <w:u w:val="none" w:color="auto"/>
              </w:rPr>
            </w:pPr>
            <w:r>
              <w:rPr>
                <w:rFonts w:hint="default"/>
                <w:b/>
                <w:bCs/>
                <w:sz w:val="24"/>
                <w:szCs w:val="24"/>
                <w:u w:val="none" w:color="auto"/>
              </w:rPr>
              <w:t>丁苯橡胶（SBR）：</w:t>
            </w:r>
            <w:r>
              <w:rPr>
                <w:rFonts w:hint="default"/>
                <w:sz w:val="24"/>
                <w:szCs w:val="24"/>
                <w:u w:val="none" w:color="auto"/>
              </w:rPr>
              <w:t>是1,3-丁二烯和</w:t>
            </w:r>
            <w:r>
              <w:rPr>
                <w:rFonts w:hint="default"/>
                <w:sz w:val="24"/>
                <w:szCs w:val="24"/>
                <w:u w:val="none" w:color="auto"/>
              </w:rPr>
              <w:fldChar w:fldCharType="begin"/>
            </w:r>
            <w:r>
              <w:rPr>
                <w:rFonts w:hint="default"/>
                <w:sz w:val="24"/>
                <w:szCs w:val="24"/>
                <w:u w:val="none" w:color="auto"/>
              </w:rPr>
              <w:instrText xml:space="preserve"> HYPERLINK "http://baike.baidu.com/view/127689.htm" </w:instrText>
            </w:r>
            <w:r>
              <w:rPr>
                <w:rFonts w:hint="default"/>
                <w:sz w:val="24"/>
                <w:szCs w:val="24"/>
                <w:u w:val="none" w:color="auto"/>
              </w:rPr>
              <w:fldChar w:fldCharType="separate"/>
            </w:r>
            <w:r>
              <w:rPr>
                <w:rFonts w:hint="default"/>
                <w:sz w:val="24"/>
                <w:szCs w:val="24"/>
                <w:u w:val="none" w:color="auto"/>
              </w:rPr>
              <w:t>苯乙烯</w:t>
            </w:r>
            <w:r>
              <w:rPr>
                <w:rFonts w:hint="default"/>
                <w:sz w:val="24"/>
                <w:szCs w:val="24"/>
                <w:u w:val="none" w:color="auto"/>
              </w:rPr>
              <w:fldChar w:fldCharType="end"/>
            </w:r>
            <w:r>
              <w:rPr>
                <w:rFonts w:hint="default"/>
                <w:sz w:val="24"/>
                <w:szCs w:val="24"/>
                <w:u w:val="none" w:color="auto"/>
              </w:rPr>
              <w:t>经</w:t>
            </w:r>
            <w:r>
              <w:rPr>
                <w:rFonts w:hint="default"/>
                <w:sz w:val="24"/>
                <w:szCs w:val="24"/>
                <w:u w:val="none" w:color="auto"/>
              </w:rPr>
              <w:fldChar w:fldCharType="begin"/>
            </w:r>
            <w:r>
              <w:rPr>
                <w:rFonts w:hint="default"/>
                <w:sz w:val="24"/>
                <w:szCs w:val="24"/>
                <w:u w:val="none" w:color="auto"/>
              </w:rPr>
              <w:instrText xml:space="preserve"> HYPERLINK "http://baike.baidu.com/view/2197687.htm" </w:instrText>
            </w:r>
            <w:r>
              <w:rPr>
                <w:rFonts w:hint="default"/>
                <w:sz w:val="24"/>
                <w:szCs w:val="24"/>
                <w:u w:val="none" w:color="auto"/>
              </w:rPr>
              <w:fldChar w:fldCharType="separate"/>
            </w:r>
            <w:r>
              <w:rPr>
                <w:rFonts w:hint="default"/>
                <w:sz w:val="24"/>
                <w:szCs w:val="24"/>
                <w:u w:val="none" w:color="auto"/>
              </w:rPr>
              <w:t>共聚</w:t>
            </w:r>
            <w:r>
              <w:rPr>
                <w:rFonts w:hint="default"/>
                <w:sz w:val="24"/>
                <w:szCs w:val="24"/>
                <w:u w:val="none" w:color="auto"/>
              </w:rPr>
              <w:fldChar w:fldCharType="end"/>
            </w:r>
            <w:r>
              <w:rPr>
                <w:rFonts w:hint="default"/>
                <w:sz w:val="24"/>
                <w:szCs w:val="24"/>
                <w:u w:val="none" w:color="auto"/>
              </w:rPr>
              <w:t>制得的弹性体，丁苯橡胶是</w:t>
            </w:r>
            <w:r>
              <w:rPr>
                <w:rFonts w:hint="default"/>
                <w:sz w:val="24"/>
                <w:szCs w:val="24"/>
                <w:u w:val="none" w:color="auto"/>
              </w:rPr>
              <w:fldChar w:fldCharType="begin"/>
            </w:r>
            <w:r>
              <w:rPr>
                <w:rFonts w:hint="default"/>
                <w:sz w:val="24"/>
                <w:szCs w:val="24"/>
                <w:u w:val="none" w:color="auto"/>
              </w:rPr>
              <w:instrText xml:space="preserve"> HYPERLINK "http://baike.baidu.com/view/45327.htm" </w:instrText>
            </w:r>
            <w:r>
              <w:rPr>
                <w:rFonts w:hint="default"/>
                <w:sz w:val="24"/>
                <w:szCs w:val="24"/>
                <w:u w:val="none" w:color="auto"/>
              </w:rPr>
              <w:fldChar w:fldCharType="separate"/>
            </w:r>
            <w:r>
              <w:rPr>
                <w:rFonts w:hint="default"/>
                <w:sz w:val="24"/>
                <w:szCs w:val="24"/>
                <w:u w:val="none" w:color="auto"/>
              </w:rPr>
              <w:t>合成橡胶</w:t>
            </w:r>
            <w:r>
              <w:rPr>
                <w:rFonts w:hint="default"/>
                <w:sz w:val="24"/>
                <w:szCs w:val="24"/>
                <w:u w:val="none" w:color="auto"/>
              </w:rPr>
              <w:fldChar w:fldCharType="end"/>
            </w:r>
            <w:r>
              <w:rPr>
                <w:rFonts w:hint="default"/>
                <w:sz w:val="24"/>
                <w:szCs w:val="24"/>
                <w:u w:val="none" w:color="auto"/>
              </w:rPr>
              <w:t>的一种，常温下为白色固体或透明无悬浮物液体，有微芳香味。</w:t>
            </w:r>
          </w:p>
          <w:p w14:paraId="283ED8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2" w:firstLineChars="200"/>
              <w:jc w:val="both"/>
              <w:textAlignment w:val="auto"/>
              <w:rPr>
                <w:rFonts w:hint="default" w:ascii="Times New Roman" w:hAnsi="Times New Roman" w:eastAsia="宋体" w:cs="Times New Roman"/>
                <w:sz w:val="24"/>
                <w:szCs w:val="24"/>
                <w:u w:val="none" w:color="auto"/>
              </w:rPr>
            </w:pPr>
            <w:r>
              <w:rPr>
                <w:rFonts w:hint="default"/>
                <w:b/>
                <w:bCs/>
                <w:sz w:val="24"/>
                <w:szCs w:val="24"/>
                <w:u w:val="none" w:color="auto"/>
              </w:rPr>
              <w:t>电解液：</w:t>
            </w:r>
            <w:r>
              <w:rPr>
                <w:rFonts w:hint="eastAsia"/>
                <w:b w:val="0"/>
                <w:bCs w:val="0"/>
                <w:sz w:val="24"/>
                <w:szCs w:val="24"/>
                <w:u w:val="none" w:color="auto"/>
                <w:lang w:val="en-US" w:eastAsia="zh-CN"/>
              </w:rPr>
              <w:t>主要成分为无色透明液体，主要成分为EC（10%）、DMC（10%）、EMC（10%）、碳酸丙烯酯（10%）和六氟磷酸锂（60%）</w:t>
            </w:r>
            <w:r>
              <w:rPr>
                <w:rFonts w:hint="default"/>
                <w:sz w:val="24"/>
                <w:szCs w:val="24"/>
                <w:u w:val="none" w:color="auto"/>
              </w:rPr>
              <w:t>。碳酸二甲酯简称DMC，常温时是一种无色透明、略有气味、微甜的液体，熔点4℃，沸点90.1℃，密度</w:t>
            </w:r>
            <w:r>
              <w:rPr>
                <w:rFonts w:hint="eastAsia"/>
                <w:sz w:val="24"/>
                <w:szCs w:val="24"/>
                <w:u w:val="none" w:color="auto"/>
                <w:lang w:val="en-US" w:eastAsia="zh-CN"/>
              </w:rPr>
              <w:t>1500</w:t>
            </w:r>
            <w:r>
              <w:rPr>
                <w:rFonts w:hint="default"/>
                <w:sz w:val="24"/>
                <w:szCs w:val="24"/>
                <w:u w:val="none" w:color="auto"/>
              </w:rPr>
              <w:t xml:space="preserve"> g/cm</w:t>
            </w:r>
            <w:r>
              <w:rPr>
                <w:rFonts w:hint="default"/>
                <w:sz w:val="24"/>
                <w:szCs w:val="24"/>
                <w:u w:val="none" w:color="auto"/>
                <w:vertAlign w:val="superscript"/>
              </w:rPr>
              <w:t>3</w:t>
            </w:r>
            <w:r>
              <w:rPr>
                <w:rFonts w:hint="eastAsia"/>
                <w:sz w:val="24"/>
                <w:szCs w:val="24"/>
                <w:u w:val="none" w:color="auto"/>
                <w:lang w:eastAsia="zh-CN"/>
              </w:rPr>
              <w:t>，</w:t>
            </w:r>
            <w:r>
              <w:rPr>
                <w:rFonts w:hint="default"/>
                <w:sz w:val="24"/>
                <w:szCs w:val="24"/>
                <w:u w:val="none" w:color="auto"/>
              </w:rPr>
              <w:t>难溶于水，但可以与醇、醚、酮等几乎所有的</w:t>
            </w:r>
            <w:r>
              <w:rPr>
                <w:rFonts w:hint="default"/>
                <w:sz w:val="24"/>
                <w:szCs w:val="24"/>
                <w:u w:val="none" w:color="auto"/>
              </w:rPr>
              <w:fldChar w:fldCharType="begin"/>
            </w:r>
            <w:r>
              <w:rPr>
                <w:rFonts w:hint="default"/>
                <w:sz w:val="24"/>
                <w:szCs w:val="24"/>
                <w:u w:val="none" w:color="auto"/>
              </w:rPr>
              <w:instrText xml:space="preserve"> HYPERLINK "https://baike.so.com/doc/4792021-5008084.html" \t "_blank" </w:instrText>
            </w:r>
            <w:r>
              <w:rPr>
                <w:rFonts w:hint="default"/>
                <w:sz w:val="24"/>
                <w:szCs w:val="24"/>
                <w:u w:val="none" w:color="auto"/>
              </w:rPr>
              <w:fldChar w:fldCharType="separate"/>
            </w:r>
            <w:r>
              <w:rPr>
                <w:rFonts w:hint="default"/>
                <w:sz w:val="24"/>
                <w:szCs w:val="24"/>
                <w:u w:val="none" w:color="auto"/>
              </w:rPr>
              <w:t>有机溶剂</w:t>
            </w:r>
            <w:r>
              <w:rPr>
                <w:rFonts w:hint="default"/>
                <w:sz w:val="24"/>
                <w:szCs w:val="24"/>
                <w:u w:val="none" w:color="auto"/>
              </w:rPr>
              <w:fldChar w:fldCharType="end"/>
            </w:r>
            <w:r>
              <w:rPr>
                <w:rFonts w:hint="default"/>
                <w:sz w:val="24"/>
                <w:szCs w:val="24"/>
                <w:u w:val="none" w:color="auto"/>
              </w:rPr>
              <w:t>混溶。DMC在</w:t>
            </w:r>
            <w:r>
              <w:rPr>
                <w:rFonts w:hint="default"/>
                <w:sz w:val="24"/>
                <w:szCs w:val="24"/>
                <w:u w:val="none" w:color="auto"/>
              </w:rPr>
              <w:fldChar w:fldCharType="begin"/>
            </w:r>
            <w:r>
              <w:rPr>
                <w:rFonts w:hint="default"/>
                <w:sz w:val="24"/>
                <w:szCs w:val="24"/>
                <w:u w:val="none" w:color="auto"/>
              </w:rPr>
              <w:instrText xml:space="preserve"> HYPERLINK "https://baike.so.com/doc/221095-233877.html" \t "_blank" </w:instrText>
            </w:r>
            <w:r>
              <w:rPr>
                <w:rFonts w:hint="default"/>
                <w:sz w:val="24"/>
                <w:szCs w:val="24"/>
                <w:u w:val="none" w:color="auto"/>
              </w:rPr>
              <w:fldChar w:fldCharType="separate"/>
            </w:r>
            <w:r>
              <w:rPr>
                <w:rFonts w:hint="default"/>
                <w:sz w:val="24"/>
                <w:szCs w:val="24"/>
                <w:u w:val="none" w:color="auto"/>
              </w:rPr>
              <w:t>常压</w:t>
            </w:r>
            <w:r>
              <w:rPr>
                <w:rFonts w:hint="default"/>
                <w:sz w:val="24"/>
                <w:szCs w:val="24"/>
                <w:u w:val="none" w:color="auto"/>
              </w:rPr>
              <w:fldChar w:fldCharType="end"/>
            </w:r>
            <w:r>
              <w:rPr>
                <w:rFonts w:hint="default"/>
                <w:sz w:val="24"/>
                <w:szCs w:val="24"/>
                <w:u w:val="none" w:color="auto"/>
              </w:rPr>
              <w:t>下和甲醇</w:t>
            </w:r>
            <w:r>
              <w:rPr>
                <w:rFonts w:hint="default"/>
                <w:sz w:val="24"/>
                <w:szCs w:val="24"/>
                <w:u w:val="none" w:color="auto"/>
              </w:rPr>
              <w:fldChar w:fldCharType="begin"/>
            </w:r>
            <w:r>
              <w:rPr>
                <w:rFonts w:hint="default"/>
                <w:sz w:val="24"/>
                <w:szCs w:val="24"/>
                <w:u w:val="none" w:color="auto"/>
              </w:rPr>
              <w:instrText xml:space="preserve"> HYPERLINK "https://baike.so.com/doc/1319098-1394585.html" \t "_blank" </w:instrText>
            </w:r>
            <w:r>
              <w:rPr>
                <w:rFonts w:hint="default"/>
                <w:sz w:val="24"/>
                <w:szCs w:val="24"/>
                <w:u w:val="none" w:color="auto"/>
              </w:rPr>
              <w:fldChar w:fldCharType="separate"/>
            </w:r>
            <w:r>
              <w:rPr>
                <w:rFonts w:hint="default"/>
                <w:sz w:val="24"/>
                <w:szCs w:val="24"/>
                <w:u w:val="none" w:color="auto"/>
              </w:rPr>
              <w:t>共沸</w:t>
            </w:r>
            <w:r>
              <w:rPr>
                <w:rFonts w:hint="default"/>
                <w:sz w:val="24"/>
                <w:szCs w:val="24"/>
                <w:u w:val="none" w:color="auto"/>
              </w:rPr>
              <w:fldChar w:fldCharType="end"/>
            </w:r>
            <w:r>
              <w:rPr>
                <w:rFonts w:hint="default"/>
                <w:sz w:val="24"/>
                <w:szCs w:val="24"/>
                <w:u w:val="none" w:color="auto"/>
              </w:rPr>
              <w:t>，共沸温度63.8℃。DMC</w:t>
            </w:r>
            <w:r>
              <w:rPr>
                <w:rFonts w:hint="default"/>
                <w:sz w:val="24"/>
                <w:szCs w:val="24"/>
                <w:u w:val="none" w:color="auto"/>
              </w:rPr>
              <w:fldChar w:fldCharType="begin"/>
            </w:r>
            <w:r>
              <w:rPr>
                <w:rFonts w:hint="default"/>
                <w:sz w:val="24"/>
                <w:szCs w:val="24"/>
                <w:u w:val="none" w:color="auto"/>
              </w:rPr>
              <w:instrText xml:space="preserve"> HYPERLINK "https://baike.so.com/doc/5993718-6206689.html" \t "_blank" </w:instrText>
            </w:r>
            <w:r>
              <w:rPr>
                <w:rFonts w:hint="default"/>
                <w:sz w:val="24"/>
                <w:szCs w:val="24"/>
                <w:u w:val="none" w:color="auto"/>
              </w:rPr>
              <w:fldChar w:fldCharType="separate"/>
            </w:r>
            <w:r>
              <w:rPr>
                <w:rFonts w:hint="default"/>
                <w:sz w:val="24"/>
                <w:szCs w:val="24"/>
                <w:u w:val="none" w:color="auto"/>
              </w:rPr>
              <w:t>毒性</w:t>
            </w:r>
            <w:r>
              <w:rPr>
                <w:rFonts w:hint="default"/>
                <w:sz w:val="24"/>
                <w:szCs w:val="24"/>
                <w:u w:val="none" w:color="auto"/>
              </w:rPr>
              <w:fldChar w:fldCharType="end"/>
            </w:r>
            <w:r>
              <w:rPr>
                <w:rFonts w:hint="default"/>
                <w:sz w:val="24"/>
                <w:szCs w:val="24"/>
                <w:u w:val="none" w:color="auto"/>
              </w:rPr>
              <w:t>很低，在1992年就被欧洲列为无毒产品，是一种符合现代"清洁工艺"要求的环保型化工原料。六氟磷酸锂是电解液成分最重要的组成部分。</w:t>
            </w:r>
          </w:p>
          <w:p w14:paraId="74C2FF3C">
            <w:pPr>
              <w:pStyle w:val="3"/>
              <w:keepNext w:val="0"/>
              <w:keepLines w:val="0"/>
              <w:pageBreakBefore w:val="0"/>
              <w:kinsoku/>
              <w:wordWrap/>
              <w:overflowPunct/>
              <w:topLinePunct w:val="0"/>
              <w:autoSpaceDE/>
              <w:autoSpaceDN/>
              <w:bidi w:val="0"/>
              <w:adjustRightInd w:val="0"/>
              <w:snapToGrid w:val="0"/>
              <w:spacing w:after="0" w:line="440" w:lineRule="exact"/>
              <w:ind w:left="0" w:leftChars="0" w:firstLine="482" w:firstLineChars="200"/>
              <w:textAlignment w:val="auto"/>
              <w:rPr>
                <w:rFonts w:hint="default" w:eastAsia="宋体"/>
                <w:b/>
                <w:color w:val="000000" w:themeColor="text1"/>
                <w:szCs w:val="24"/>
                <w:u w:val="none" w:color="auto"/>
                <w:lang w:val="en-US" w:eastAsia="zh-CN"/>
                <w14:textFill>
                  <w14:solidFill>
                    <w14:schemeClr w14:val="tx1"/>
                  </w14:solidFill>
                </w14:textFill>
              </w:rPr>
            </w:pPr>
            <w:r>
              <w:rPr>
                <w:rFonts w:hint="eastAsia"/>
                <w:b/>
                <w:color w:val="000000" w:themeColor="text1"/>
                <w:szCs w:val="24"/>
                <w:u w:val="none" w:color="auto"/>
                <w:lang w:val="en-US" w:eastAsia="zh-CN"/>
                <w14:textFill>
                  <w14:solidFill>
                    <w14:schemeClr w14:val="tx1"/>
                  </w14:solidFill>
                </w14:textFill>
              </w:rPr>
              <w:t>6</w:t>
            </w:r>
            <w:r>
              <w:rPr>
                <w:rFonts w:hint="eastAsia"/>
                <w:b/>
                <w:color w:val="000000" w:themeColor="text1"/>
                <w:szCs w:val="24"/>
                <w:u w:val="none" w:color="auto"/>
                <w14:textFill>
                  <w14:solidFill>
                    <w14:schemeClr w14:val="tx1"/>
                  </w14:solidFill>
                </w14:textFill>
              </w:rPr>
              <w:t>、</w:t>
            </w:r>
            <w:r>
              <w:rPr>
                <w:rFonts w:hint="eastAsia"/>
                <w:b/>
                <w:color w:val="000000" w:themeColor="text1"/>
                <w:szCs w:val="24"/>
                <w:u w:val="none" w:color="auto"/>
                <w:lang w:val="en-US" w:eastAsia="zh-CN"/>
                <w14:textFill>
                  <w14:solidFill>
                    <w14:schemeClr w14:val="tx1"/>
                  </w14:solidFill>
                </w14:textFill>
              </w:rPr>
              <w:t>水平衡分析</w:t>
            </w:r>
          </w:p>
          <w:p w14:paraId="08573F6D">
            <w:pPr>
              <w:keepNext w:val="0"/>
              <w:keepLines w:val="0"/>
              <w:pageBreakBefore w:val="0"/>
              <w:kinsoku/>
              <w:wordWrap/>
              <w:overflowPunct/>
              <w:topLinePunct w:val="0"/>
              <w:autoSpaceDE/>
              <w:autoSpaceDN/>
              <w:bidi w:val="0"/>
              <w:spacing w:line="440" w:lineRule="exact"/>
              <w:ind w:firstLine="480" w:firstLineChars="200"/>
              <w:textAlignment w:val="auto"/>
              <w:rPr>
                <w:rFonts w:hint="eastAsia"/>
                <w:color w:val="000000" w:themeColor="text1"/>
                <w:sz w:val="24"/>
                <w:u w:val="none" w:color="auto"/>
                <w14:textFill>
                  <w14:solidFill>
                    <w14:schemeClr w14:val="tx1"/>
                  </w14:solidFill>
                </w14:textFill>
              </w:rPr>
            </w:pPr>
            <w:r>
              <w:rPr>
                <w:rFonts w:hint="eastAsia"/>
                <w:color w:val="000000" w:themeColor="text1"/>
                <w:sz w:val="24"/>
                <w:u w:val="none" w:color="auto"/>
                <w14:textFill>
                  <w14:solidFill>
                    <w14:schemeClr w14:val="tx1"/>
                  </w14:solidFill>
                </w14:textFill>
              </w:rPr>
              <w:t>本项目用水主要包括生产用水、生活用水。本项目用水情况分析如下。</w:t>
            </w:r>
          </w:p>
          <w:p w14:paraId="6CBB44D6">
            <w:pPr>
              <w:keepNext w:val="0"/>
              <w:keepLines w:val="0"/>
              <w:pageBreakBefore w:val="0"/>
              <w:kinsoku/>
              <w:wordWrap/>
              <w:overflowPunct/>
              <w:topLinePunct w:val="0"/>
              <w:autoSpaceDE/>
              <w:autoSpaceDN/>
              <w:bidi w:val="0"/>
              <w:spacing w:line="440" w:lineRule="exact"/>
              <w:ind w:firstLine="482" w:firstLineChars="200"/>
              <w:textAlignment w:val="auto"/>
              <w:rPr>
                <w:rFonts w:hint="default"/>
                <w:b/>
                <w:bCs/>
                <w:color w:val="000000"/>
                <w:sz w:val="24"/>
                <w:u w:val="none" w:color="auto"/>
                <w:lang w:val="en-US" w:eastAsia="zh-CN"/>
              </w:rPr>
            </w:pPr>
            <w:r>
              <w:rPr>
                <w:rFonts w:hint="eastAsia"/>
                <w:b/>
                <w:bCs/>
                <w:color w:val="000000"/>
                <w:sz w:val="24"/>
                <w:u w:val="none" w:color="auto"/>
                <w:lang w:val="en-US" w:eastAsia="zh-CN"/>
              </w:rPr>
              <w:t>1、项目用水</w:t>
            </w:r>
          </w:p>
          <w:p w14:paraId="7B8EE1C7">
            <w:pPr>
              <w:keepNext w:val="0"/>
              <w:keepLines w:val="0"/>
              <w:pageBreakBefore w:val="0"/>
              <w:kinsoku/>
              <w:wordWrap/>
              <w:overflowPunct/>
              <w:topLinePunct w:val="0"/>
              <w:autoSpaceDE/>
              <w:autoSpaceDN/>
              <w:bidi w:val="0"/>
              <w:spacing w:line="440" w:lineRule="exact"/>
              <w:ind w:firstLine="482" w:firstLineChars="200"/>
              <w:textAlignment w:val="auto"/>
              <w:rPr>
                <w:rFonts w:hint="default"/>
                <w:b/>
                <w:bCs/>
                <w:color w:val="000000"/>
                <w:sz w:val="24"/>
                <w:u w:val="none" w:color="auto"/>
                <w:lang w:val="en-US" w:eastAsia="zh-CN"/>
              </w:rPr>
            </w:pPr>
            <w:r>
              <w:rPr>
                <w:rFonts w:hint="eastAsia"/>
                <w:b/>
                <w:bCs/>
                <w:color w:val="000000"/>
                <w:sz w:val="24"/>
                <w:u w:val="none" w:color="auto"/>
                <w:lang w:val="en-US" w:eastAsia="zh-CN"/>
              </w:rPr>
              <w:t>（1）生产用水</w:t>
            </w:r>
          </w:p>
          <w:p w14:paraId="74BA159A">
            <w:pPr>
              <w:keepNext w:val="0"/>
              <w:keepLines w:val="0"/>
              <w:pageBreakBefore w:val="0"/>
              <w:kinsoku/>
              <w:wordWrap/>
              <w:overflowPunct/>
              <w:topLinePunct w:val="0"/>
              <w:autoSpaceDE/>
              <w:autoSpaceDN/>
              <w:bidi w:val="0"/>
              <w:spacing w:line="440" w:lineRule="exact"/>
              <w:ind w:firstLine="480" w:firstLineChars="200"/>
              <w:textAlignment w:val="auto"/>
              <w:rPr>
                <w:rFonts w:hint="eastAsia" w:eastAsia="宋体"/>
                <w:color w:val="000000"/>
                <w:sz w:val="24"/>
                <w:u w:val="none" w:color="auto"/>
                <w:lang w:val="en-US" w:eastAsia="zh-CN"/>
              </w:rPr>
            </w:pPr>
            <w:r>
              <w:rPr>
                <w:rFonts w:hint="eastAsia"/>
                <w:color w:val="000000"/>
                <w:sz w:val="24"/>
                <w:u w:val="none" w:color="auto"/>
              </w:rPr>
              <w:t>本项目生产用水主要包括</w:t>
            </w:r>
            <w:r>
              <w:rPr>
                <w:rFonts w:hint="eastAsia"/>
                <w:color w:val="000000"/>
                <w:sz w:val="24"/>
                <w:u w:val="none" w:color="auto"/>
                <w:lang w:val="en-US" w:eastAsia="zh-CN"/>
              </w:rPr>
              <w:t>设备、地面清洗用水、纯水制备用水、电池清洗用水、</w:t>
            </w:r>
            <w:r>
              <w:rPr>
                <w:rFonts w:hint="eastAsia"/>
                <w:color w:val="000000"/>
                <w:sz w:val="24"/>
                <w:u w:val="none" w:color="auto"/>
              </w:rPr>
              <w:t>设备循环冷却水和水喷淋系统用水</w:t>
            </w:r>
            <w:r>
              <w:rPr>
                <w:rFonts w:hint="eastAsia"/>
                <w:color w:val="000000"/>
                <w:sz w:val="24"/>
                <w:u w:val="none" w:color="auto"/>
                <w:lang w:eastAsia="zh-CN"/>
              </w:rPr>
              <w:t>。</w:t>
            </w:r>
          </w:p>
          <w:p w14:paraId="55F55186">
            <w:pPr>
              <w:keepNext w:val="0"/>
              <w:keepLines w:val="0"/>
              <w:pageBreakBefore w:val="0"/>
              <w:kinsoku/>
              <w:wordWrap/>
              <w:overflowPunct/>
              <w:topLinePunct w:val="0"/>
              <w:autoSpaceDE/>
              <w:autoSpaceDN/>
              <w:bidi w:val="0"/>
              <w:spacing w:line="440" w:lineRule="exact"/>
              <w:ind w:firstLine="482" w:firstLineChars="200"/>
              <w:textAlignment w:val="auto"/>
              <w:rPr>
                <w:rFonts w:hint="default" w:eastAsia="宋体"/>
                <w:b/>
                <w:bCs w:val="0"/>
                <w:color w:val="000000"/>
                <w:sz w:val="24"/>
                <w:u w:val="none" w:color="auto"/>
                <w:lang w:val="en-US" w:eastAsia="zh-CN"/>
              </w:rPr>
            </w:pPr>
            <w:r>
              <w:rPr>
                <w:rFonts w:hAnsi="宋体"/>
                <w:b/>
                <w:bCs w:val="0"/>
                <w:color w:val="000000"/>
                <w:sz w:val="24"/>
                <w:u w:val="none" w:color="auto"/>
              </w:rPr>
              <w:fldChar w:fldCharType="begin"/>
            </w:r>
            <w:r>
              <w:rPr>
                <w:rFonts w:hAnsi="宋体"/>
                <w:b/>
                <w:bCs w:val="0"/>
                <w:color w:val="000000"/>
                <w:sz w:val="24"/>
                <w:u w:val="none" w:color="auto"/>
              </w:rPr>
              <w:instrText xml:space="preserve"> </w:instrText>
            </w:r>
            <w:r>
              <w:rPr>
                <w:rFonts w:hint="eastAsia" w:hAnsi="宋体"/>
                <w:b/>
                <w:bCs w:val="0"/>
                <w:color w:val="000000"/>
                <w:sz w:val="24"/>
                <w:u w:val="none" w:color="auto"/>
              </w:rPr>
              <w:instrText xml:space="preserve">= 1 \* GB3</w:instrText>
            </w:r>
            <w:r>
              <w:rPr>
                <w:rFonts w:hAnsi="宋体"/>
                <w:b/>
                <w:bCs w:val="0"/>
                <w:color w:val="000000"/>
                <w:sz w:val="24"/>
                <w:u w:val="none" w:color="auto"/>
              </w:rPr>
              <w:instrText xml:space="preserve"> </w:instrText>
            </w:r>
            <w:r>
              <w:rPr>
                <w:rFonts w:hAnsi="宋体"/>
                <w:b/>
                <w:bCs w:val="0"/>
                <w:color w:val="000000"/>
                <w:sz w:val="24"/>
                <w:u w:val="none" w:color="auto"/>
              </w:rPr>
              <w:fldChar w:fldCharType="separate"/>
            </w:r>
            <w:r>
              <w:rPr>
                <w:rFonts w:hint="eastAsia" w:hAnsi="宋体"/>
                <w:b/>
                <w:bCs w:val="0"/>
                <w:color w:val="000000"/>
                <w:sz w:val="24"/>
                <w:u w:val="none" w:color="auto"/>
              </w:rPr>
              <w:t>①</w:t>
            </w:r>
            <w:r>
              <w:rPr>
                <w:rFonts w:hAnsi="宋体"/>
                <w:b/>
                <w:bCs w:val="0"/>
                <w:color w:val="000000"/>
                <w:sz w:val="24"/>
                <w:u w:val="none" w:color="auto"/>
              </w:rPr>
              <w:fldChar w:fldCharType="end"/>
            </w:r>
            <w:r>
              <w:rPr>
                <w:rFonts w:hint="eastAsia" w:hAnsi="宋体"/>
                <w:b/>
                <w:bCs w:val="0"/>
                <w:color w:val="000000"/>
                <w:sz w:val="24"/>
                <w:u w:val="none" w:color="auto"/>
                <w:lang w:val="en-US" w:eastAsia="zh-CN"/>
              </w:rPr>
              <w:t>设备、地面清洗用水</w:t>
            </w:r>
          </w:p>
          <w:p w14:paraId="235479D0">
            <w:pPr>
              <w:keepNext w:val="0"/>
              <w:keepLines w:val="0"/>
              <w:pageBreakBefore w:val="0"/>
              <w:kinsoku/>
              <w:wordWrap/>
              <w:overflowPunct/>
              <w:topLinePunct w:val="0"/>
              <w:autoSpaceDE/>
              <w:autoSpaceDN/>
              <w:bidi w:val="0"/>
              <w:spacing w:line="440" w:lineRule="exact"/>
              <w:ind w:firstLine="480" w:firstLineChars="200"/>
              <w:textAlignment w:val="auto"/>
              <w:rPr>
                <w:rFonts w:hint="eastAsia"/>
                <w:color w:val="000000"/>
                <w:sz w:val="24"/>
                <w:u w:val="none" w:color="auto"/>
                <w:lang w:val="en-US" w:eastAsia="zh-CN"/>
              </w:rPr>
            </w:pPr>
            <w:r>
              <w:rPr>
                <w:rFonts w:hint="eastAsia"/>
                <w:color w:val="000000"/>
                <w:sz w:val="24"/>
                <w:u w:val="none" w:color="auto"/>
                <w:lang w:val="en-US" w:eastAsia="zh-CN"/>
              </w:rPr>
              <w:t>项目生产过程中需要对车间匀浆系统的搅拌机以及自动上浆系统等设备进行定期清洗，本项目匀浆系统设备3天清洗一次，清洗前先将设备中残存的原料进行清除、收集，清理干净后的设备再用水冲洗，每次设备清洗用水量约1.8</w:t>
            </w:r>
            <w:r>
              <w:rPr>
                <w:rFonts w:hint="eastAsia"/>
                <w:color w:val="000000" w:themeColor="text1"/>
                <w:sz w:val="24"/>
                <w:u w:val="none" w:color="auto"/>
                <w:lang w:val="en-US" w:eastAsia="zh-CN"/>
                <w14:textFill>
                  <w14:solidFill>
                    <w14:schemeClr w14:val="tx1"/>
                  </w14:solidFill>
                </w14:textFill>
              </w:rPr>
              <w:t>m</w:t>
            </w:r>
            <w:r>
              <w:rPr>
                <w:rFonts w:hint="eastAsia"/>
                <w:color w:val="000000" w:themeColor="text1"/>
                <w:sz w:val="24"/>
                <w:u w:val="none" w:color="auto"/>
                <w:vertAlign w:val="superscript"/>
                <w:lang w:val="en-US" w:eastAsia="zh-CN"/>
                <w14:textFill>
                  <w14:solidFill>
                    <w14:schemeClr w14:val="tx1"/>
                  </w14:solidFill>
                </w14:textFill>
              </w:rPr>
              <w:t>3</w:t>
            </w:r>
            <w:r>
              <w:rPr>
                <w:rFonts w:hint="eastAsia"/>
                <w:color w:val="000000" w:themeColor="text1"/>
                <w:sz w:val="24"/>
                <w:u w:val="none" w:color="auto"/>
                <w:vertAlign w:val="baseline"/>
                <w:lang w:val="en-US" w:eastAsia="zh-CN"/>
                <w14:textFill>
                  <w14:solidFill>
                    <w14:schemeClr w14:val="tx1"/>
                  </w14:solidFill>
                </w14:textFill>
              </w:rPr>
              <w:t>，则设备清洗用水量为</w:t>
            </w:r>
            <w:r>
              <w:rPr>
                <w:rFonts w:hint="eastAsia"/>
                <w:color w:val="000000" w:themeColor="text1"/>
                <w:sz w:val="24"/>
                <w:u w:val="none" w:color="auto"/>
                <w:lang w:val="en-US" w:eastAsia="zh-CN"/>
                <w14:textFill>
                  <w14:solidFill>
                    <w14:schemeClr w14:val="tx1"/>
                  </w14:solidFill>
                </w14:textFill>
              </w:rPr>
              <w:t>0.6m</w:t>
            </w:r>
            <w:r>
              <w:rPr>
                <w:rFonts w:hint="eastAsia"/>
                <w:color w:val="000000" w:themeColor="text1"/>
                <w:sz w:val="24"/>
                <w:u w:val="none" w:color="auto"/>
                <w:vertAlign w:val="superscript"/>
                <w:lang w:val="en-US" w:eastAsia="zh-CN"/>
                <w14:textFill>
                  <w14:solidFill>
                    <w14:schemeClr w14:val="tx1"/>
                  </w14:solidFill>
                </w14:textFill>
              </w:rPr>
              <w:t>3</w:t>
            </w:r>
            <w:r>
              <w:rPr>
                <w:rFonts w:hint="eastAsia"/>
                <w:color w:val="000000" w:themeColor="text1"/>
                <w:sz w:val="24"/>
                <w:u w:val="none" w:color="auto"/>
                <w:lang w:val="en-US" w:eastAsia="zh-CN"/>
                <w14:textFill>
                  <w14:solidFill>
                    <w14:schemeClr w14:val="tx1"/>
                  </w14:solidFill>
                </w14:textFill>
              </w:rPr>
              <w:t>/d（198t/a），设备清洗损耗率按照</w:t>
            </w:r>
            <w:r>
              <w:rPr>
                <w:rFonts w:hint="eastAsia"/>
                <w:color w:val="000000"/>
                <w:sz w:val="24"/>
                <w:u w:val="none" w:color="auto"/>
                <w:lang w:val="en-US" w:eastAsia="zh-CN"/>
              </w:rPr>
              <w:t>10%计，则设备清洗废水产生量为0.54</w:t>
            </w:r>
            <w:r>
              <w:rPr>
                <w:rFonts w:hint="eastAsia"/>
                <w:color w:val="000000" w:themeColor="text1"/>
                <w:sz w:val="24"/>
                <w:u w:val="none" w:color="auto"/>
                <w:lang w:val="en-US" w:eastAsia="zh-CN"/>
                <w14:textFill>
                  <w14:solidFill>
                    <w14:schemeClr w14:val="tx1"/>
                  </w14:solidFill>
                </w14:textFill>
              </w:rPr>
              <w:t>m</w:t>
            </w:r>
            <w:r>
              <w:rPr>
                <w:rFonts w:hint="eastAsia"/>
                <w:color w:val="000000" w:themeColor="text1"/>
                <w:sz w:val="24"/>
                <w:u w:val="none" w:color="auto"/>
                <w:vertAlign w:val="superscript"/>
                <w:lang w:val="en-US" w:eastAsia="zh-CN"/>
                <w14:textFill>
                  <w14:solidFill>
                    <w14:schemeClr w14:val="tx1"/>
                  </w14:solidFill>
                </w14:textFill>
              </w:rPr>
              <w:t>3</w:t>
            </w:r>
            <w:r>
              <w:rPr>
                <w:rFonts w:hint="eastAsia"/>
                <w:color w:val="000000" w:themeColor="text1"/>
                <w:sz w:val="24"/>
                <w:u w:val="none" w:color="auto"/>
                <w:lang w:val="en-US" w:eastAsia="zh-CN"/>
                <w14:textFill>
                  <w14:solidFill>
                    <w14:schemeClr w14:val="tx1"/>
                  </w14:solidFill>
                </w14:textFill>
              </w:rPr>
              <w:t>/d。</w:t>
            </w:r>
          </w:p>
          <w:p w14:paraId="34686A2A">
            <w:pPr>
              <w:keepNext w:val="0"/>
              <w:keepLines w:val="0"/>
              <w:pageBreakBefore w:val="0"/>
              <w:kinsoku/>
              <w:wordWrap/>
              <w:overflowPunct/>
              <w:topLinePunct w:val="0"/>
              <w:autoSpaceDE/>
              <w:autoSpaceDN/>
              <w:bidi w:val="0"/>
              <w:spacing w:line="440" w:lineRule="exact"/>
              <w:ind w:firstLine="480" w:firstLineChars="200"/>
              <w:textAlignment w:val="auto"/>
              <w:rPr>
                <w:rFonts w:hint="default" w:eastAsia="宋体"/>
                <w:color w:val="000000"/>
                <w:sz w:val="24"/>
                <w:u w:val="none" w:color="auto"/>
                <w:lang w:val="en-US" w:eastAsia="zh-CN"/>
              </w:rPr>
            </w:pPr>
            <w:r>
              <w:rPr>
                <w:rFonts w:hint="eastAsia"/>
                <w:color w:val="000000" w:themeColor="text1"/>
                <w:sz w:val="24"/>
                <w:u w:val="none" w:color="auto"/>
                <w:lang w:val="en-US" w:eastAsia="zh-CN"/>
                <w14:textFill>
                  <w14:solidFill>
                    <w14:schemeClr w14:val="tx1"/>
                  </w14:solidFill>
                </w14:textFill>
              </w:rPr>
              <w:t>车间地面清洗新鲜水使用量约为1m</w:t>
            </w:r>
            <w:r>
              <w:rPr>
                <w:rFonts w:hint="eastAsia"/>
                <w:color w:val="000000" w:themeColor="text1"/>
                <w:sz w:val="24"/>
                <w:u w:val="none" w:color="auto"/>
                <w:vertAlign w:val="superscript"/>
                <w:lang w:val="en-US" w:eastAsia="zh-CN"/>
                <w14:textFill>
                  <w14:solidFill>
                    <w14:schemeClr w14:val="tx1"/>
                  </w14:solidFill>
                </w14:textFill>
              </w:rPr>
              <w:t>3</w:t>
            </w:r>
            <w:r>
              <w:rPr>
                <w:rFonts w:hint="eastAsia"/>
                <w:color w:val="000000" w:themeColor="text1"/>
                <w:sz w:val="24"/>
                <w:u w:val="none" w:color="auto"/>
                <w:lang w:val="en-US" w:eastAsia="zh-CN"/>
                <w14:textFill>
                  <w14:solidFill>
                    <w14:schemeClr w14:val="tx1"/>
                  </w14:solidFill>
                </w14:textFill>
              </w:rPr>
              <w:t>/d，330t/a</w:t>
            </w:r>
            <w:r>
              <w:rPr>
                <w:rFonts w:hint="eastAsia"/>
                <w:color w:val="000000"/>
                <w:sz w:val="24"/>
                <w:u w:val="none" w:color="auto"/>
                <w:lang w:val="en-US" w:eastAsia="zh-CN"/>
              </w:rPr>
              <w:t>，地面清洗损耗率按照20%计，车间地面清洗废水产生量为0.8</w:t>
            </w:r>
            <w:r>
              <w:rPr>
                <w:rFonts w:hint="eastAsia"/>
                <w:color w:val="000000" w:themeColor="text1"/>
                <w:sz w:val="24"/>
                <w:u w:val="none" w:color="auto"/>
                <w:lang w:val="en-US" w:eastAsia="zh-CN"/>
                <w14:textFill>
                  <w14:solidFill>
                    <w14:schemeClr w14:val="tx1"/>
                  </w14:solidFill>
                </w14:textFill>
              </w:rPr>
              <w:t>m</w:t>
            </w:r>
            <w:r>
              <w:rPr>
                <w:rFonts w:hint="eastAsia"/>
                <w:color w:val="000000" w:themeColor="text1"/>
                <w:sz w:val="24"/>
                <w:u w:val="none" w:color="auto"/>
                <w:vertAlign w:val="superscript"/>
                <w:lang w:val="en-US" w:eastAsia="zh-CN"/>
                <w14:textFill>
                  <w14:solidFill>
                    <w14:schemeClr w14:val="tx1"/>
                  </w14:solidFill>
                </w14:textFill>
              </w:rPr>
              <w:t>3</w:t>
            </w:r>
            <w:r>
              <w:rPr>
                <w:rFonts w:hint="eastAsia"/>
                <w:color w:val="000000" w:themeColor="text1"/>
                <w:sz w:val="24"/>
                <w:u w:val="none" w:color="auto"/>
                <w:lang w:val="en-US" w:eastAsia="zh-CN"/>
                <w14:textFill>
                  <w14:solidFill>
                    <w14:schemeClr w14:val="tx1"/>
                  </w14:solidFill>
                </w14:textFill>
              </w:rPr>
              <w:t>/d</w:t>
            </w:r>
            <w:r>
              <w:rPr>
                <w:rFonts w:hint="eastAsia"/>
                <w:color w:val="000000"/>
                <w:sz w:val="24"/>
                <w:u w:val="none" w:color="auto"/>
                <w:lang w:val="en-US" w:eastAsia="zh-CN"/>
              </w:rPr>
              <w:t>（264t/a）。</w:t>
            </w:r>
          </w:p>
          <w:p w14:paraId="4B53596C">
            <w:pPr>
              <w:keepNext w:val="0"/>
              <w:keepLines w:val="0"/>
              <w:pageBreakBefore w:val="0"/>
              <w:kinsoku/>
              <w:wordWrap/>
              <w:overflowPunct/>
              <w:topLinePunct w:val="0"/>
              <w:autoSpaceDE/>
              <w:autoSpaceDN/>
              <w:bidi w:val="0"/>
              <w:spacing w:line="440" w:lineRule="exact"/>
              <w:ind w:firstLine="482" w:firstLineChars="200"/>
              <w:textAlignment w:val="auto"/>
              <w:rPr>
                <w:rFonts w:hint="default" w:ascii="Times New Roman" w:hAnsi="宋体" w:eastAsia="宋体" w:cs="Times New Roman"/>
                <w:b/>
                <w:bCs w:val="0"/>
                <w:color w:val="000000"/>
                <w:sz w:val="24"/>
                <w:u w:val="none" w:color="auto"/>
                <w:lang w:val="en-US" w:eastAsia="zh-CN"/>
              </w:rPr>
            </w:pPr>
            <w:r>
              <w:rPr>
                <w:rFonts w:hint="default" w:ascii="Times New Roman" w:hAnsi="宋体" w:eastAsia="宋体" w:cs="Times New Roman"/>
                <w:b/>
                <w:bCs w:val="0"/>
                <w:color w:val="000000"/>
                <w:sz w:val="24"/>
                <w:u w:val="none" w:color="auto"/>
              </w:rPr>
              <w:t>②</w:t>
            </w:r>
            <w:r>
              <w:rPr>
                <w:rFonts w:hint="eastAsia" w:ascii="Times New Roman" w:hAnsi="宋体" w:eastAsia="宋体" w:cs="Times New Roman"/>
                <w:b/>
                <w:bCs w:val="0"/>
                <w:color w:val="000000"/>
                <w:sz w:val="24"/>
                <w:u w:val="none" w:color="auto"/>
                <w:lang w:val="en-US" w:eastAsia="zh-CN"/>
              </w:rPr>
              <w:t>纯水制备用水</w:t>
            </w:r>
          </w:p>
          <w:p w14:paraId="3696ED6D">
            <w:pPr>
              <w:keepNext w:val="0"/>
              <w:keepLines w:val="0"/>
              <w:pageBreakBefore w:val="0"/>
              <w:kinsoku/>
              <w:wordWrap/>
              <w:overflowPunct/>
              <w:topLinePunct w:val="0"/>
              <w:autoSpaceDE/>
              <w:autoSpaceDN/>
              <w:bidi w:val="0"/>
              <w:spacing w:line="440" w:lineRule="exact"/>
              <w:ind w:firstLine="480" w:firstLineChars="200"/>
              <w:jc w:val="both"/>
              <w:textAlignment w:val="auto"/>
              <w:rPr>
                <w:rFonts w:hint="eastAsia" w:cs="Times New Roman"/>
                <w:color w:val="000000"/>
                <w:sz w:val="24"/>
                <w:u w:val="none" w:color="auto"/>
                <w:lang w:eastAsia="zh-CN"/>
              </w:rPr>
            </w:pPr>
            <w:r>
              <w:rPr>
                <w:rFonts w:hint="eastAsia"/>
                <w:color w:val="000000"/>
                <w:sz w:val="24"/>
                <w:u w:val="none" w:color="auto"/>
              </w:rPr>
              <w:t>企</w:t>
            </w:r>
            <w:r>
              <w:rPr>
                <w:rFonts w:hint="default" w:ascii="Times New Roman" w:hAnsi="Times New Roman" w:eastAsia="宋体" w:cs="Times New Roman"/>
                <w:color w:val="000000"/>
                <w:sz w:val="24"/>
                <w:u w:val="none" w:color="auto"/>
              </w:rPr>
              <w:t>业在负极材料配料工序</w:t>
            </w:r>
            <w:r>
              <w:rPr>
                <w:rFonts w:hint="eastAsia" w:cs="Times New Roman"/>
                <w:color w:val="000000"/>
                <w:sz w:val="24"/>
                <w:u w:val="none" w:color="auto"/>
                <w:lang w:val="en-US" w:eastAsia="zh-CN"/>
              </w:rPr>
              <w:t>、电池清洗工序以及水喷淋补水均需用到纯水</w:t>
            </w:r>
            <w:r>
              <w:rPr>
                <w:rFonts w:hint="default" w:ascii="Times New Roman" w:hAnsi="Times New Roman" w:eastAsia="宋体" w:cs="Times New Roman"/>
                <w:color w:val="000000"/>
                <w:sz w:val="24"/>
                <w:u w:val="none" w:color="auto"/>
              </w:rPr>
              <w:t>，</w:t>
            </w:r>
            <w:r>
              <w:rPr>
                <w:rFonts w:hint="eastAsia" w:cs="Times New Roman"/>
                <w:color w:val="000000"/>
                <w:sz w:val="24"/>
                <w:u w:val="none" w:color="auto"/>
                <w:lang w:val="en-US" w:eastAsia="zh-CN"/>
              </w:rPr>
              <w:t>负极配料、电池清洗、水喷淋补水过程中需要纯水量分别为5.24m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/d、41.86m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/d和4.26m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/d，合计用纯水量为51.36m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w:t>
            </w:r>
            <w:r>
              <w:rPr>
                <w:rFonts w:hint="default" w:ascii="Times New Roman" w:hAnsi="Times New Roman" w:eastAsia="宋体" w:cs="Times New Roman"/>
                <w:color w:val="000000"/>
                <w:sz w:val="24"/>
                <w:u w:val="none" w:color="auto"/>
              </w:rPr>
              <w:t>企业在厂区内配置有纯水制备设备</w:t>
            </w:r>
            <w:r>
              <w:rPr>
                <w:rFonts w:hint="eastAsia" w:cs="Times New Roman"/>
                <w:color w:val="000000"/>
                <w:sz w:val="24"/>
                <w:u w:val="none" w:color="auto"/>
                <w:lang w:eastAsia="zh-CN"/>
              </w:rPr>
              <w:t>。</w:t>
            </w:r>
          </w:p>
          <w:p w14:paraId="6973EDF6">
            <w:pPr>
              <w:keepNext w:val="0"/>
              <w:keepLines w:val="0"/>
              <w:pageBreakBefore w:val="0"/>
              <w:kinsoku/>
              <w:wordWrap/>
              <w:overflowPunct/>
              <w:topLinePunct w:val="0"/>
              <w:autoSpaceDE/>
              <w:autoSpaceDN/>
              <w:bidi w:val="0"/>
              <w:spacing w:line="440" w:lineRule="exact"/>
              <w:ind w:firstLine="480" w:firstLineChars="200"/>
              <w:jc w:val="both"/>
              <w:textAlignment w:val="auto"/>
              <w:rPr>
                <w:rFonts w:hint="eastAsia" w:cs="Times New Roman"/>
                <w:color w:val="000000"/>
                <w:sz w:val="24"/>
                <w:u w:val="none" w:color="auto"/>
                <w:lang w:eastAsia="zh-CN"/>
              </w:rPr>
            </w:pPr>
            <w:r>
              <w:rPr>
                <w:rFonts w:hint="eastAsia" w:cs="Times New Roman"/>
                <w:color w:val="000000"/>
                <w:sz w:val="24"/>
                <w:u w:val="none" w:color="auto"/>
                <w:lang w:eastAsia="zh-CN"/>
              </w:rPr>
              <w:t>项目纯水制备采用RO反渗透进行纯水制备，制水工段产生的废水包含两部分，</w:t>
            </w:r>
            <w:r>
              <w:rPr>
                <w:rFonts w:hint="eastAsia" w:cs="Times New Roman"/>
                <w:color w:val="000000"/>
                <w:sz w:val="24"/>
                <w:u w:val="none" w:color="auto"/>
                <w:lang w:val="en-US" w:eastAsia="zh-CN"/>
              </w:rPr>
              <w:t>一</w:t>
            </w:r>
            <w:r>
              <w:rPr>
                <w:rFonts w:hint="eastAsia" w:cs="Times New Roman"/>
                <w:color w:val="000000"/>
                <w:sz w:val="24"/>
                <w:u w:val="none" w:color="auto"/>
                <w:lang w:eastAsia="zh-CN"/>
              </w:rPr>
              <w:t>部分是反渗透过滤废水，一部分是过滤介质(石英砂、活性炭、</w:t>
            </w:r>
            <w:r>
              <w:rPr>
                <w:rFonts w:hint="eastAsia" w:cs="Times New Roman"/>
                <w:color w:val="000000"/>
                <w:sz w:val="24"/>
                <w:u w:val="none" w:color="auto"/>
                <w:lang w:val="en-US" w:eastAsia="zh-CN"/>
              </w:rPr>
              <w:t>过滤器、</w:t>
            </w:r>
            <w:r>
              <w:rPr>
                <w:rFonts w:hint="eastAsia" w:cs="Times New Roman"/>
                <w:color w:val="000000"/>
                <w:sz w:val="24"/>
                <w:u w:val="none" w:color="auto"/>
                <w:lang w:eastAsia="zh-CN"/>
              </w:rPr>
              <w:t>反渗透膜)冲洗废水。</w:t>
            </w:r>
          </w:p>
          <w:p w14:paraId="0BD73547">
            <w:pPr>
              <w:keepNext w:val="0"/>
              <w:keepLines w:val="0"/>
              <w:pageBreakBefore w:val="0"/>
              <w:kinsoku/>
              <w:wordWrap/>
              <w:overflowPunct/>
              <w:topLinePunct w:val="0"/>
              <w:autoSpaceDE/>
              <w:autoSpaceDN/>
              <w:bidi w:val="0"/>
              <w:spacing w:line="440" w:lineRule="exact"/>
              <w:ind w:firstLine="480" w:firstLineChars="200"/>
              <w:jc w:val="both"/>
              <w:textAlignment w:val="auto"/>
              <w:rPr>
                <w:rFonts w:hint="eastAsia" w:cs="Times New Roman"/>
                <w:color w:val="000000"/>
                <w:sz w:val="24"/>
                <w:u w:val="none" w:color="auto"/>
                <w:lang w:eastAsia="zh-CN"/>
              </w:rPr>
            </w:pPr>
            <w:r>
              <w:rPr>
                <w:rFonts w:hint="eastAsia" w:cs="Times New Roman"/>
                <w:color w:val="000000"/>
                <w:sz w:val="24"/>
                <w:u w:val="none" w:color="auto"/>
                <w:lang w:eastAsia="zh-CN"/>
              </w:rPr>
              <w:t>纯水制备产生的反冲洗水主要有石英砂过滤器、活性炭过滤器、</w:t>
            </w:r>
            <w:r>
              <w:rPr>
                <w:rFonts w:hint="eastAsia" w:cs="Times New Roman"/>
                <w:color w:val="000000"/>
                <w:sz w:val="24"/>
                <w:u w:val="none" w:color="auto"/>
                <w:lang w:val="en-US" w:eastAsia="zh-CN"/>
              </w:rPr>
              <w:t>精密过滤器</w:t>
            </w:r>
            <w:r>
              <w:rPr>
                <w:rFonts w:hint="eastAsia" w:cs="Times New Roman"/>
                <w:color w:val="000000"/>
                <w:sz w:val="24"/>
                <w:u w:val="none" w:color="auto"/>
                <w:lang w:eastAsia="zh-CN"/>
              </w:rPr>
              <w:t>和反渗透膜的反冲洗水。项目过滤介质石英砂、活性炭、</w:t>
            </w:r>
            <w:r>
              <w:rPr>
                <w:rFonts w:hint="eastAsia" w:cs="Times New Roman"/>
                <w:color w:val="000000"/>
                <w:sz w:val="24"/>
                <w:u w:val="none" w:color="auto"/>
                <w:lang w:val="en-US" w:eastAsia="zh-CN"/>
              </w:rPr>
              <w:t>精密过滤器</w:t>
            </w:r>
            <w:r>
              <w:rPr>
                <w:rFonts w:hint="eastAsia" w:cs="Times New Roman"/>
                <w:color w:val="000000"/>
                <w:sz w:val="24"/>
                <w:u w:val="none" w:color="auto"/>
                <w:lang w:eastAsia="zh-CN"/>
              </w:rPr>
              <w:t>每</w:t>
            </w:r>
            <w:r>
              <w:rPr>
                <w:rFonts w:hint="eastAsia" w:cs="Times New Roman"/>
                <w:color w:val="000000"/>
                <w:sz w:val="24"/>
                <w:u w:val="none" w:color="auto"/>
                <w:lang w:val="en-US" w:eastAsia="zh-CN"/>
              </w:rPr>
              <w:t>5</w:t>
            </w:r>
            <w:r>
              <w:rPr>
                <w:rFonts w:hint="eastAsia" w:cs="Times New Roman"/>
                <w:color w:val="000000"/>
                <w:sz w:val="24"/>
                <w:u w:val="none" w:color="auto"/>
                <w:lang w:eastAsia="zh-CN"/>
              </w:rPr>
              <w:t>d冲洗1次，反渗透膜每</w:t>
            </w:r>
            <w:r>
              <w:rPr>
                <w:rFonts w:hint="eastAsia" w:cs="Times New Roman"/>
                <w:color w:val="000000"/>
                <w:sz w:val="24"/>
                <w:u w:val="none" w:color="auto"/>
                <w:lang w:val="en-US" w:eastAsia="zh-CN"/>
              </w:rPr>
              <w:t>10</w:t>
            </w:r>
            <w:r>
              <w:rPr>
                <w:rFonts w:hint="eastAsia" w:cs="Times New Roman"/>
                <w:color w:val="000000"/>
                <w:sz w:val="24"/>
                <w:u w:val="none" w:color="auto"/>
                <w:lang w:eastAsia="zh-CN"/>
              </w:rPr>
              <w:t>d冲洗1次。石英砂过滤器、活性炭过滤器、</w:t>
            </w:r>
            <w:r>
              <w:rPr>
                <w:rFonts w:hint="eastAsia" w:cs="Times New Roman"/>
                <w:color w:val="000000"/>
                <w:sz w:val="24"/>
                <w:u w:val="none" w:color="auto"/>
                <w:lang w:val="en-US" w:eastAsia="zh-CN"/>
              </w:rPr>
              <w:t>精密过滤器</w:t>
            </w:r>
            <w:r>
              <w:rPr>
                <w:rFonts w:hint="eastAsia" w:cs="Times New Roman"/>
                <w:color w:val="000000"/>
                <w:sz w:val="24"/>
                <w:u w:val="none" w:color="auto"/>
                <w:lang w:eastAsia="zh-CN"/>
              </w:rPr>
              <w:t>每次冲洗用水量</w:t>
            </w:r>
            <w:r>
              <w:rPr>
                <w:rFonts w:hint="eastAsia" w:cs="Times New Roman"/>
                <w:color w:val="000000"/>
                <w:sz w:val="24"/>
                <w:u w:val="none" w:color="auto"/>
                <w:lang w:val="en-US" w:eastAsia="zh-CN"/>
              </w:rPr>
              <w:t>均</w:t>
            </w:r>
            <w:r>
              <w:rPr>
                <w:rFonts w:hint="eastAsia" w:cs="Times New Roman"/>
                <w:color w:val="000000"/>
                <w:sz w:val="24"/>
                <w:u w:val="none" w:color="auto"/>
                <w:lang w:eastAsia="zh-CN"/>
              </w:rPr>
              <w:t>为0.5t，反渗透膜过滤器每次冲洗用水量为0.4t。项目反冲洗用水均为纯水。项目纯水制备系统反冲洗废水产生量约</w:t>
            </w:r>
            <w:r>
              <w:rPr>
                <w:rFonts w:hint="eastAsia" w:cs="Times New Roman"/>
                <w:color w:val="000000"/>
                <w:sz w:val="24"/>
                <w:u w:val="none" w:color="auto"/>
                <w:lang w:val="en-US" w:eastAsia="zh-CN"/>
              </w:rPr>
              <w:t>0.34</w:t>
            </w:r>
            <w:r>
              <w:rPr>
                <w:rFonts w:hint="eastAsia" w:cs="Times New Roman"/>
                <w:color w:val="000000"/>
                <w:sz w:val="24"/>
                <w:u w:val="none" w:color="auto"/>
                <w:lang w:eastAsia="zh-CN"/>
              </w:rPr>
              <w:t>t/d，即</w:t>
            </w:r>
            <w:r>
              <w:rPr>
                <w:rFonts w:hint="eastAsia" w:cs="Times New Roman"/>
                <w:color w:val="000000"/>
                <w:sz w:val="24"/>
                <w:u w:val="none" w:color="auto"/>
                <w:lang w:val="en-US" w:eastAsia="zh-CN"/>
              </w:rPr>
              <w:t>112.2</w:t>
            </w:r>
            <w:r>
              <w:rPr>
                <w:rFonts w:hint="eastAsia" w:cs="Times New Roman"/>
                <w:color w:val="000000"/>
                <w:sz w:val="24"/>
                <w:u w:val="none" w:color="auto"/>
                <w:lang w:eastAsia="zh-CN"/>
              </w:rPr>
              <w:t>t/a。</w:t>
            </w:r>
          </w:p>
          <w:p w14:paraId="7979FD96">
            <w:pPr>
              <w:keepNext w:val="0"/>
              <w:keepLines w:val="0"/>
              <w:pageBreakBefore w:val="0"/>
              <w:kinsoku/>
              <w:wordWrap/>
              <w:overflowPunct/>
              <w:topLinePunct w:val="0"/>
              <w:autoSpaceDE/>
              <w:autoSpaceDN/>
              <w:bidi w:val="0"/>
              <w:spacing w:line="440" w:lineRule="exact"/>
              <w:ind w:firstLine="480" w:firstLineChars="200"/>
              <w:jc w:val="both"/>
              <w:textAlignment w:val="auto"/>
              <w:rPr>
                <w:rFonts w:hint="eastAsia" w:cs="Times New Roman"/>
                <w:color w:val="000000" w:themeColor="text1"/>
                <w:sz w:val="24"/>
                <w:u w:val="none" w:color="auto"/>
                <w:lang w:val="en-US" w:eastAsia="zh-CN"/>
                <w14:textFill>
                  <w14:solidFill>
                    <w14:schemeClr w14:val="tx1"/>
                  </w14:solidFill>
                </w14:textFill>
              </w:rPr>
            </w:pPr>
            <w:r>
              <w:rPr>
                <w:rFonts w:hint="eastAsia" w:cs="Times New Roman"/>
                <w:color w:val="000000" w:themeColor="text1"/>
                <w:sz w:val="24"/>
                <w:u w:val="none" w:color="auto"/>
                <w:lang w:val="en-US" w:eastAsia="zh-CN"/>
                <w14:textFill>
                  <w14:solidFill>
                    <w14:schemeClr w14:val="tx1"/>
                  </w14:solidFill>
                </w14:textFill>
              </w:rPr>
              <w:t>纯水制备系统反渗透过滤废水：经核算，项目纯水用量为</w:t>
            </w:r>
            <w:r>
              <w:rPr>
                <w:rFonts w:hint="eastAsia" w:cs="Times New Roman"/>
                <w:color w:val="000000"/>
                <w:sz w:val="24"/>
                <w:u w:val="none" w:color="auto"/>
                <w:lang w:val="en-US" w:eastAsia="zh-CN"/>
              </w:rPr>
              <w:t>51.36m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/d（16948.8t/a）</w:t>
            </w:r>
            <w:r>
              <w:rPr>
                <w:rFonts w:hint="eastAsia" w:cs="Times New Roman"/>
                <w:color w:val="000000" w:themeColor="text1"/>
                <w:sz w:val="24"/>
                <w:u w:val="none" w:color="auto"/>
                <w:lang w:val="en-US" w:eastAsia="zh-CN"/>
                <w14:textFill>
                  <w14:solidFill>
                    <w14:schemeClr w14:val="tx1"/>
                  </w14:solidFill>
                </w14:textFill>
              </w:rPr>
              <w:t>，纯水制备反冲洗用水量为0.34t/d(</w:t>
            </w:r>
            <w:r>
              <w:rPr>
                <w:rFonts w:hint="eastAsia" w:cs="Times New Roman"/>
                <w:color w:val="000000"/>
                <w:sz w:val="24"/>
                <w:u w:val="none" w:color="auto"/>
                <w:lang w:val="en-US" w:eastAsia="zh-CN"/>
              </w:rPr>
              <w:t>112.2</w:t>
            </w:r>
            <w:r>
              <w:rPr>
                <w:rFonts w:hint="eastAsia" w:cs="Times New Roman"/>
                <w:color w:val="000000" w:themeColor="text1"/>
                <w:sz w:val="24"/>
                <w:u w:val="none" w:color="auto"/>
                <w:lang w:val="en-US" w:eastAsia="zh-CN"/>
                <w14:textFill>
                  <w14:solidFill>
                    <w14:schemeClr w14:val="tx1"/>
                  </w14:solidFill>
                </w14:textFill>
              </w:rPr>
              <w:t>t/a)，则纯水用量合计</w:t>
            </w:r>
            <w:r>
              <w:rPr>
                <w:rFonts w:hint="eastAsia" w:cs="Times New Roman"/>
                <w:color w:val="000000"/>
                <w:sz w:val="24"/>
                <w:u w:val="none" w:color="auto"/>
                <w:lang w:val="en-US" w:eastAsia="zh-CN"/>
              </w:rPr>
              <w:t>51.7m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/d（17061t/a）</w:t>
            </w:r>
            <w:r>
              <w:rPr>
                <w:rFonts w:hint="eastAsia" w:cs="Times New Roman"/>
                <w:color w:val="000000" w:themeColor="text1"/>
                <w:sz w:val="24"/>
                <w:u w:val="none" w:color="auto"/>
                <w:lang w:val="en-US" w:eastAsia="zh-CN"/>
                <w14:textFill>
                  <w14:solidFill>
                    <w14:schemeClr w14:val="tx1"/>
                  </w14:solidFill>
                </w14:textFill>
              </w:rPr>
              <w:t>，根据企业设备厂家提供的资料，纯水制备率为50%，则项目需要原水为103.4</w:t>
            </w:r>
            <w:r>
              <w:rPr>
                <w:rFonts w:hint="eastAsia" w:cs="Times New Roman"/>
                <w:color w:val="000000"/>
                <w:sz w:val="24"/>
                <w:u w:val="none" w:color="auto"/>
                <w:lang w:val="en-US" w:eastAsia="zh-CN"/>
              </w:rPr>
              <w:t>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/d（34122t/a）</w:t>
            </w:r>
            <w:r>
              <w:rPr>
                <w:rFonts w:hint="eastAsia" w:cs="Times New Roman"/>
                <w:color w:val="000000" w:themeColor="text1"/>
                <w:sz w:val="24"/>
                <w:u w:val="none" w:color="auto"/>
                <w:lang w:val="en-US" w:eastAsia="zh-CN"/>
                <w14:textFill>
                  <w14:solidFill>
                    <w14:schemeClr w14:val="tx1"/>
                  </w14:solidFill>
                </w14:textFill>
              </w:rPr>
              <w:t>，浓水产生量为</w:t>
            </w:r>
            <w:r>
              <w:rPr>
                <w:rFonts w:hint="eastAsia" w:cs="Times New Roman"/>
                <w:color w:val="000000"/>
                <w:sz w:val="24"/>
                <w:u w:val="none" w:color="auto"/>
                <w:lang w:val="en-US" w:eastAsia="zh-CN"/>
              </w:rPr>
              <w:t>51.7m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/d（17061t/a）</w:t>
            </w:r>
            <w:r>
              <w:rPr>
                <w:rFonts w:hint="eastAsia" w:cs="Times New Roman"/>
                <w:color w:val="000000" w:themeColor="text1"/>
                <w:sz w:val="24"/>
                <w:u w:val="none" w:color="auto"/>
                <w:lang w:val="en-US" w:eastAsia="zh-CN"/>
                <w14:textFill>
                  <w14:solidFill>
                    <w14:schemeClr w14:val="tx1"/>
                  </w14:solidFill>
                </w14:textFill>
              </w:rPr>
              <w:t>。</w:t>
            </w:r>
          </w:p>
          <w:p w14:paraId="2A1C7F5C">
            <w:pPr>
              <w:keepNext w:val="0"/>
              <w:keepLines w:val="0"/>
              <w:pageBreakBefore w:val="0"/>
              <w:kinsoku/>
              <w:wordWrap/>
              <w:overflowPunct/>
              <w:topLinePunct w:val="0"/>
              <w:autoSpaceDE/>
              <w:autoSpaceDN/>
              <w:bidi w:val="0"/>
              <w:spacing w:line="440" w:lineRule="exact"/>
              <w:ind w:firstLine="482" w:firstLineChars="200"/>
              <w:jc w:val="both"/>
              <w:textAlignment w:val="auto"/>
              <w:rPr>
                <w:rFonts w:hint="default" w:ascii="Times New Roman" w:hAnsi="宋体" w:eastAsia="宋体" w:cs="Times New Roman"/>
                <w:b/>
                <w:bCs w:val="0"/>
                <w:color w:val="000000"/>
                <w:sz w:val="24"/>
                <w:u w:val="none" w:color="auto"/>
                <w:lang w:val="en-US" w:eastAsia="zh-CN"/>
              </w:rPr>
            </w:pPr>
            <w:r>
              <w:rPr>
                <w:rFonts w:hint="default" w:ascii="Times New Roman" w:hAnsi="宋体" w:eastAsia="宋体" w:cs="Times New Roman"/>
                <w:b/>
                <w:bCs w:val="0"/>
                <w:color w:val="000000"/>
                <w:sz w:val="24"/>
                <w:u w:val="none" w:color="auto"/>
              </w:rPr>
              <w:t>③</w:t>
            </w:r>
            <w:r>
              <w:rPr>
                <w:rFonts w:hint="eastAsia" w:ascii="Times New Roman" w:hAnsi="宋体" w:eastAsia="宋体" w:cs="Times New Roman"/>
                <w:b/>
                <w:bCs w:val="0"/>
                <w:color w:val="000000"/>
                <w:sz w:val="24"/>
                <w:u w:val="none" w:color="auto"/>
                <w:lang w:val="en-US" w:eastAsia="zh-CN"/>
              </w:rPr>
              <w:t>电池清洗用水</w:t>
            </w:r>
          </w:p>
          <w:p w14:paraId="0A4410E1">
            <w:pPr>
              <w:keepNext w:val="0"/>
              <w:keepLines w:val="0"/>
              <w:pageBreakBefore w:val="0"/>
              <w:kinsoku/>
              <w:wordWrap/>
              <w:overflowPunct/>
              <w:topLinePunct w:val="0"/>
              <w:autoSpaceDE/>
              <w:autoSpaceDN/>
              <w:bidi w:val="0"/>
              <w:spacing w:line="440" w:lineRule="exact"/>
              <w:ind w:firstLine="480" w:firstLineChars="200"/>
              <w:jc w:val="both"/>
              <w:textAlignment w:val="auto"/>
              <w:rPr>
                <w:rFonts w:hint="eastAsia"/>
                <w:color w:val="000000" w:themeColor="text1"/>
                <w:sz w:val="24"/>
                <w:u w:val="none" w:color="auto"/>
                <w14:textFill>
                  <w14:solidFill>
                    <w14:schemeClr w14:val="tx1"/>
                  </w14:solidFill>
                </w14:textFill>
              </w:rPr>
            </w:pPr>
            <w:r>
              <w:rPr>
                <w:rFonts w:hint="eastAsia"/>
                <w:color w:val="000000"/>
                <w:sz w:val="24"/>
                <w:u w:val="none" w:color="auto"/>
                <w:lang w:val="en-US" w:eastAsia="zh-CN"/>
              </w:rPr>
              <w:t>本项目</w:t>
            </w:r>
            <w:r>
              <w:rPr>
                <w:rFonts w:hint="eastAsia"/>
                <w:color w:val="000000"/>
                <w:sz w:val="24"/>
                <w:u w:val="none" w:color="auto"/>
              </w:rPr>
              <w:t>需对注液封装完成后的锂离子电池使用</w:t>
            </w:r>
            <w:r>
              <w:rPr>
                <w:rFonts w:hint="eastAsia"/>
                <w:color w:val="000000"/>
                <w:sz w:val="24"/>
                <w:u w:val="none" w:color="auto"/>
                <w:lang w:val="en-US" w:eastAsia="zh-CN"/>
              </w:rPr>
              <w:t>纯</w:t>
            </w:r>
            <w:r>
              <w:rPr>
                <w:rFonts w:hint="eastAsia"/>
                <w:color w:val="000000"/>
                <w:sz w:val="24"/>
                <w:u w:val="none" w:color="auto"/>
              </w:rPr>
              <w:t>水对表面进行清洗，去除表面残留的电解液杂质</w:t>
            </w:r>
            <w:r>
              <w:rPr>
                <w:rFonts w:hint="eastAsia"/>
                <w:color w:val="000000"/>
                <w:sz w:val="24"/>
                <w:u w:val="none" w:color="auto"/>
                <w:lang w:eastAsia="zh-CN"/>
              </w:rPr>
              <w:t>，</w:t>
            </w:r>
            <w:r>
              <w:rPr>
                <w:rFonts w:hint="eastAsia"/>
                <w:color w:val="000000"/>
                <w:sz w:val="24"/>
                <w:u w:val="none" w:color="auto"/>
                <w:lang w:val="en-US" w:eastAsia="zh-CN"/>
              </w:rPr>
              <w:t>保持电池的品质。参照同行业该工序用水量</w:t>
            </w:r>
            <w:r>
              <w:rPr>
                <w:rFonts w:hint="eastAsia"/>
                <w:color w:val="000000" w:themeColor="text1"/>
                <w:sz w:val="24"/>
                <w:u w:val="none" w:color="auto"/>
                <w:lang w:val="en-US" w:eastAsia="zh-CN"/>
                <w14:textFill>
                  <w14:solidFill>
                    <w14:schemeClr w14:val="tx1"/>
                  </w14:solidFill>
                </w14:textFill>
              </w:rPr>
              <w:t>，每1万只约需230L清洗用水，本项目年生产6亿只锂离子电池，日均生产量182万只，故每日最大电池清洗用水量为41.86m</w:t>
            </w:r>
            <w:r>
              <w:rPr>
                <w:rFonts w:hint="eastAsia"/>
                <w:color w:val="000000" w:themeColor="text1"/>
                <w:sz w:val="24"/>
                <w:u w:val="none" w:color="auto"/>
                <w:vertAlign w:val="superscript"/>
                <w:lang w:val="en-US" w:eastAsia="zh-CN"/>
                <w14:textFill>
                  <w14:solidFill>
                    <w14:schemeClr w14:val="tx1"/>
                  </w14:solidFill>
                </w14:textFill>
              </w:rPr>
              <w:t>3</w:t>
            </w:r>
            <w:r>
              <w:rPr>
                <w:rFonts w:hint="eastAsia"/>
                <w:color w:val="000000" w:themeColor="text1"/>
                <w:sz w:val="24"/>
                <w:u w:val="none" w:color="auto"/>
                <w:lang w:val="en-US" w:eastAsia="zh-CN"/>
                <w14:textFill>
                  <w14:solidFill>
                    <w14:schemeClr w14:val="tx1"/>
                  </w14:solidFill>
                </w14:textFill>
              </w:rPr>
              <w:t>/d（13813.8t/a）。产污系数按照80%计，则清洗废水产生量为33.49m</w:t>
            </w:r>
            <w:r>
              <w:rPr>
                <w:rFonts w:hint="eastAsia"/>
                <w:color w:val="000000" w:themeColor="text1"/>
                <w:sz w:val="24"/>
                <w:u w:val="none" w:color="auto"/>
                <w:vertAlign w:val="superscript"/>
                <w:lang w:val="en-US" w:eastAsia="zh-CN"/>
                <w14:textFill>
                  <w14:solidFill>
                    <w14:schemeClr w14:val="tx1"/>
                  </w14:solidFill>
                </w14:textFill>
              </w:rPr>
              <w:t>3</w:t>
            </w:r>
            <w:r>
              <w:rPr>
                <w:rFonts w:hint="eastAsia"/>
                <w:color w:val="000000" w:themeColor="text1"/>
                <w:sz w:val="24"/>
                <w:u w:val="none" w:color="auto"/>
                <w:lang w:val="en-US" w:eastAsia="zh-CN"/>
                <w14:textFill>
                  <w14:solidFill>
                    <w14:schemeClr w14:val="tx1"/>
                  </w14:solidFill>
                </w14:textFill>
              </w:rPr>
              <w:t>/d（11051.7t/a）。</w:t>
            </w:r>
          </w:p>
          <w:p w14:paraId="4061742C">
            <w:pPr>
              <w:keepNext w:val="0"/>
              <w:keepLines w:val="0"/>
              <w:pageBreakBefore w:val="0"/>
              <w:kinsoku/>
              <w:wordWrap/>
              <w:overflowPunct/>
              <w:topLinePunct w:val="0"/>
              <w:autoSpaceDE/>
              <w:autoSpaceDN/>
              <w:bidi w:val="0"/>
              <w:spacing w:line="440" w:lineRule="exact"/>
              <w:ind w:firstLine="482" w:firstLineChars="200"/>
              <w:textAlignment w:val="auto"/>
              <w:rPr>
                <w:rFonts w:hint="eastAsia" w:ascii="Times New Roman" w:hAnsi="宋体" w:eastAsia="宋体" w:cs="Times New Roman"/>
                <w:b/>
                <w:bCs w:val="0"/>
                <w:color w:val="000000"/>
                <w:sz w:val="24"/>
                <w:u w:val="none" w:color="auto"/>
              </w:rPr>
            </w:pPr>
            <w:r>
              <w:rPr>
                <w:rFonts w:hint="eastAsia" w:ascii="Times New Roman" w:hAnsi="宋体" w:eastAsia="宋体" w:cs="Times New Roman"/>
                <w:b/>
                <w:bCs w:val="0"/>
                <w:color w:val="000000"/>
                <w:sz w:val="24"/>
                <w:u w:val="none" w:color="auto"/>
              </w:rPr>
              <w:t>④NMP回收系统冷却水</w:t>
            </w:r>
          </w:p>
          <w:p w14:paraId="232E898F">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pPr>
            <w:r>
              <w:rPr>
                <w:rFonts w:hint="eastAsia"/>
                <w:color w:val="000000" w:themeColor="text1"/>
                <w:sz w:val="24"/>
                <w:u w:val="none" w:color="auto"/>
                <w:lang w:eastAsia="zh-CN"/>
                <w14:textFill>
                  <w14:solidFill>
                    <w14:schemeClr w14:val="tx1"/>
                  </w14:solidFill>
                </w14:textFill>
              </w:rPr>
              <w:t>该冷却用水仅在设备内循环使用，循环水量为5m</w:t>
            </w:r>
            <w:r>
              <w:rPr>
                <w:rFonts w:hint="eastAsia"/>
                <w:color w:val="000000" w:themeColor="text1"/>
                <w:sz w:val="24"/>
                <w:u w:val="none" w:color="auto"/>
                <w:vertAlign w:val="superscript"/>
                <w:lang w:eastAsia="zh-CN"/>
                <w14:textFill>
                  <w14:solidFill>
                    <w14:schemeClr w14:val="tx1"/>
                  </w14:solidFill>
                </w14:textFill>
              </w:rPr>
              <w:t>3</w:t>
            </w:r>
            <w:r>
              <w:rPr>
                <w:rFonts w:hint="eastAsia"/>
                <w:color w:val="000000" w:themeColor="text1"/>
                <w:sz w:val="24"/>
                <w:u w:val="none" w:color="auto"/>
                <w:lang w:eastAsia="zh-CN"/>
                <w14:textFill>
                  <w14:solidFill>
                    <w14:schemeClr w14:val="tx1"/>
                  </w14:solidFill>
                </w14:textFill>
              </w:rPr>
              <w:t>/h（</w:t>
            </w:r>
            <w:r>
              <w:rPr>
                <w:rFonts w:hint="eastAsia"/>
                <w:color w:val="000000" w:themeColor="text1"/>
                <w:sz w:val="24"/>
                <w:u w:val="none" w:color="auto"/>
                <w:lang w:val="en-US" w:eastAsia="zh-CN"/>
                <w14:textFill>
                  <w14:solidFill>
                    <w14:schemeClr w14:val="tx1"/>
                  </w14:solidFill>
                </w14:textFill>
              </w:rPr>
              <w:t>120</w:t>
            </w:r>
            <w:r>
              <w:rPr>
                <w:rFonts w:hint="eastAsia"/>
                <w:color w:val="000000" w:themeColor="text1"/>
                <w:sz w:val="24"/>
                <w:u w:val="none" w:color="auto"/>
                <w:lang w:eastAsia="zh-CN"/>
                <w14:textFill>
                  <w14:solidFill>
                    <w14:schemeClr w14:val="tx1"/>
                  </w14:solidFill>
                </w14:textFill>
              </w:rPr>
              <w:t>m</w:t>
            </w:r>
            <w:r>
              <w:rPr>
                <w:rFonts w:hint="eastAsia"/>
                <w:color w:val="000000" w:themeColor="text1"/>
                <w:sz w:val="24"/>
                <w:u w:val="none" w:color="auto"/>
                <w:vertAlign w:val="superscript"/>
                <w:lang w:eastAsia="zh-CN"/>
                <w14:textFill>
                  <w14:solidFill>
                    <w14:schemeClr w14:val="tx1"/>
                  </w14:solidFill>
                </w14:textFill>
              </w:rPr>
              <w:t>3</w:t>
            </w:r>
            <w:r>
              <w:rPr>
                <w:rFonts w:hint="eastAsia"/>
                <w:color w:val="000000" w:themeColor="text1"/>
                <w:sz w:val="24"/>
                <w:u w:val="none" w:color="auto"/>
                <w:lang w:eastAsia="zh-CN"/>
                <w14:textFill>
                  <w14:solidFill>
                    <w14:schemeClr w14:val="tx1"/>
                  </w14:solidFill>
                </w14:textFill>
              </w:rPr>
              <w:t>/d），不外排，同时由于循环过程中少量的水因受热等因素蒸发损失，需定期补充新鲜水，</w:t>
            </w:r>
            <w:r>
              <w:rPr>
                <w:rFonts w:hint="eastAsia"/>
                <w:color w:val="000000" w:themeColor="text1"/>
                <w:sz w:val="24"/>
                <w:u w:val="none" w:color="auto"/>
                <w:lang w:val="en-US" w:eastAsia="zh-CN"/>
                <w14:textFill>
                  <w14:solidFill>
                    <w14:schemeClr w14:val="tx1"/>
                  </w14:solidFill>
                </w14:textFill>
              </w:rPr>
              <w:t>蒸</w:t>
            </w:r>
            <w:r>
              <w:rPr>
                <w:rFonts w:hint="eastAsia"/>
                <w:color w:val="000000" w:themeColor="text1"/>
                <w:sz w:val="24"/>
                <w:u w:val="none" w:color="auto"/>
                <w:lang w:eastAsia="zh-CN"/>
                <w14:textFill>
                  <w14:solidFill>
                    <w14:schemeClr w14:val="tx1"/>
                  </w14:solidFill>
                </w14:textFill>
              </w:rPr>
              <w:t>发损耗率约为循环水量的2%，则补充水量约为</w:t>
            </w:r>
            <w:r>
              <w:rPr>
                <w:rFonts w:hint="eastAsia"/>
                <w:color w:val="000000" w:themeColor="text1"/>
                <w:sz w:val="24"/>
                <w:u w:val="none" w:color="auto"/>
                <w:lang w:val="en-US" w:eastAsia="zh-CN"/>
                <w14:textFill>
                  <w14:solidFill>
                    <w14:schemeClr w14:val="tx1"/>
                  </w14:solidFill>
                </w14:textFill>
              </w:rPr>
              <w:t>2.4m</w:t>
            </w:r>
            <w:r>
              <w:rPr>
                <w:rFonts w:hint="eastAsia"/>
                <w:color w:val="000000" w:themeColor="text1"/>
                <w:sz w:val="24"/>
                <w:u w:val="none" w:color="auto"/>
                <w:vertAlign w:val="superscript"/>
                <w:lang w:val="en-US" w:eastAsia="zh-CN"/>
                <w14:textFill>
                  <w14:solidFill>
                    <w14:schemeClr w14:val="tx1"/>
                  </w14:solidFill>
                </w14:textFill>
              </w:rPr>
              <w:t>3</w:t>
            </w:r>
            <w:r>
              <w:rPr>
                <w:rFonts w:hint="eastAsia"/>
                <w:color w:val="000000" w:themeColor="text1"/>
                <w:sz w:val="24"/>
                <w:u w:val="none" w:color="auto"/>
                <w:lang w:val="en-US" w:eastAsia="zh-CN"/>
                <w14:textFill>
                  <w14:solidFill>
                    <w14:schemeClr w14:val="tx1"/>
                  </w14:solidFill>
                </w14:textFill>
              </w:rPr>
              <w:t>/d</w:t>
            </w:r>
            <w:r>
              <w:rPr>
                <w:rFonts w:hint="eastAsia"/>
                <w:color w:val="000000" w:themeColor="text1"/>
                <w:sz w:val="24"/>
                <w:u w:val="none" w:color="auto"/>
                <w:lang w:eastAsia="zh-CN"/>
                <w14:textFill>
                  <w14:solidFill>
                    <w14:schemeClr w14:val="tx1"/>
                  </w14:solidFill>
                </w14:textFill>
              </w:rPr>
              <w:t>（</w:t>
            </w:r>
            <w:r>
              <w:rPr>
                <w:rFonts w:hint="eastAsia"/>
                <w:color w:val="000000" w:themeColor="text1"/>
                <w:sz w:val="24"/>
                <w:u w:val="none" w:color="auto"/>
                <w:lang w:val="en-US" w:eastAsia="zh-CN"/>
                <w14:textFill>
                  <w14:solidFill>
                    <w14:schemeClr w14:val="tx1"/>
                  </w14:solidFill>
                </w14:textFill>
              </w:rPr>
              <w:t>792</w:t>
            </w:r>
            <w:r>
              <w:rPr>
                <w:rFonts w:hint="eastAsia"/>
                <w:color w:val="000000" w:themeColor="text1"/>
                <w:sz w:val="24"/>
                <w:u w:val="none" w:color="auto"/>
                <w:lang w:eastAsia="zh-CN"/>
                <w14:textFill>
                  <w14:solidFill>
                    <w14:schemeClr w14:val="tx1"/>
                  </w14:solidFill>
                </w14:textFill>
              </w:rPr>
              <w:t>t/a）。</w:t>
            </w:r>
          </w:p>
          <w:p w14:paraId="24D19FC9">
            <w:pPr>
              <w:keepNext w:val="0"/>
              <w:keepLines w:val="0"/>
              <w:pageBreakBefore w:val="0"/>
              <w:kinsoku/>
              <w:wordWrap/>
              <w:overflowPunct/>
              <w:topLinePunct w:val="0"/>
              <w:autoSpaceDE/>
              <w:autoSpaceDN/>
              <w:bidi w:val="0"/>
              <w:spacing w:line="440" w:lineRule="exact"/>
              <w:ind w:firstLine="482" w:firstLineChars="200"/>
              <w:textAlignment w:val="auto"/>
              <w:rPr>
                <w:rFonts w:hint="default" w:ascii="Times New Roman" w:hAnsi="宋体" w:eastAsia="宋体" w:cs="Times New Roman"/>
                <w:b/>
                <w:bCs w:val="0"/>
                <w:color w:val="000000"/>
                <w:sz w:val="24"/>
                <w:u w:val="none" w:color="auto"/>
                <w:lang w:val="en-US" w:eastAsia="zh-CN"/>
              </w:rPr>
            </w:pPr>
            <w:r>
              <w:rPr>
                <w:rFonts w:hint="default" w:ascii="Times New Roman" w:hAnsi="宋体" w:eastAsia="宋体" w:cs="Times New Roman"/>
                <w:b/>
                <w:bCs w:val="0"/>
                <w:color w:val="000000"/>
                <w:sz w:val="24"/>
                <w:u w:val="none" w:color="auto"/>
                <w:lang w:val="en-US" w:eastAsia="zh-CN"/>
              </w:rPr>
              <w:t>⑤</w:t>
            </w:r>
            <w:r>
              <w:rPr>
                <w:rFonts w:hint="eastAsia" w:ascii="Times New Roman" w:hAnsi="宋体" w:eastAsia="宋体" w:cs="Times New Roman"/>
                <w:b/>
                <w:bCs w:val="0"/>
                <w:color w:val="000000"/>
                <w:sz w:val="24"/>
                <w:u w:val="none" w:color="auto"/>
              </w:rPr>
              <w:t>水</w:t>
            </w:r>
            <w:r>
              <w:rPr>
                <w:rFonts w:hint="eastAsia" w:ascii="Times New Roman" w:hAnsi="宋体" w:eastAsia="宋体" w:cs="Times New Roman"/>
                <w:b/>
                <w:bCs w:val="0"/>
                <w:color w:val="000000"/>
                <w:sz w:val="24"/>
                <w:u w:val="none" w:color="auto"/>
                <w:lang w:val="en-US" w:eastAsia="zh-CN"/>
              </w:rPr>
              <w:t>喷淋用水</w:t>
            </w:r>
          </w:p>
          <w:p w14:paraId="200D8271">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Times New Roman" w:hAnsi="Times New Roman" w:eastAsia="宋体" w:cs="Times New Roman"/>
                <w:color w:val="000000" w:themeColor="text1"/>
                <w:sz w:val="24"/>
                <w:u w:val="none" w:color="auto"/>
                <w14:textFill>
                  <w14:solidFill>
                    <w14:schemeClr w14:val="tx1"/>
                  </w14:solidFill>
                </w14:textFill>
              </w:rPr>
            </w:pPr>
            <w:r>
              <w:rPr>
                <w:rFonts w:hint="default" w:ascii="Times New Roman" w:hAnsi="Times New Roman" w:eastAsia="宋体" w:cs="Times New Roman"/>
                <w:color w:val="000000" w:themeColor="text1"/>
                <w:sz w:val="24"/>
                <w:u w:val="none" w:color="auto"/>
                <w14:textFill>
                  <w14:solidFill>
                    <w14:schemeClr w14:val="tx1"/>
                  </w14:solidFill>
                </w14:textFill>
              </w:rPr>
              <w:t>本项目产生的NMP废气由配套的水喷淋回收装置进行喷淋回收，</w:t>
            </w:r>
            <w:r>
              <w:rPr>
                <w:rFonts w:hint="eastAsia" w:cs="Times New Roman"/>
                <w:color w:val="000000" w:themeColor="text1"/>
                <w:sz w:val="24"/>
                <w:u w:val="none" w:color="auto"/>
                <w:lang w:val="en-US" w:eastAsia="zh-CN"/>
                <w14:textFill>
                  <w14:solidFill>
                    <w14:schemeClr w14:val="tx1"/>
                  </w14:solidFill>
                </w14:textFill>
              </w:rPr>
              <w:t>喷淋塔补水采用纯水，</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全年喷淋塔补水量约4.26</w:t>
            </w:r>
            <w:r>
              <w:rPr>
                <w:rFonts w:hint="eastAsia"/>
                <w:color w:val="000000" w:themeColor="text1"/>
                <w:sz w:val="24"/>
                <w:u w:val="none" w:color="auto"/>
                <w:lang w:val="en-US" w:eastAsia="zh-CN"/>
                <w14:textFill>
                  <w14:solidFill>
                    <w14:schemeClr w14:val="tx1"/>
                  </w14:solidFill>
                </w14:textFill>
              </w:rPr>
              <w:t>m</w:t>
            </w:r>
            <w:r>
              <w:rPr>
                <w:rFonts w:hint="eastAsia"/>
                <w:color w:val="000000" w:themeColor="text1"/>
                <w:sz w:val="24"/>
                <w:u w:val="none" w:color="auto"/>
                <w:vertAlign w:val="superscript"/>
                <w:lang w:val="en-US" w:eastAsia="zh-CN"/>
                <w14:textFill>
                  <w14:solidFill>
                    <w14:schemeClr w14:val="tx1"/>
                  </w14:solidFill>
                </w14:textFill>
              </w:rPr>
              <w:t>3</w:t>
            </w:r>
            <w:r>
              <w:rPr>
                <w:rFonts w:hint="eastAsia"/>
                <w:color w:val="000000" w:themeColor="text1"/>
                <w:sz w:val="24"/>
                <w:u w:val="none" w:color="auto"/>
                <w:lang w:val="en-US" w:eastAsia="zh-CN"/>
                <w14:textFill>
                  <w14:solidFill>
                    <w14:schemeClr w14:val="tx1"/>
                  </w14:solidFill>
                </w14:textFill>
              </w:rPr>
              <w:t>/d</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（1408t/a）。</w:t>
            </w:r>
          </w:p>
          <w:p w14:paraId="7A1F25DC">
            <w:pPr>
              <w:keepNext w:val="0"/>
              <w:keepLines w:val="0"/>
              <w:pageBreakBefore w:val="0"/>
              <w:kinsoku/>
              <w:wordWrap/>
              <w:overflowPunct/>
              <w:topLinePunct w:val="0"/>
              <w:autoSpaceDE/>
              <w:autoSpaceDN/>
              <w:bidi w:val="0"/>
              <w:spacing w:line="440" w:lineRule="exact"/>
              <w:ind w:firstLine="482" w:firstLineChars="200"/>
              <w:textAlignment w:val="auto"/>
              <w:rPr>
                <w:rFonts w:hint="default"/>
                <w:b/>
                <w:bCs/>
                <w:color w:val="000000"/>
                <w:sz w:val="24"/>
                <w:u w:val="none" w:color="auto"/>
                <w:lang w:val="en-US" w:eastAsia="zh-CN"/>
              </w:rPr>
            </w:pPr>
            <w:r>
              <w:rPr>
                <w:rFonts w:hint="eastAsia"/>
                <w:b/>
                <w:bCs/>
                <w:color w:val="000000"/>
                <w:sz w:val="24"/>
                <w:u w:val="none" w:color="auto"/>
                <w:lang w:val="en-US" w:eastAsia="zh-CN"/>
              </w:rPr>
              <w:t>（2）生活用水</w:t>
            </w:r>
          </w:p>
          <w:p w14:paraId="6E0E1F41">
            <w:pPr>
              <w:keepNext w:val="0"/>
              <w:keepLines w:val="0"/>
              <w:pageBreakBefore w:val="0"/>
              <w:kinsoku/>
              <w:wordWrap/>
              <w:overflowPunct/>
              <w:topLinePunct w:val="0"/>
              <w:autoSpaceDE/>
              <w:autoSpaceDN/>
              <w:bidi w:val="0"/>
              <w:spacing w:line="440" w:lineRule="exact"/>
              <w:ind w:firstLine="480" w:firstLineChars="200"/>
              <w:textAlignment w:val="auto"/>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本项目职工150人，年工作330天，厂区内不提供食宿。生活用水按照30L/人•d计，则生活用水量为4.5m</w:t>
            </w:r>
            <w:r>
              <w:rPr>
                <w:rFonts w:hint="eastAsia" w:ascii="Times New Roman" w:hAnsi="Times New Roman" w:eastAsia="宋体" w:cs="Times New Roman"/>
                <w:color w:val="000000" w:themeColor="text1"/>
                <w:sz w:val="24"/>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/d（1485m</w:t>
            </w:r>
            <w:r>
              <w:rPr>
                <w:rFonts w:hint="eastAsia" w:ascii="Times New Roman" w:hAnsi="Times New Roman" w:eastAsia="宋体" w:cs="Times New Roman"/>
                <w:color w:val="000000" w:themeColor="text1"/>
                <w:sz w:val="24"/>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/a），产污系数均按照80%计，则生活污水排放量为3.6m</w:t>
            </w:r>
            <w:r>
              <w:rPr>
                <w:rFonts w:hint="eastAsia" w:ascii="Times New Roman" w:hAnsi="Times New Roman" w:eastAsia="宋体" w:cs="Times New Roman"/>
                <w:color w:val="000000" w:themeColor="text1"/>
                <w:sz w:val="24"/>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/d（1188m</w:t>
            </w:r>
            <w:r>
              <w:rPr>
                <w:rFonts w:hint="eastAsia" w:ascii="Times New Roman" w:hAnsi="Times New Roman" w:eastAsia="宋体" w:cs="Times New Roman"/>
                <w:color w:val="000000" w:themeColor="text1"/>
                <w:sz w:val="24"/>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/a）。</w:t>
            </w:r>
          </w:p>
          <w:p w14:paraId="1A633962">
            <w:pPr>
              <w:pStyle w:val="3"/>
              <w:keepNext w:val="0"/>
              <w:keepLines w:val="0"/>
              <w:pageBreakBefore w:val="0"/>
              <w:widowControl w:val="0"/>
              <w:kinsoku/>
              <w:wordWrap/>
              <w:overflowPunct/>
              <w:topLinePunct w:val="0"/>
              <w:autoSpaceDE/>
              <w:autoSpaceDN/>
              <w:bidi w:val="0"/>
              <w:adjustRightInd w:val="0"/>
              <w:snapToGrid w:val="0"/>
              <w:spacing w:after="0" w:line="440" w:lineRule="exact"/>
              <w:ind w:left="0" w:leftChars="0" w:firstLine="482" w:firstLineChars="200"/>
              <w:textAlignment w:val="auto"/>
              <w:rPr>
                <w:rFonts w:hint="default" w:eastAsia="宋体"/>
                <w:b/>
                <w:color w:val="000000" w:themeColor="text1"/>
                <w:szCs w:val="24"/>
                <w:u w:val="none" w:color="auto"/>
                <w:lang w:val="en-US" w:eastAsia="zh-CN"/>
                <w14:textFill>
                  <w14:solidFill>
                    <w14:schemeClr w14:val="tx1"/>
                  </w14:solidFill>
                </w14:textFill>
              </w:rPr>
            </w:pPr>
            <w:r>
              <w:rPr>
                <w:rFonts w:hint="eastAsia"/>
                <w:b/>
                <w:color w:val="000000" w:themeColor="text1"/>
                <w:szCs w:val="24"/>
                <w:u w:val="none" w:color="auto"/>
                <w:lang w:val="en-US" w:eastAsia="zh-CN"/>
                <w14:textFill>
                  <w14:solidFill>
                    <w14:schemeClr w14:val="tx1"/>
                  </w14:solidFill>
                </w14:textFill>
              </w:rPr>
              <w:t>7</w:t>
            </w:r>
            <w:r>
              <w:rPr>
                <w:rFonts w:hint="eastAsia"/>
                <w:b/>
                <w:color w:val="000000" w:themeColor="text1"/>
                <w:szCs w:val="24"/>
                <w:u w:val="none" w:color="auto"/>
                <w14:textFill>
                  <w14:solidFill>
                    <w14:schemeClr w14:val="tx1"/>
                  </w14:solidFill>
                </w14:textFill>
              </w:rPr>
              <w:t>、</w:t>
            </w:r>
            <w:r>
              <w:rPr>
                <w:rFonts w:hint="eastAsia"/>
                <w:b/>
                <w:color w:val="000000" w:themeColor="text1"/>
                <w:szCs w:val="24"/>
                <w:u w:val="none" w:color="auto"/>
                <w:lang w:val="en-US" w:eastAsia="zh-CN"/>
                <w14:textFill>
                  <w14:solidFill>
                    <w14:schemeClr w14:val="tx1"/>
                  </w14:solidFill>
                </w14:textFill>
              </w:rPr>
              <w:t>本项目NMP物料平衡</w:t>
            </w:r>
          </w:p>
          <w:p w14:paraId="7D41BE12">
            <w:pPr>
              <w:keepNext w:val="0"/>
              <w:keepLines w:val="0"/>
              <w:pageBreakBefore w:val="0"/>
              <w:widowControl w:val="0"/>
              <w:kinsoku/>
              <w:wordWrap/>
              <w:overflowPunct/>
              <w:topLinePunct w:val="0"/>
              <w:autoSpaceDE/>
              <w:autoSpaceDN/>
              <w:bidi w:val="0"/>
              <w:spacing w:line="440" w:lineRule="exact"/>
              <w:ind w:firstLine="480" w:firstLineChars="200"/>
              <w:rPr>
                <w:rFonts w:hint="default" w:ascii="Times New Roman" w:hAnsi="Times New Roman" w:cs="Times New Roman"/>
                <w:color w:val="000000"/>
                <w:kern w:val="0"/>
                <w:sz w:val="24"/>
                <w:szCs w:val="24"/>
                <w:u w:val="none" w:color="auto"/>
                <w:lang w:val="en-US" w:eastAsia="zh-CN" w:bidi="ar-SA"/>
              </w:rPr>
            </w:pPr>
            <w:r>
              <w:rPr>
                <w:rFonts w:hint="eastAsia" w:ascii="Times New Roman" w:hAnsi="Times New Roman" w:cs="Times New Roman"/>
                <w:color w:val="000000"/>
                <w:kern w:val="0"/>
                <w:sz w:val="24"/>
                <w:szCs w:val="24"/>
                <w:u w:val="none" w:color="auto"/>
                <w:lang w:val="en-US" w:eastAsia="zh-CN" w:bidi="ar-SA"/>
              </w:rPr>
              <w:t>NMP回收系统物料平衡表见下表。</w:t>
            </w:r>
          </w:p>
          <w:p w14:paraId="1738FA66">
            <w:pPr>
              <w:pStyle w:val="17"/>
              <w:keepNext w:val="0"/>
              <w:keepLines w:val="0"/>
              <w:pageBreakBefore w:val="0"/>
              <w:widowControl w:val="0"/>
              <w:kinsoku/>
              <w:wordWrap/>
              <w:overflowPunct/>
              <w:topLinePunct w:val="0"/>
              <w:autoSpaceDE/>
              <w:autoSpaceDN/>
              <w:bidi w:val="0"/>
              <w:adjustRightInd w:val="0"/>
              <w:snapToGrid w:val="0"/>
              <w:spacing w:line="440" w:lineRule="exact"/>
              <w:ind w:firstLine="458" w:firstLineChars="200"/>
              <w:textAlignment w:val="baseline"/>
              <w:rPr>
                <w:rFonts w:hint="eastAsia" w:ascii="Times New Roman" w:hAnsi="Times New Roman" w:eastAsia="宋体" w:cs="Times New Roman"/>
                <w:bCs/>
                <w:color w:val="auto"/>
                <w:spacing w:val="-6"/>
                <w:sz w:val="24"/>
                <w:szCs w:val="24"/>
                <w:u w:val="none" w:color="auto"/>
              </w:rPr>
            </w:pPr>
          </w:p>
          <w:p w14:paraId="731B8581">
            <w:pPr>
              <w:pStyle w:val="17"/>
              <w:keepNext w:val="0"/>
              <w:keepLines w:val="0"/>
              <w:pageBreakBefore w:val="0"/>
              <w:widowControl w:val="0"/>
              <w:kinsoku/>
              <w:wordWrap/>
              <w:overflowPunct/>
              <w:topLinePunct w:val="0"/>
              <w:autoSpaceDE/>
              <w:autoSpaceDN/>
              <w:bidi w:val="0"/>
              <w:adjustRightInd w:val="0"/>
              <w:snapToGrid w:val="0"/>
              <w:spacing w:line="440" w:lineRule="exact"/>
              <w:ind w:firstLine="458" w:firstLineChars="200"/>
              <w:textAlignment w:val="baseline"/>
              <w:rPr>
                <w:rFonts w:hint="eastAsia" w:ascii="Times New Roman" w:hAnsi="Times New Roman" w:cs="Times New Roman"/>
                <w:bCs/>
                <w:color w:val="auto"/>
                <w:spacing w:val="-6"/>
                <w:sz w:val="24"/>
                <w:szCs w:val="24"/>
                <w:u w:val="none" w:color="auto"/>
                <w:lang w:val="en-US" w:eastAsia="zh-CN"/>
              </w:rPr>
            </w:pPr>
            <w:r>
              <w:rPr>
                <w:rFonts w:hint="eastAsia" w:ascii="Times New Roman" w:hAnsi="Times New Roman" w:eastAsia="宋体" w:cs="Times New Roman"/>
                <w:bCs/>
                <w:color w:val="auto"/>
                <w:spacing w:val="-6"/>
                <w:sz w:val="24"/>
                <w:szCs w:val="24"/>
                <w:u w:val="none" w:color="auto"/>
              </w:rPr>
              <w:t>表2-</w:t>
            </w:r>
            <w:r>
              <w:rPr>
                <w:rFonts w:hint="eastAsia" w:ascii="Times New Roman" w:hAnsi="Times New Roman" w:cs="Times New Roman"/>
                <w:bCs/>
                <w:color w:val="auto"/>
                <w:spacing w:val="-6"/>
                <w:sz w:val="24"/>
                <w:szCs w:val="24"/>
                <w:u w:val="none" w:color="auto"/>
                <w:lang w:val="en-US" w:eastAsia="zh-CN"/>
              </w:rPr>
              <w:t>6</w:t>
            </w:r>
            <w:r>
              <w:rPr>
                <w:rFonts w:hint="eastAsia" w:ascii="Times New Roman" w:hAnsi="Times New Roman" w:eastAsia="宋体" w:cs="Times New Roman"/>
                <w:bCs/>
                <w:color w:val="auto"/>
                <w:spacing w:val="-6"/>
                <w:sz w:val="24"/>
                <w:szCs w:val="24"/>
                <w:u w:val="none" w:color="auto"/>
              </w:rPr>
              <w:t xml:space="preserve">  </w:t>
            </w:r>
            <w:r>
              <w:rPr>
                <w:rFonts w:hint="eastAsia" w:ascii="Times New Roman" w:hAnsi="Times New Roman" w:cs="Times New Roman"/>
                <w:bCs/>
                <w:color w:val="auto"/>
                <w:spacing w:val="-6"/>
                <w:sz w:val="24"/>
                <w:szCs w:val="24"/>
                <w:u w:val="none" w:color="auto"/>
                <w:lang w:val="en-US" w:eastAsia="zh-CN"/>
              </w:rPr>
              <w:t>本项目NMP回收系统平衡表  t/a</w:t>
            </w:r>
          </w:p>
          <w:tbl>
            <w:tblPr>
              <w:tblStyle w:val="33"/>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1500"/>
              <w:gridCol w:w="1594"/>
              <w:gridCol w:w="1708"/>
              <w:gridCol w:w="1427"/>
            </w:tblGrid>
            <w:tr w14:paraId="0B1C846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pct"/>
                  <w:vMerge w:val="restart"/>
                  <w:tcBorders>
                    <w:tl2br w:val="nil"/>
                    <w:tr2bl w:val="nil"/>
                  </w:tcBorders>
                  <w:vAlign w:val="center"/>
                </w:tcPr>
                <w:p w14:paraId="0DF0AA51">
                  <w:pPr>
                    <w:adjustRightInd w:val="0"/>
                    <w:snapToGrid w:val="0"/>
                    <w:jc w:val="center"/>
                    <w:rPr>
                      <w:rFonts w:ascii="宋体" w:hAnsi="宋体"/>
                      <w:b/>
                      <w:bCs/>
                      <w:color w:val="auto"/>
                      <w:szCs w:val="21"/>
                      <w:u w:val="none" w:color="auto"/>
                    </w:rPr>
                  </w:pPr>
                  <w:r>
                    <w:rPr>
                      <w:rFonts w:hint="eastAsia" w:ascii="宋体" w:hAnsi="宋体"/>
                      <w:b/>
                      <w:bCs/>
                      <w:color w:val="auto"/>
                      <w:szCs w:val="21"/>
                      <w:u w:val="none" w:color="auto"/>
                    </w:rPr>
                    <w:t>序号</w:t>
                  </w:r>
                </w:p>
              </w:tc>
              <w:tc>
                <w:tcPr>
                  <w:tcW w:w="2069" w:type="pct"/>
                  <w:gridSpan w:val="2"/>
                  <w:tcBorders>
                    <w:tl2br w:val="nil"/>
                    <w:tr2bl w:val="nil"/>
                  </w:tcBorders>
                  <w:vAlign w:val="center"/>
                </w:tcPr>
                <w:p w14:paraId="5F095650">
                  <w:pPr>
                    <w:adjustRightInd w:val="0"/>
                    <w:snapToGrid w:val="0"/>
                    <w:jc w:val="center"/>
                    <w:rPr>
                      <w:rFonts w:hint="default" w:ascii="宋体" w:hAnsi="宋体" w:eastAsia="宋体"/>
                      <w:b/>
                      <w:bCs/>
                      <w:color w:val="auto"/>
                      <w:szCs w:val="21"/>
                      <w:u w:val="none" w:color="auto"/>
                      <w:lang w:val="en-US" w:eastAsia="zh-CN"/>
                    </w:rPr>
                  </w:pPr>
                  <w:r>
                    <w:rPr>
                      <w:rFonts w:hint="eastAsia" w:ascii="宋体" w:hAnsi="宋体"/>
                      <w:b/>
                      <w:bCs/>
                      <w:color w:val="auto"/>
                      <w:szCs w:val="21"/>
                      <w:u w:val="none" w:color="auto"/>
                      <w:lang w:val="en-US" w:eastAsia="zh-CN"/>
                    </w:rPr>
                    <w:t>入方</w:t>
                  </w:r>
                </w:p>
              </w:tc>
              <w:tc>
                <w:tcPr>
                  <w:tcW w:w="2096" w:type="pct"/>
                  <w:gridSpan w:val="2"/>
                  <w:tcBorders>
                    <w:tl2br w:val="nil"/>
                    <w:tr2bl w:val="nil"/>
                  </w:tcBorders>
                  <w:vAlign w:val="center"/>
                </w:tcPr>
                <w:p w14:paraId="17821D98">
                  <w:pPr>
                    <w:adjustRightInd w:val="0"/>
                    <w:snapToGrid w:val="0"/>
                    <w:jc w:val="center"/>
                    <w:rPr>
                      <w:rFonts w:ascii="宋体" w:hAnsi="宋体"/>
                      <w:b/>
                      <w:bCs/>
                      <w:color w:val="auto"/>
                      <w:szCs w:val="21"/>
                      <w:u w:val="none" w:color="auto"/>
                    </w:rPr>
                  </w:pPr>
                  <w:r>
                    <w:rPr>
                      <w:rFonts w:hint="eastAsia" w:ascii="宋体" w:hAnsi="宋体"/>
                      <w:b/>
                      <w:bCs/>
                      <w:color w:val="auto"/>
                      <w:szCs w:val="21"/>
                      <w:u w:val="none" w:color="auto"/>
                    </w:rPr>
                    <w:t>出方</w:t>
                  </w:r>
                </w:p>
              </w:tc>
            </w:tr>
            <w:tr w14:paraId="188A8D0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pct"/>
                  <w:vMerge w:val="continue"/>
                  <w:tcBorders>
                    <w:bottom w:val="single" w:color="000000" w:sz="8" w:space="0"/>
                    <w:tl2br w:val="nil"/>
                    <w:tr2bl w:val="nil"/>
                  </w:tcBorders>
                  <w:vAlign w:val="center"/>
                </w:tcPr>
                <w:p w14:paraId="5DDB5D12">
                  <w:pPr>
                    <w:adjustRightInd w:val="0"/>
                    <w:snapToGrid w:val="0"/>
                    <w:jc w:val="center"/>
                    <w:rPr>
                      <w:rFonts w:ascii="宋体" w:hAnsi="宋体"/>
                      <w:b/>
                      <w:bCs/>
                      <w:color w:val="auto"/>
                      <w:szCs w:val="21"/>
                      <w:u w:val="none" w:color="auto"/>
                    </w:rPr>
                  </w:pPr>
                </w:p>
              </w:tc>
              <w:tc>
                <w:tcPr>
                  <w:tcW w:w="1003" w:type="pct"/>
                  <w:tcBorders>
                    <w:bottom w:val="single" w:color="000000" w:sz="8" w:space="0"/>
                    <w:tl2br w:val="nil"/>
                    <w:tr2bl w:val="nil"/>
                  </w:tcBorders>
                  <w:vAlign w:val="center"/>
                </w:tcPr>
                <w:p w14:paraId="3D6E0C87">
                  <w:pPr>
                    <w:adjustRightInd w:val="0"/>
                    <w:snapToGrid w:val="0"/>
                    <w:jc w:val="center"/>
                    <w:rPr>
                      <w:rFonts w:ascii="宋体" w:hAnsi="宋体"/>
                      <w:b/>
                      <w:bCs/>
                      <w:color w:val="auto"/>
                      <w:szCs w:val="21"/>
                      <w:u w:val="none" w:color="auto"/>
                    </w:rPr>
                  </w:pPr>
                  <w:r>
                    <w:rPr>
                      <w:rFonts w:hint="eastAsia" w:ascii="宋体" w:hAnsi="宋体"/>
                      <w:b/>
                      <w:bCs/>
                      <w:color w:val="auto"/>
                      <w:szCs w:val="21"/>
                      <w:u w:val="none" w:color="auto"/>
                    </w:rPr>
                    <w:t>物料名称</w:t>
                  </w:r>
                </w:p>
              </w:tc>
              <w:tc>
                <w:tcPr>
                  <w:tcW w:w="1066" w:type="pct"/>
                  <w:tcBorders>
                    <w:bottom w:val="single" w:color="000000" w:sz="8" w:space="0"/>
                    <w:tl2br w:val="nil"/>
                    <w:tr2bl w:val="nil"/>
                  </w:tcBorders>
                  <w:vAlign w:val="center"/>
                </w:tcPr>
                <w:p w14:paraId="07DBAC72">
                  <w:pPr>
                    <w:adjustRightInd w:val="0"/>
                    <w:snapToGrid w:val="0"/>
                    <w:jc w:val="center"/>
                    <w:rPr>
                      <w:rFonts w:ascii="宋体" w:hAnsi="宋体"/>
                      <w:b/>
                      <w:bCs/>
                      <w:color w:val="auto"/>
                      <w:szCs w:val="21"/>
                      <w:u w:val="none" w:color="auto"/>
                    </w:rPr>
                  </w:pPr>
                  <w:r>
                    <w:rPr>
                      <w:rFonts w:hint="eastAsia" w:ascii="宋体" w:hAnsi="宋体"/>
                      <w:b/>
                      <w:bCs/>
                      <w:color w:val="auto"/>
                      <w:szCs w:val="21"/>
                      <w:u w:val="none" w:color="auto"/>
                    </w:rPr>
                    <w:t>数量</w:t>
                  </w:r>
                </w:p>
              </w:tc>
              <w:tc>
                <w:tcPr>
                  <w:tcW w:w="1142" w:type="pct"/>
                  <w:tcBorders>
                    <w:bottom w:val="single" w:color="000000" w:sz="8" w:space="0"/>
                    <w:tl2br w:val="nil"/>
                    <w:tr2bl w:val="nil"/>
                  </w:tcBorders>
                  <w:vAlign w:val="center"/>
                </w:tcPr>
                <w:p w14:paraId="7DF5B17C">
                  <w:pPr>
                    <w:widowControl/>
                    <w:adjustRightInd w:val="0"/>
                    <w:snapToGrid w:val="0"/>
                    <w:jc w:val="center"/>
                    <w:rPr>
                      <w:rFonts w:ascii="宋体" w:hAnsi="宋体" w:cs="宋体"/>
                      <w:b/>
                      <w:color w:val="auto"/>
                      <w:kern w:val="0"/>
                      <w:szCs w:val="21"/>
                      <w:u w:val="none" w:color="auto"/>
                    </w:rPr>
                  </w:pPr>
                  <w:r>
                    <w:rPr>
                      <w:rFonts w:hint="eastAsia" w:ascii="宋体" w:hAnsi="宋体" w:cs="宋体"/>
                      <w:b/>
                      <w:color w:val="auto"/>
                      <w:kern w:val="0"/>
                      <w:szCs w:val="21"/>
                      <w:u w:val="none" w:color="auto"/>
                    </w:rPr>
                    <w:t>回收液</w:t>
                  </w:r>
                </w:p>
              </w:tc>
              <w:tc>
                <w:tcPr>
                  <w:tcW w:w="954" w:type="pct"/>
                  <w:tcBorders>
                    <w:bottom w:val="single" w:color="000000" w:sz="8" w:space="0"/>
                    <w:tl2br w:val="nil"/>
                    <w:tr2bl w:val="nil"/>
                  </w:tcBorders>
                  <w:vAlign w:val="center"/>
                </w:tcPr>
                <w:p w14:paraId="7EF495AD">
                  <w:pPr>
                    <w:widowControl/>
                    <w:adjustRightInd w:val="0"/>
                    <w:snapToGrid w:val="0"/>
                    <w:jc w:val="center"/>
                    <w:rPr>
                      <w:rFonts w:hint="default" w:ascii="宋体" w:hAnsi="宋体" w:eastAsia="宋体" w:cs="宋体"/>
                      <w:b/>
                      <w:color w:val="auto"/>
                      <w:kern w:val="0"/>
                      <w:szCs w:val="21"/>
                      <w:u w:val="none" w:color="auto"/>
                      <w:lang w:val="en-US" w:eastAsia="zh-CN"/>
                    </w:rPr>
                  </w:pPr>
                  <w:r>
                    <w:rPr>
                      <w:rFonts w:hint="eastAsia" w:ascii="宋体" w:hAnsi="宋体" w:cs="宋体"/>
                      <w:b/>
                      <w:color w:val="auto"/>
                      <w:kern w:val="0"/>
                      <w:szCs w:val="21"/>
                      <w:u w:val="none" w:color="auto"/>
                      <w:lang w:val="en-US" w:eastAsia="zh-CN"/>
                    </w:rPr>
                    <w:t>废气排放</w:t>
                  </w:r>
                </w:p>
              </w:tc>
            </w:tr>
            <w:tr w14:paraId="0594137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pct"/>
                  <w:tcBorders>
                    <w:top w:val="single" w:color="000000" w:sz="8" w:space="0"/>
                    <w:tl2br w:val="nil"/>
                    <w:tr2bl w:val="nil"/>
                  </w:tcBorders>
                  <w:vAlign w:val="center"/>
                </w:tcPr>
                <w:p w14:paraId="072DC476">
                  <w:pPr>
                    <w:adjustRightInd w:val="0"/>
                    <w:snapToGrid w:val="0"/>
                    <w:jc w:val="center"/>
                    <w:rPr>
                      <w:rFonts w:hint="default" w:ascii="Times New Roman" w:hAnsi="Times New Roman" w:eastAsia="宋体" w:cs="Times New Roman"/>
                      <w:bCs/>
                      <w:color w:val="auto"/>
                      <w:szCs w:val="21"/>
                      <w:u w:val="none" w:color="auto"/>
                    </w:rPr>
                  </w:pPr>
                  <w:r>
                    <w:rPr>
                      <w:rFonts w:hint="default" w:ascii="Times New Roman" w:hAnsi="Times New Roman" w:eastAsia="宋体" w:cs="Times New Roman"/>
                      <w:bCs/>
                      <w:color w:val="auto"/>
                      <w:szCs w:val="21"/>
                      <w:u w:val="none" w:color="auto"/>
                    </w:rPr>
                    <w:t>1</w:t>
                  </w:r>
                </w:p>
              </w:tc>
              <w:tc>
                <w:tcPr>
                  <w:tcW w:w="1003" w:type="pct"/>
                  <w:tcBorders>
                    <w:top w:val="single" w:color="000000" w:sz="8" w:space="0"/>
                    <w:tl2br w:val="nil"/>
                    <w:tr2bl w:val="nil"/>
                  </w:tcBorders>
                  <w:vAlign w:val="center"/>
                </w:tcPr>
                <w:p w14:paraId="6B88851C">
                  <w:pPr>
                    <w:adjustRightInd w:val="0"/>
                    <w:snapToGrid w:val="0"/>
                    <w:jc w:val="cente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NMP</w:t>
                  </w:r>
                </w:p>
              </w:tc>
              <w:tc>
                <w:tcPr>
                  <w:tcW w:w="1066" w:type="pct"/>
                  <w:tcBorders>
                    <w:top w:val="single" w:color="000000" w:sz="8" w:space="0"/>
                    <w:tl2br w:val="nil"/>
                    <w:tr2bl w:val="nil"/>
                  </w:tcBorders>
                  <w:vAlign w:val="center"/>
                </w:tcPr>
                <w:p w14:paraId="36176F11">
                  <w:pPr>
                    <w:adjustRightInd w:val="0"/>
                    <w:snapToGrid w:val="0"/>
                    <w:jc w:val="cente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1280.92</w:t>
                  </w:r>
                </w:p>
              </w:tc>
              <w:tc>
                <w:tcPr>
                  <w:tcW w:w="1142" w:type="pct"/>
                  <w:vMerge w:val="restart"/>
                  <w:tcBorders>
                    <w:top w:val="single" w:color="000000" w:sz="8" w:space="0"/>
                    <w:tl2br w:val="nil"/>
                    <w:tr2bl w:val="nil"/>
                  </w:tcBorders>
                  <w:vAlign w:val="center"/>
                </w:tcPr>
                <w:p w14:paraId="3CCDF1FD">
                  <w:pPr>
                    <w:adjustRightInd w:val="0"/>
                    <w:snapToGrid w:val="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cs="Times New Roman"/>
                      <w:color w:val="000000" w:themeColor="text1"/>
                      <w:sz w:val="21"/>
                      <w:szCs w:val="21"/>
                      <w:highlight w:val="none"/>
                      <w:u w:val="none" w:color="auto"/>
                      <w:lang w:val="en-US" w:eastAsia="zh-CN"/>
                      <w14:textFill>
                        <w14:solidFill>
                          <w14:schemeClr w14:val="tx1"/>
                        </w14:solidFill>
                      </w14:textFill>
                    </w:rPr>
                    <w:t>2687.263</w:t>
                  </w:r>
                </w:p>
              </w:tc>
              <w:tc>
                <w:tcPr>
                  <w:tcW w:w="954" w:type="pct"/>
                  <w:vMerge w:val="restart"/>
                  <w:tcBorders>
                    <w:top w:val="single" w:color="000000" w:sz="8" w:space="0"/>
                    <w:tl2br w:val="nil"/>
                    <w:tr2bl w:val="nil"/>
                  </w:tcBorders>
                  <w:vAlign w:val="center"/>
                </w:tcPr>
                <w:p w14:paraId="68AFE0BE">
                  <w:pPr>
                    <w:adjustRightInd w:val="0"/>
                    <w:snapToGrid w:val="0"/>
                    <w:jc w:val="center"/>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cs="Times New Roman"/>
                      <w:color w:val="000000" w:themeColor="text1"/>
                      <w:sz w:val="21"/>
                      <w:szCs w:val="21"/>
                      <w:highlight w:val="none"/>
                      <w:u w:val="none" w:color="auto"/>
                      <w:lang w:val="en-US" w:eastAsia="zh-CN"/>
                      <w14:textFill>
                        <w14:solidFill>
                          <w14:schemeClr w14:val="tx1"/>
                        </w14:solidFill>
                      </w14:textFill>
                    </w:rPr>
                    <w:t>1.657</w:t>
                  </w:r>
                </w:p>
              </w:tc>
            </w:tr>
            <w:tr w14:paraId="107A726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pct"/>
                  <w:tcBorders>
                    <w:tl2br w:val="nil"/>
                    <w:tr2bl w:val="nil"/>
                  </w:tcBorders>
                  <w:vAlign w:val="center"/>
                </w:tcPr>
                <w:p w14:paraId="658AC6BF">
                  <w:pPr>
                    <w:adjustRightInd w:val="0"/>
                    <w:snapToGrid w:val="0"/>
                    <w:jc w:val="center"/>
                    <w:rPr>
                      <w:rFonts w:hint="default" w:ascii="Times New Roman" w:hAnsi="Times New Roman" w:eastAsia="宋体" w:cs="Times New Roman"/>
                      <w:bCs/>
                      <w:color w:val="auto"/>
                      <w:szCs w:val="21"/>
                      <w:u w:val="none" w:color="auto"/>
                      <w:lang w:val="en-US" w:eastAsia="zh-CN"/>
                    </w:rPr>
                  </w:pPr>
                  <w:r>
                    <w:rPr>
                      <w:rFonts w:hint="default" w:ascii="Times New Roman" w:hAnsi="Times New Roman" w:eastAsia="宋体" w:cs="Times New Roman"/>
                      <w:bCs/>
                      <w:color w:val="auto"/>
                      <w:szCs w:val="21"/>
                      <w:u w:val="none" w:color="auto"/>
                      <w:lang w:val="en-US" w:eastAsia="zh-CN"/>
                    </w:rPr>
                    <w:t>2</w:t>
                  </w:r>
                </w:p>
              </w:tc>
              <w:tc>
                <w:tcPr>
                  <w:tcW w:w="1003" w:type="pct"/>
                  <w:tcBorders>
                    <w:tl2br w:val="nil"/>
                    <w:tr2bl w:val="nil"/>
                  </w:tcBorders>
                  <w:vAlign w:val="center"/>
                </w:tcPr>
                <w:p w14:paraId="6C5DF05E">
                  <w:pPr>
                    <w:adjustRightInd w:val="0"/>
                    <w:snapToGrid w:val="0"/>
                    <w:jc w:val="center"/>
                    <w:rPr>
                      <w:rFonts w:hint="default" w:ascii="宋体" w:hAnsi="宋体" w:eastAsia="宋体" w:cs="宋体"/>
                      <w:color w:val="auto"/>
                      <w:szCs w:val="21"/>
                      <w:u w:val="none" w:color="auto"/>
                      <w:lang w:val="en-US" w:eastAsia="zh-CN"/>
                    </w:rPr>
                  </w:pPr>
                  <w:r>
                    <w:rPr>
                      <w:rFonts w:hint="eastAsia" w:ascii="宋体" w:hAnsi="宋体" w:cs="宋体"/>
                      <w:color w:val="auto"/>
                      <w:szCs w:val="21"/>
                      <w:u w:val="none" w:color="auto"/>
                      <w:lang w:val="en-US" w:eastAsia="zh-CN"/>
                    </w:rPr>
                    <w:t>水喷淋补水</w:t>
                  </w:r>
                </w:p>
              </w:tc>
              <w:tc>
                <w:tcPr>
                  <w:tcW w:w="1066" w:type="pct"/>
                  <w:tcBorders>
                    <w:tl2br w:val="nil"/>
                    <w:tr2bl w:val="nil"/>
                  </w:tcBorders>
                  <w:vAlign w:val="center"/>
                </w:tcPr>
                <w:p w14:paraId="74273EC0">
                  <w:pPr>
                    <w:adjustRightInd w:val="0"/>
                    <w:snapToGrid w:val="0"/>
                    <w:jc w:val="center"/>
                    <w:rPr>
                      <w:rFonts w:hint="default" w:ascii="宋体" w:hAnsi="宋体" w:eastAsia="宋体" w:cs="宋体"/>
                      <w:color w:val="auto"/>
                      <w:szCs w:val="21"/>
                      <w:u w:val="none" w:color="auto"/>
                      <w:lang w:val="en-US" w:eastAsia="zh-CN"/>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1408</w:t>
                  </w:r>
                </w:p>
              </w:tc>
              <w:tc>
                <w:tcPr>
                  <w:tcW w:w="1142" w:type="pct"/>
                  <w:vMerge w:val="continue"/>
                  <w:tcBorders>
                    <w:tl2br w:val="nil"/>
                    <w:tr2bl w:val="nil"/>
                  </w:tcBorders>
                  <w:vAlign w:val="center"/>
                </w:tcPr>
                <w:p w14:paraId="71F77CB2">
                  <w:pPr>
                    <w:adjustRightInd w:val="0"/>
                    <w:snapToGrid w:val="0"/>
                    <w:jc w:val="center"/>
                    <w:rPr>
                      <w:rFonts w:hint="default" w:ascii="宋体" w:hAnsi="宋体"/>
                      <w:bCs/>
                      <w:color w:val="auto"/>
                      <w:szCs w:val="21"/>
                      <w:u w:val="none" w:color="auto"/>
                      <w:lang w:val="en-US"/>
                    </w:rPr>
                  </w:pPr>
                </w:p>
              </w:tc>
              <w:tc>
                <w:tcPr>
                  <w:tcW w:w="954" w:type="pct"/>
                  <w:vMerge w:val="continue"/>
                  <w:tcBorders>
                    <w:tl2br w:val="nil"/>
                    <w:tr2bl w:val="nil"/>
                  </w:tcBorders>
                  <w:vAlign w:val="center"/>
                </w:tcPr>
                <w:p w14:paraId="7A5DEC46">
                  <w:pPr>
                    <w:adjustRightInd w:val="0"/>
                    <w:snapToGrid w:val="0"/>
                    <w:jc w:val="center"/>
                    <w:rPr>
                      <w:rFonts w:hint="default" w:ascii="宋体" w:hAnsi="宋体"/>
                      <w:bCs/>
                      <w:color w:val="auto"/>
                      <w:szCs w:val="21"/>
                      <w:u w:val="none" w:color="auto"/>
                      <w:lang w:val="en-US"/>
                    </w:rPr>
                  </w:pPr>
                </w:p>
              </w:tc>
            </w:tr>
            <w:tr w14:paraId="61F9850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pct"/>
                  <w:tcBorders>
                    <w:tl2br w:val="nil"/>
                    <w:tr2bl w:val="nil"/>
                  </w:tcBorders>
                  <w:vAlign w:val="center"/>
                </w:tcPr>
                <w:p w14:paraId="646C5C7F">
                  <w:pPr>
                    <w:adjustRightInd w:val="0"/>
                    <w:snapToGrid w:val="0"/>
                    <w:jc w:val="center"/>
                    <w:rPr>
                      <w:rFonts w:hint="eastAsia" w:ascii="宋体" w:hAnsi="宋体" w:eastAsia="宋体"/>
                      <w:bCs/>
                      <w:color w:val="auto"/>
                      <w:szCs w:val="21"/>
                      <w:u w:val="none" w:color="auto"/>
                      <w:lang w:val="en-US" w:eastAsia="zh-CN"/>
                    </w:rPr>
                  </w:pPr>
                  <w:r>
                    <w:rPr>
                      <w:rFonts w:hint="eastAsia" w:ascii="宋体" w:hAnsi="宋体"/>
                      <w:bCs/>
                      <w:color w:val="auto"/>
                      <w:szCs w:val="21"/>
                      <w:u w:val="none" w:color="auto"/>
                      <w:lang w:val="en-US" w:eastAsia="zh-CN"/>
                    </w:rPr>
                    <w:t>合计</w:t>
                  </w:r>
                </w:p>
              </w:tc>
              <w:tc>
                <w:tcPr>
                  <w:tcW w:w="2069" w:type="pct"/>
                  <w:gridSpan w:val="2"/>
                  <w:tcBorders>
                    <w:tl2br w:val="nil"/>
                    <w:tr2bl w:val="nil"/>
                  </w:tcBorders>
                  <w:vAlign w:val="center"/>
                </w:tcPr>
                <w:p w14:paraId="0949C712">
                  <w:pPr>
                    <w:adjustRightInd w:val="0"/>
                    <w:snapToGrid w:val="0"/>
                    <w:jc w:val="center"/>
                    <w:rPr>
                      <w:rFonts w:hint="default" w:ascii="宋体" w:hAnsi="宋体" w:eastAsia="宋体"/>
                      <w:bCs/>
                      <w:color w:val="auto"/>
                      <w:szCs w:val="21"/>
                      <w:u w:val="none" w:color="auto"/>
                      <w:lang w:val="en-US" w:eastAsia="zh-CN"/>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2688.92</w:t>
                  </w:r>
                </w:p>
              </w:tc>
              <w:tc>
                <w:tcPr>
                  <w:tcW w:w="2096" w:type="pct"/>
                  <w:gridSpan w:val="2"/>
                  <w:tcBorders>
                    <w:tl2br w:val="nil"/>
                    <w:tr2bl w:val="nil"/>
                  </w:tcBorders>
                  <w:vAlign w:val="center"/>
                </w:tcPr>
                <w:p w14:paraId="2A665FA3">
                  <w:pPr>
                    <w:adjustRightInd w:val="0"/>
                    <w:snapToGrid w:val="0"/>
                    <w:jc w:val="center"/>
                    <w:rPr>
                      <w:rFonts w:hint="default" w:ascii="宋体" w:hAnsi="宋体"/>
                      <w:bCs/>
                      <w:color w:val="auto"/>
                      <w:szCs w:val="21"/>
                      <w:u w:val="none" w:color="auto"/>
                      <w:lang w:val="en-US"/>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2688.92</w:t>
                  </w:r>
                </w:p>
              </w:tc>
            </w:tr>
            <w:tr w14:paraId="253AC94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5"/>
                  <w:tcBorders>
                    <w:tl2br w:val="nil"/>
                    <w:tr2bl w:val="nil"/>
                  </w:tcBorders>
                  <w:vAlign w:val="center"/>
                </w:tcPr>
                <w:p w14:paraId="02D756ED">
                  <w:pPr>
                    <w:adjustRightInd w:val="0"/>
                    <w:snapToGrid w:val="0"/>
                    <w:jc w:val="both"/>
                    <w:rPr>
                      <w:rFonts w:hint="default" w:cs="Times New Roman"/>
                      <w:color w:val="000000" w:themeColor="text1"/>
                      <w:sz w:val="21"/>
                      <w:szCs w:val="21"/>
                      <w:highlight w:val="none"/>
                      <w:u w:val="none" w:color="auto"/>
                      <w:lang w:val="en-US" w:eastAsia="zh-CN"/>
                      <w14:textFill>
                        <w14:solidFill>
                          <w14:schemeClr w14:val="tx1"/>
                        </w14:solidFill>
                      </w14:textFill>
                    </w:rPr>
                  </w:pPr>
                  <w:r>
                    <w:rPr>
                      <w:rFonts w:hint="eastAsia" w:cs="Times New Roman"/>
                      <w:color w:val="000000" w:themeColor="text1"/>
                      <w:sz w:val="21"/>
                      <w:szCs w:val="21"/>
                      <w:highlight w:val="none"/>
                      <w:u w:val="none" w:color="auto"/>
                      <w:lang w:val="en-US" w:eastAsia="zh-CN"/>
                      <w14:textFill>
                        <w14:solidFill>
                          <w14:schemeClr w14:val="tx1"/>
                        </w14:solidFill>
                      </w14:textFill>
                    </w:rPr>
                    <w:t>备注：本项目NMP排放量合计为1.657t/a（有组织排放量（1.537t/a）、无组织排放量0.12t/a）</w:t>
                  </w:r>
                </w:p>
              </w:tc>
            </w:tr>
          </w:tbl>
          <w:p w14:paraId="1A944E9C">
            <w:pPr>
              <w:keepNext w:val="0"/>
              <w:keepLines w:val="0"/>
              <w:pageBreakBefore w:val="0"/>
              <w:widowControl w:val="0"/>
              <w:kinsoku/>
              <w:wordWrap/>
              <w:overflowPunct/>
              <w:topLinePunct w:val="0"/>
              <w:autoSpaceDE/>
              <w:autoSpaceDN/>
              <w:bidi w:val="0"/>
              <w:spacing w:line="240" w:lineRule="auto"/>
              <w:jc w:val="center"/>
              <w:textAlignment w:val="baseline"/>
              <w:rPr>
                <w:u w:val="none" w:color="auto"/>
              </w:rPr>
            </w:pPr>
            <w:r>
              <w:rPr>
                <w:u w:val="none" w:color="auto"/>
              </w:rPr>
              <w:object>
                <v:shape id="_x0000_i1025" o:spt="75" type="#_x0000_t75" style="height:472.9pt;width:373.25pt;" o:ole="t" filled="f" o:preferrelative="t" stroked="f" coordsize="21600,21600">
                  <v:path/>
                  <v:fill on="f" focussize="0,0"/>
                  <v:stroke on="f"/>
                  <v:imagedata r:id="rId29" o:title=""/>
                  <o:lock v:ext="edit" aspectratio="t"/>
                  <w10:wrap type="none"/>
                  <w10:anchorlock/>
                </v:shape>
                <o:OLEObject Type="Embed" ProgID="Visio.Drawing.11" ShapeID="_x0000_i1025" DrawAspect="Content" ObjectID="_1468075725" r:id="rId28">
                  <o:LockedField>false</o:LockedField>
                </o:OLEObject>
              </w:object>
            </w:r>
          </w:p>
          <w:p w14:paraId="510B656D">
            <w:pPr>
              <w:keepNext w:val="0"/>
              <w:keepLines w:val="0"/>
              <w:pageBreakBefore w:val="0"/>
              <w:widowControl w:val="0"/>
              <w:kinsoku/>
              <w:wordWrap/>
              <w:overflowPunct/>
              <w:topLinePunct w:val="0"/>
              <w:autoSpaceDE/>
              <w:autoSpaceDN/>
              <w:bidi w:val="0"/>
              <w:spacing w:line="240" w:lineRule="auto"/>
              <w:jc w:val="center"/>
              <w:textAlignment w:val="baseline"/>
              <w:rPr>
                <w:rFonts w:hint="default"/>
                <w:b/>
                <w:bCs/>
                <w:color w:val="000000" w:themeColor="text1"/>
                <w:sz w:val="24"/>
                <w:u w:val="none" w:color="auto"/>
                <w14:textFill>
                  <w14:solidFill>
                    <w14:schemeClr w14:val="tx1"/>
                  </w14:solidFill>
                </w14:textFill>
              </w:rPr>
            </w:pPr>
            <w:r>
              <w:rPr>
                <w:rFonts w:hint="default"/>
                <w:b/>
                <w:bCs/>
                <w:color w:val="000000" w:themeColor="text1"/>
                <w:sz w:val="24"/>
                <w:u w:val="none" w:color="auto"/>
                <w14:textFill>
                  <w14:solidFill>
                    <w14:schemeClr w14:val="tx1"/>
                  </w14:solidFill>
                </w14:textFill>
              </w:rPr>
              <w:t>图</w:t>
            </w:r>
            <w:r>
              <w:rPr>
                <w:rFonts w:hint="default"/>
                <w:b/>
                <w:bCs/>
                <w:color w:val="000000" w:themeColor="text1"/>
                <w:sz w:val="24"/>
                <w:u w:val="none" w:color="auto"/>
                <w:lang w:val="en-US" w:eastAsia="zh-CN"/>
                <w14:textFill>
                  <w14:solidFill>
                    <w14:schemeClr w14:val="tx1"/>
                  </w14:solidFill>
                </w14:textFill>
              </w:rPr>
              <w:t>2-1</w:t>
            </w:r>
            <w:r>
              <w:rPr>
                <w:rFonts w:hint="default"/>
                <w:b/>
                <w:bCs/>
                <w:color w:val="000000" w:themeColor="text1"/>
                <w:sz w:val="24"/>
                <w:u w:val="none" w:color="auto"/>
                <w14:textFill>
                  <w14:solidFill>
                    <w14:schemeClr w14:val="tx1"/>
                  </w14:solidFill>
                </w14:textFill>
              </w:rPr>
              <w:t xml:space="preserve">  </w:t>
            </w:r>
            <w:r>
              <w:rPr>
                <w:rFonts w:hint="eastAsia"/>
                <w:b/>
                <w:bCs/>
                <w:color w:val="000000" w:themeColor="text1"/>
                <w:sz w:val="24"/>
                <w:u w:val="none" w:color="auto"/>
                <w:lang w:val="en-US" w:eastAsia="zh-CN"/>
                <w14:textFill>
                  <w14:solidFill>
                    <w14:schemeClr w14:val="tx1"/>
                  </w14:solidFill>
                </w14:textFill>
              </w:rPr>
              <w:t xml:space="preserve">  </w:t>
            </w:r>
            <w:r>
              <w:rPr>
                <w:rFonts w:hint="default"/>
                <w:b/>
                <w:bCs/>
                <w:color w:val="000000" w:themeColor="text1"/>
                <w:sz w:val="24"/>
                <w:u w:val="none" w:color="auto"/>
                <w14:textFill>
                  <w14:solidFill>
                    <w14:schemeClr w14:val="tx1"/>
                  </w14:solidFill>
                </w14:textFill>
              </w:rPr>
              <w:t>本项目水平衡图  单位m</w:t>
            </w:r>
            <w:r>
              <w:rPr>
                <w:rFonts w:hint="default"/>
                <w:b/>
                <w:bCs/>
                <w:color w:val="000000" w:themeColor="text1"/>
                <w:sz w:val="24"/>
                <w:u w:val="none" w:color="auto"/>
                <w:vertAlign w:val="superscript"/>
                <w14:textFill>
                  <w14:solidFill>
                    <w14:schemeClr w14:val="tx1"/>
                  </w14:solidFill>
                </w14:textFill>
              </w:rPr>
              <w:t>3</w:t>
            </w:r>
            <w:r>
              <w:rPr>
                <w:rFonts w:hint="default"/>
                <w:b/>
                <w:bCs/>
                <w:color w:val="000000" w:themeColor="text1"/>
                <w:sz w:val="24"/>
                <w:u w:val="none" w:color="auto"/>
                <w14:textFill>
                  <w14:solidFill>
                    <w14:schemeClr w14:val="tx1"/>
                  </w14:solidFill>
                </w14:textFill>
              </w:rPr>
              <w:t>/d</w:t>
            </w:r>
          </w:p>
          <w:p w14:paraId="3034FAD3">
            <w:pPr>
              <w:pStyle w:val="3"/>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textAlignment w:val="auto"/>
              <w:rPr>
                <w:b/>
                <w:bCs/>
                <w:spacing w:val="-7"/>
                <w:sz w:val="24"/>
                <w:szCs w:val="24"/>
                <w:u w:val="none" w:color="auto"/>
              </w:rPr>
            </w:pPr>
            <w:r>
              <w:rPr>
                <w:rFonts w:hint="eastAsia"/>
                <w:b/>
                <w:bCs/>
                <w:spacing w:val="-7"/>
                <w:sz w:val="24"/>
                <w:szCs w:val="24"/>
                <w:u w:val="none" w:color="auto"/>
                <w:lang w:val="en-US" w:eastAsia="zh-CN"/>
              </w:rPr>
              <w:t>8、</w:t>
            </w:r>
            <w:r>
              <w:rPr>
                <w:b/>
                <w:bCs/>
                <w:spacing w:val="-7"/>
                <w:sz w:val="24"/>
                <w:szCs w:val="24"/>
                <w:u w:val="none" w:color="auto"/>
              </w:rPr>
              <w:t>厂房布置简述</w:t>
            </w:r>
          </w:p>
          <w:p w14:paraId="441B4B31">
            <w:pPr>
              <w:pStyle w:val="2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auto"/>
              <w:outlineLvl w:val="0"/>
              <w:rPr>
                <w:rFonts w:hint="eastAsia" w:ascii="Times New Roman" w:hAnsi="宋体" w:eastAsia="宋体" w:cs="Times New Roman"/>
                <w:color w:val="000000"/>
                <w:kern w:val="2"/>
                <w:sz w:val="24"/>
                <w:szCs w:val="24"/>
                <w:u w:val="none" w:color="auto"/>
                <w:lang w:val="en-US" w:eastAsia="zh-CN" w:bidi="ar-SA"/>
              </w:rPr>
            </w:pPr>
            <w:r>
              <w:rPr>
                <w:rFonts w:hint="eastAsia" w:ascii="Times New Roman" w:hAnsi="宋体" w:eastAsia="宋体" w:cs="Times New Roman"/>
                <w:color w:val="000000"/>
                <w:kern w:val="2"/>
                <w:sz w:val="24"/>
                <w:szCs w:val="24"/>
                <w:u w:val="none" w:color="auto"/>
                <w:lang w:val="en-US" w:eastAsia="zh-CN" w:bidi="ar-SA"/>
              </w:rPr>
              <w:t>本项目位于河南省新乡市新乡高新技术产业开发区新中大道与德源路交叉口西南角，原料库、成品库、生产线均位于生产车间内，成品库位于生产线西侧，原料库位于配料北侧，本项目建成后，生产工序顺畅，平面布局合理。厂房平面布置图详见附图。</w:t>
            </w:r>
          </w:p>
        </w:tc>
      </w:tr>
    </w:tbl>
    <w:p w14:paraId="6DCC9028">
      <w:pPr>
        <w:bidi w:val="0"/>
        <w:rPr>
          <w:u w:val="none" w:color="auto"/>
        </w:rPr>
      </w:pPr>
    </w:p>
    <w:tbl>
      <w:tblPr>
        <w:tblStyle w:val="32"/>
        <w:tblW w:w="89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7"/>
        <w:gridCol w:w="8022"/>
      </w:tblGrid>
      <w:tr w14:paraId="54CECB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927" w:type="dxa"/>
            <w:vAlign w:val="center"/>
          </w:tcPr>
          <w:p w14:paraId="6157513C">
            <w:pPr>
              <w:pStyle w:val="29"/>
              <w:adjustRightInd w:val="0"/>
              <w:snapToGrid w:val="0"/>
              <w:spacing w:before="0" w:beforeAutospacing="0" w:after="0" w:afterAutospacing="0"/>
              <w:jc w:val="center"/>
              <w:rPr>
                <w:rFonts w:hint="eastAsia" w:ascii="Times New Roman" w:hAnsi="Times New Roman" w:cs="宋体"/>
                <w:sz w:val="21"/>
                <w:szCs w:val="21"/>
                <w:u w:val="none" w:color="auto"/>
              </w:rPr>
            </w:pPr>
            <w:r>
              <w:rPr>
                <w:rFonts w:ascii="Times New Roman" w:hAnsi="Times New Roman"/>
                <w:kern w:val="2"/>
                <w:sz w:val="21"/>
                <w:szCs w:val="21"/>
                <w:u w:val="none" w:color="auto"/>
              </w:rPr>
              <w:t>工艺流程和产排污环节</w:t>
            </w:r>
          </w:p>
        </w:tc>
        <w:tc>
          <w:tcPr>
            <w:tcW w:w="8022" w:type="dxa"/>
          </w:tcPr>
          <w:p w14:paraId="629C8A7E">
            <w:pPr>
              <w:pStyle w:val="15"/>
              <w:numPr>
                <w:ilvl w:val="0"/>
                <w:numId w:val="0"/>
              </w:numPr>
              <w:adjustRightInd w:val="0"/>
              <w:snapToGrid w:val="0"/>
              <w:spacing w:line="360" w:lineRule="auto"/>
              <w:ind w:leftChars="200"/>
              <w:rPr>
                <w:rFonts w:ascii="Times New Roman" w:hAnsi="Times New Roman"/>
                <w:b/>
                <w:bCs/>
                <w:color w:val="auto"/>
                <w:sz w:val="24"/>
                <w:highlight w:val="none"/>
                <w:u w:val="none" w:color="auto"/>
              </w:rPr>
            </w:pPr>
            <w:r>
              <w:rPr>
                <w:rFonts w:hint="eastAsia" w:ascii="Times New Roman" w:hAnsi="Times New Roman"/>
                <w:b/>
                <w:bCs/>
                <w:color w:val="auto"/>
                <w:sz w:val="24"/>
                <w:highlight w:val="none"/>
                <w:u w:val="none" w:color="auto"/>
                <w:lang w:val="en-US" w:eastAsia="zh-CN"/>
              </w:rPr>
              <w:t>一、</w:t>
            </w:r>
            <w:r>
              <w:rPr>
                <w:rFonts w:ascii="Times New Roman" w:hAnsi="Times New Roman"/>
                <w:b/>
                <w:bCs/>
                <w:color w:val="auto"/>
                <w:sz w:val="24"/>
                <w:highlight w:val="none"/>
                <w:u w:val="none" w:color="auto"/>
              </w:rPr>
              <w:t>营运期生产工艺流程及产污环节</w:t>
            </w:r>
          </w:p>
          <w:p w14:paraId="1BE6CCAE">
            <w:pPr>
              <w:pStyle w:val="15"/>
              <w:widowControl w:val="0"/>
              <w:numPr>
                <w:ilvl w:val="0"/>
                <w:numId w:val="0"/>
              </w:numPr>
              <w:adjustRightInd w:val="0"/>
              <w:snapToGrid w:val="0"/>
              <w:spacing w:line="360" w:lineRule="auto"/>
              <w:ind w:firstLine="480" w:firstLineChars="200"/>
              <w:jc w:val="both"/>
              <w:rPr>
                <w:rFonts w:hint="default" w:eastAsia="宋体"/>
                <w:bCs/>
                <w:color w:val="000000"/>
                <w:sz w:val="24"/>
                <w:szCs w:val="21"/>
                <w:u w:val="none" w:color="auto"/>
                <w:lang w:val="en-US" w:eastAsia="zh-CN"/>
              </w:rPr>
            </w:pPr>
            <w:r>
              <w:rPr>
                <w:bCs/>
                <w:color w:val="000000"/>
                <w:sz w:val="24"/>
                <w:szCs w:val="21"/>
                <w:u w:val="none" w:color="auto"/>
              </w:rPr>
              <w:object>
                <v:shape id="_x0000_i1026" o:spt="75" type="#_x0000_t75" style="height:538.05pt;width:346pt;" o:ole="t" filled="f" o:preferrelative="t" stroked="f" coordsize="21600,21600">
                  <v:path/>
                  <v:fill on="f" focussize="0,0"/>
                  <v:stroke on="f"/>
                  <v:imagedata r:id="rId31" o:title=""/>
                  <o:lock v:ext="edit" aspectratio="f"/>
                  <w10:wrap type="none"/>
                  <w10:anchorlock/>
                </v:shape>
                <o:OLEObject Type="Embed" ProgID="Visio.Drawing.11" ShapeID="_x0000_i1026" DrawAspect="Content" ObjectID="_1468075726" r:id="rId30">
                  <o:LockedField>false</o:LockedField>
                </o:OLEObject>
              </w:object>
            </w:r>
          </w:p>
          <w:p w14:paraId="514B3244">
            <w:pPr>
              <w:pStyle w:val="14"/>
              <w:jc w:val="center"/>
              <w:rPr>
                <w:rFonts w:hint="default" w:ascii="Times New Roman" w:hAnsi="Times New Roman" w:eastAsia="宋体" w:cs="Times New Roman"/>
                <w:b/>
                <w:bCs/>
                <w:sz w:val="24"/>
                <w:szCs w:val="24"/>
                <w:u w:val="none" w:color="auto"/>
                <w:lang w:val="en-US" w:eastAsia="zh-CN"/>
              </w:rPr>
            </w:pPr>
            <w:r>
              <w:rPr>
                <w:rFonts w:hint="default" w:ascii="Times New Roman" w:hAnsi="Times New Roman" w:eastAsia="宋体" w:cs="Times New Roman"/>
                <w:b/>
                <w:bCs/>
                <w:sz w:val="24"/>
                <w:szCs w:val="24"/>
                <w:u w:val="none" w:color="auto"/>
                <w:lang w:val="en-US" w:eastAsia="zh-CN"/>
              </w:rPr>
              <w:t>图2-</w:t>
            </w:r>
            <w:r>
              <w:rPr>
                <w:rFonts w:hint="eastAsia" w:cs="Times New Roman"/>
                <w:b/>
                <w:bCs/>
                <w:sz w:val="24"/>
                <w:szCs w:val="24"/>
                <w:u w:val="none" w:color="auto"/>
                <w:lang w:val="en-US" w:eastAsia="zh-CN"/>
              </w:rPr>
              <w:t>3</w:t>
            </w:r>
            <w:r>
              <w:rPr>
                <w:rFonts w:hint="default" w:ascii="Times New Roman" w:hAnsi="Times New Roman" w:eastAsia="宋体" w:cs="Times New Roman"/>
                <w:b/>
                <w:bCs/>
                <w:sz w:val="24"/>
                <w:szCs w:val="24"/>
                <w:u w:val="none" w:color="auto"/>
                <w:lang w:val="en-US" w:eastAsia="zh-CN"/>
              </w:rPr>
              <w:t xml:space="preserve">    锂离子电池生产工艺流程图及产污环节图</w:t>
            </w:r>
          </w:p>
          <w:p w14:paraId="18757B5E">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eastAsia="宋体"/>
                <w:color w:val="000000" w:themeColor="text1"/>
                <w:sz w:val="24"/>
                <w:u w:val="none" w:color="auto"/>
                <w:lang w:val="en-US" w:eastAsia="zh-CN"/>
                <w14:textFill>
                  <w14:solidFill>
                    <w14:schemeClr w14:val="tx1"/>
                  </w14:solidFill>
                </w14:textFill>
              </w:rPr>
            </w:pPr>
            <w:r>
              <w:rPr>
                <w:rFonts w:hint="eastAsia"/>
                <w:color w:val="000000" w:themeColor="text1"/>
                <w:sz w:val="24"/>
                <w:u w:val="none" w:color="auto"/>
                <w:lang w:val="en-US" w:eastAsia="zh-CN"/>
                <w14:textFill>
                  <w14:solidFill>
                    <w14:schemeClr w14:val="tx1"/>
                  </w14:solidFill>
                </w14:textFill>
              </w:rPr>
              <w:t>工艺流程简述：</w:t>
            </w:r>
          </w:p>
          <w:p w14:paraId="523A5A31">
            <w:pPr>
              <w:keepNext w:val="0"/>
              <w:keepLines w:val="0"/>
              <w:pageBreakBefore w:val="0"/>
              <w:widowControl w:val="0"/>
              <w:tabs>
                <w:tab w:val="center" w:pos="3903"/>
              </w:tabs>
              <w:kinsoku/>
              <w:wordWrap/>
              <w:overflowPunct/>
              <w:topLinePunct w:val="0"/>
              <w:autoSpaceDE/>
              <w:autoSpaceDN/>
              <w:bidi w:val="0"/>
              <w:adjustRightInd/>
              <w:snapToGrid/>
              <w:spacing w:line="440" w:lineRule="exact"/>
              <w:ind w:firstLine="482" w:firstLineChars="200"/>
              <w:textAlignment w:val="auto"/>
              <w:rPr>
                <w:rFonts w:hint="default" w:eastAsia="宋体"/>
                <w:b/>
                <w:bCs/>
                <w:color w:val="000000" w:themeColor="text1"/>
                <w:sz w:val="24"/>
                <w:u w:val="none" w:color="auto"/>
                <w:lang w:val="en-US" w:eastAsia="zh-CN"/>
                <w14:textFill>
                  <w14:solidFill>
                    <w14:schemeClr w14:val="tx1"/>
                  </w14:solidFill>
                </w14:textFill>
              </w:rPr>
            </w:pPr>
            <w:r>
              <w:rPr>
                <w:rFonts w:hint="eastAsia"/>
                <w:b/>
                <w:bCs/>
                <w:color w:val="000000" w:themeColor="text1"/>
                <w:sz w:val="24"/>
                <w:u w:val="none" w:color="auto"/>
                <w:lang w:val="en-US" w:eastAsia="zh-CN"/>
                <w14:textFill>
                  <w14:solidFill>
                    <w14:schemeClr w14:val="tx1"/>
                  </w14:solidFill>
                </w14:textFill>
              </w:rPr>
              <w:t>配料制浆：</w:t>
            </w:r>
          </w:p>
          <w:p w14:paraId="05681D7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eastAsia="宋体"/>
                <w:color w:val="000000" w:themeColor="text1"/>
                <w:sz w:val="24"/>
                <w:szCs w:val="24"/>
                <w:u w:val="none" w:color="auto"/>
                <w:lang w:val="en-US" w:eastAsia="zh-CN"/>
                <w14:textFill>
                  <w14:solidFill>
                    <w14:schemeClr w14:val="tx1"/>
                  </w14:solidFill>
                </w14:textFill>
              </w:rPr>
            </w:pPr>
            <w:r>
              <w:rPr>
                <w:rFonts w:hint="default"/>
                <w:sz w:val="24"/>
                <w:szCs w:val="24"/>
                <w:u w:val="none" w:color="auto"/>
              </w:rPr>
              <w:t>a、正极</w:t>
            </w:r>
            <w:r>
              <w:rPr>
                <w:rFonts w:hint="eastAsia"/>
                <w:sz w:val="24"/>
                <w:szCs w:val="24"/>
                <w:u w:val="none" w:color="auto"/>
              </w:rPr>
              <w:t>配料</w:t>
            </w:r>
            <w:r>
              <w:rPr>
                <w:rFonts w:hint="default"/>
                <w:sz w:val="24"/>
                <w:szCs w:val="24"/>
                <w:u w:val="none" w:color="auto"/>
              </w:rPr>
              <w:t>：将正极材料粉状锰酸锂</w:t>
            </w:r>
            <w:r>
              <w:rPr>
                <w:rFonts w:hint="eastAsia"/>
                <w:sz w:val="24"/>
                <w:szCs w:val="24"/>
                <w:u w:val="none" w:color="auto"/>
                <w:lang w:val="en-US" w:eastAsia="zh-CN"/>
              </w:rPr>
              <w:t>/镍钴锰酸锂</w:t>
            </w:r>
            <w:r>
              <w:rPr>
                <w:rFonts w:hint="default"/>
                <w:sz w:val="24"/>
                <w:szCs w:val="24"/>
                <w:u w:val="none" w:color="auto"/>
              </w:rPr>
              <w:t>和正极粘结剂颗粒状聚偏氟乙烯(PVDF)使用</w:t>
            </w:r>
            <w:r>
              <w:rPr>
                <w:rFonts w:hint="eastAsia"/>
                <w:sz w:val="24"/>
                <w:szCs w:val="24"/>
                <w:u w:val="none" w:color="auto"/>
                <w:lang w:val="en-US" w:eastAsia="zh-CN"/>
              </w:rPr>
              <w:t>真空上料系统</w:t>
            </w:r>
            <w:r>
              <w:rPr>
                <w:rFonts w:hint="default"/>
                <w:sz w:val="24"/>
                <w:szCs w:val="24"/>
                <w:u w:val="none" w:color="auto"/>
              </w:rPr>
              <w:t>投入到搅拌机中，随后，通过双螺杆浆料输送泵将溶剂N-甲基吡咯烷酮（NMP）、导电浆（CNTs）按配方比例加入到搅拌机内。常温密闭状态下进行搅拌混料（混料时原料会释放热量，因此混合机需用循环冷却水冷却）。搅拌罐设置有专用出料口，搅拌完成后通过专用输料管与出料口连接，经泵送至涂布机内。</w:t>
            </w:r>
          </w:p>
          <w:p w14:paraId="152B32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cs="Times New Roman"/>
                <w:color w:val="000000"/>
                <w:sz w:val="24"/>
                <w:u w:val="none" w:color="auto"/>
                <w:lang w:eastAsia="zh-CN"/>
              </w:rPr>
            </w:pPr>
            <w:r>
              <w:rPr>
                <w:rFonts w:hint="eastAsia" w:ascii="宋体" w:hAnsi="宋体" w:cs="Times New Roman"/>
                <w:color w:val="000000"/>
                <w:sz w:val="24"/>
                <w:u w:val="none" w:color="auto"/>
                <w:lang w:val="en-US" w:eastAsia="zh-CN"/>
              </w:rPr>
              <w:t>粉体物料</w:t>
            </w:r>
            <w:r>
              <w:rPr>
                <w:rFonts w:hint="default" w:ascii="宋体" w:hAnsi="宋体" w:eastAsia="宋体" w:cs="Times New Roman"/>
                <w:color w:val="000000"/>
                <w:sz w:val="24"/>
                <w:u w:val="none" w:color="auto"/>
              </w:rPr>
              <w:t>投料过程为：</w:t>
            </w:r>
            <w:r>
              <w:rPr>
                <w:rFonts w:hint="eastAsia" w:ascii="宋体" w:hAnsi="宋体" w:cs="Times New Roman"/>
                <w:color w:val="000000"/>
                <w:sz w:val="24"/>
                <w:u w:val="none" w:color="auto"/>
                <w:lang w:val="en-US" w:eastAsia="zh-CN"/>
              </w:rPr>
              <w:t>本项目粉体物料投料工序位于生产车间内的密闭投料间，采用投料站投料方式，自动投料站的投料过程为：物料投料时</w:t>
            </w:r>
            <w:r>
              <w:rPr>
                <w:rFonts w:hint="eastAsia"/>
                <w:sz w:val="24"/>
                <w:u w:val="none" w:color="auto"/>
              </w:rPr>
              <w:t>通过电动葫芦提升移动至</w:t>
            </w:r>
            <w:r>
              <w:rPr>
                <w:rFonts w:hint="eastAsia"/>
                <w:sz w:val="24"/>
                <w:u w:val="none" w:color="auto"/>
                <w:lang w:val="en-US" w:eastAsia="zh-CN"/>
              </w:rPr>
              <w:t>投料站上方，</w:t>
            </w:r>
            <w:r>
              <w:rPr>
                <w:sz w:val="24"/>
                <w:u w:val="none" w:color="auto"/>
              </w:rPr>
              <w:t>人工将原料袋打开，将真空上料系统一端插入原料袋内，按照比例投加到搅拌机中。</w:t>
            </w:r>
            <w:r>
              <w:rPr>
                <w:rFonts w:hint="eastAsia" w:ascii="宋体" w:hAnsi="宋体" w:cs="Times New Roman"/>
                <w:color w:val="000000"/>
                <w:sz w:val="24"/>
                <w:u w:val="none" w:color="auto"/>
                <w:lang w:eastAsia="zh-CN"/>
              </w:rPr>
              <w:t>真空上料机的投料过程为：真空上料机利用真空泵（文丘里原理）产生真空，真空产生的负压将物料从进料管入口吸入；在分离容器的过滤仓内，过滤仓内设置有滤芯</w:t>
            </w:r>
            <w:r>
              <w:rPr>
                <w:rFonts w:hint="eastAsia" w:ascii="宋体" w:hAnsi="宋体" w:cs="Times New Roman"/>
                <w:color w:val="000000"/>
                <w:sz w:val="24"/>
                <w:u w:val="none" w:color="auto"/>
                <w:lang w:val="en-US" w:eastAsia="zh-CN"/>
              </w:rPr>
              <w:t>除尘器</w:t>
            </w:r>
            <w:r>
              <w:rPr>
                <w:rFonts w:hint="eastAsia" w:ascii="宋体" w:hAnsi="宋体" w:cs="Times New Roman"/>
                <w:color w:val="000000"/>
                <w:sz w:val="24"/>
                <w:u w:val="none" w:color="auto"/>
                <w:lang w:eastAsia="zh-CN"/>
              </w:rPr>
              <w:t>，将空气与物料进行分离；物料在重力作用下自动落下，物料被收集在料仓中。待料仓充满物料时，真空泵自动关闭，输送设备内的压力达到平衡。放料阀开启，物料通过出料口流出，并直接落入搅拌</w:t>
            </w:r>
            <w:r>
              <w:rPr>
                <w:rFonts w:hint="eastAsia"/>
                <w:sz w:val="24"/>
                <w:szCs w:val="24"/>
                <w:u w:val="none" w:color="auto"/>
                <w:lang w:eastAsia="zh-CN"/>
              </w:rPr>
              <w:t>机内。投料结束出料舱自动关闭，待下次投料整个输送流程再次启动。</w:t>
            </w:r>
          </w:p>
          <w:p w14:paraId="55BFEB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color w:val="000000" w:themeColor="text1"/>
                <w:sz w:val="24"/>
                <w:u w:val="none" w:color="auto"/>
                <w14:textFill>
                  <w14:solidFill>
                    <w14:schemeClr w14:val="tx1"/>
                  </w14:solidFill>
                </w14:textFill>
              </w:rPr>
            </w:pPr>
            <w:r>
              <w:rPr>
                <w:rFonts w:hint="default" w:ascii="Times New Roman" w:hAnsi="Times New Roman" w:eastAsia="宋体" w:cs="Times New Roman"/>
                <w:sz w:val="24"/>
                <w:u w:val="none" w:color="auto"/>
              </w:rPr>
              <w:t>正极溶剂在贮存、</w:t>
            </w:r>
            <w:r>
              <w:rPr>
                <w:rFonts w:hint="eastAsia" w:ascii="Times New Roman" w:hAnsi="Times New Roman" w:eastAsia="宋体" w:cs="Times New Roman"/>
                <w:sz w:val="24"/>
                <w:u w:val="none" w:color="auto"/>
              </w:rPr>
              <w:t>配料</w:t>
            </w:r>
            <w:r>
              <w:rPr>
                <w:rFonts w:hint="default" w:ascii="Times New Roman" w:hAnsi="Times New Roman" w:eastAsia="宋体" w:cs="Times New Roman"/>
                <w:sz w:val="24"/>
                <w:u w:val="none" w:color="auto"/>
              </w:rPr>
              <w:t>过程中产生的有机废气：正极溶剂N-甲基吡咯烷酮（NMP）由罐车运输入厂，由泵抽入储罐内贮存</w:t>
            </w:r>
            <w:r>
              <w:rPr>
                <w:rFonts w:hint="default" w:ascii="Times New Roman" w:hAnsi="Times New Roman" w:eastAsia="宋体" w:cs="Times New Roman"/>
                <w:color w:val="000000" w:themeColor="text1"/>
                <w:sz w:val="24"/>
                <w:u w:val="none" w:color="auto"/>
                <w14:textFill>
                  <w14:solidFill>
                    <w14:schemeClr w14:val="tx1"/>
                  </w14:solidFill>
                </w14:textFill>
              </w:rPr>
              <w:t>。</w:t>
            </w:r>
          </w:p>
          <w:p w14:paraId="7A52EE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color w:val="000000" w:themeColor="text1"/>
                <w:sz w:val="24"/>
                <w:u w:val="none" w:color="auto"/>
                <w14:textFill>
                  <w14:solidFill>
                    <w14:schemeClr w14:val="tx1"/>
                  </w14:solidFill>
                </w14:textFill>
              </w:rPr>
            </w:pPr>
            <w:r>
              <w:rPr>
                <w:rFonts w:hint="default" w:ascii="Times New Roman" w:hAnsi="Times New Roman" w:eastAsia="宋体" w:cs="Times New Roman"/>
                <w:sz w:val="24"/>
                <w:u w:val="none" w:color="auto"/>
              </w:rPr>
              <w:t>在向搅拌机注入溶剂时，采用往复式真空泵抽料，会产生一些真空尾气，投料完成后，关闭搅拌机上的真空阀门，搅拌机处于密闭状态，搅拌过程中不会有粉尘和有机废气产生。但搅拌结束后，需进行抽真空处理，以消除搅拌过程中浆料内产生的气泡。也会产生一些真空尾气。</w:t>
            </w:r>
            <w:r>
              <w:rPr>
                <w:rFonts w:hint="default" w:ascii="Times New Roman" w:hAnsi="Times New Roman" w:eastAsia="宋体" w:cs="Times New Roman"/>
                <w:color w:val="000000" w:themeColor="text1"/>
                <w:sz w:val="24"/>
                <w:u w:val="none" w:color="auto"/>
                <w14:textFill>
                  <w14:solidFill>
                    <w14:schemeClr w14:val="tx1"/>
                  </w14:solidFill>
                </w14:textFill>
              </w:rPr>
              <w:t>治理措施为：将真空泵尾气排放口通入废气治理装置NMP高塔回收系统治理</w:t>
            </w:r>
            <w:r>
              <w:rPr>
                <w:rFonts w:hint="eastAsia" w:ascii="Times New Roman" w:hAnsi="Times New Roman" w:eastAsia="宋体" w:cs="Times New Roman"/>
                <w:color w:val="000000" w:themeColor="text1"/>
                <w:sz w:val="24"/>
                <w:u w:val="none" w:color="auto"/>
                <w14:textFill>
                  <w14:solidFill>
                    <w14:schemeClr w14:val="tx1"/>
                  </w14:solidFill>
                </w14:textFill>
              </w:rPr>
              <w:t>，</w:t>
            </w:r>
            <w:r>
              <w:rPr>
                <w:rFonts w:hint="default" w:ascii="Times New Roman" w:hAnsi="Times New Roman" w:eastAsia="宋体" w:cs="Times New Roman"/>
                <w:color w:val="000000" w:themeColor="text1"/>
                <w:sz w:val="24"/>
                <w:u w:val="none" w:color="auto"/>
                <w14:textFill>
                  <w14:solidFill>
                    <w14:schemeClr w14:val="tx1"/>
                  </w14:solidFill>
                </w14:textFill>
              </w:rPr>
              <w:t>尾气</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经</w:t>
            </w:r>
            <w:r>
              <w:rPr>
                <w:rFonts w:hint="eastAsia" w:cs="Times New Roman"/>
                <w:color w:val="000000" w:themeColor="text1"/>
                <w:sz w:val="24"/>
                <w:u w:val="none" w:color="auto"/>
                <w:lang w:val="en-US" w:eastAsia="zh-CN"/>
                <w14:textFill>
                  <w14:solidFill>
                    <w14:schemeClr w14:val="tx1"/>
                  </w14:solidFill>
                </w14:textFill>
              </w:rPr>
              <w:t>一根25m</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高排气筒</w:t>
            </w:r>
            <w:r>
              <w:rPr>
                <w:rFonts w:hint="default" w:ascii="Times New Roman" w:hAnsi="Times New Roman" w:eastAsia="宋体" w:cs="Times New Roman"/>
                <w:color w:val="000000" w:themeColor="text1"/>
                <w:sz w:val="24"/>
                <w:u w:val="none" w:color="auto"/>
                <w14:textFill>
                  <w14:solidFill>
                    <w14:schemeClr w14:val="tx1"/>
                  </w14:solidFill>
                </w14:textFill>
              </w:rPr>
              <w:t>有组织排放。</w:t>
            </w:r>
          </w:p>
          <w:p w14:paraId="471F42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sz w:val="24"/>
                <w:u w:val="none" w:color="auto"/>
              </w:rPr>
            </w:pPr>
            <w:r>
              <w:rPr>
                <w:rFonts w:hint="default" w:ascii="Times New Roman" w:hAnsi="Times New Roman" w:eastAsia="宋体" w:cs="Times New Roman"/>
                <w:sz w:val="24"/>
                <w:u w:val="none" w:color="auto"/>
              </w:rPr>
              <w:t>b、负极混料：与正极混料过程类似。将石墨粉与负极粘结剂（丁苯橡胶和羧甲基纤维素钠）依次</w:t>
            </w:r>
            <w:r>
              <w:rPr>
                <w:rFonts w:hint="eastAsia" w:ascii="Times New Roman" w:hAnsi="Times New Roman" w:eastAsia="宋体" w:cs="Times New Roman"/>
                <w:sz w:val="24"/>
                <w:u w:val="none" w:color="auto"/>
              </w:rPr>
              <w:t>放入箱式自动投料站</w:t>
            </w:r>
            <w:r>
              <w:rPr>
                <w:rFonts w:hint="default" w:ascii="Times New Roman" w:hAnsi="Times New Roman" w:eastAsia="宋体" w:cs="Times New Roman"/>
                <w:sz w:val="24"/>
                <w:u w:val="none" w:color="auto"/>
              </w:rPr>
              <w:t>（负极</w:t>
            </w:r>
            <w:r>
              <w:rPr>
                <w:rFonts w:hint="eastAsia" w:ascii="Times New Roman" w:hAnsi="Times New Roman" w:eastAsia="宋体" w:cs="Times New Roman"/>
                <w:sz w:val="24"/>
                <w:u w:val="none" w:color="auto"/>
              </w:rPr>
              <w:t>配</w:t>
            </w:r>
            <w:r>
              <w:rPr>
                <w:rFonts w:hint="default" w:ascii="Times New Roman" w:hAnsi="Times New Roman" w:eastAsia="宋体" w:cs="Times New Roman"/>
                <w:sz w:val="24"/>
                <w:u w:val="none" w:color="auto"/>
              </w:rPr>
              <w:t>料专用），投料</w:t>
            </w:r>
            <w:r>
              <w:rPr>
                <w:rFonts w:hint="eastAsia" w:ascii="Times New Roman" w:hAnsi="Times New Roman" w:eastAsia="宋体" w:cs="Times New Roman"/>
                <w:sz w:val="24"/>
                <w:u w:val="none" w:color="auto"/>
              </w:rPr>
              <w:t>过程与正极投料相同</w:t>
            </w:r>
            <w:r>
              <w:rPr>
                <w:rFonts w:hint="default" w:ascii="Times New Roman" w:hAnsi="Times New Roman" w:eastAsia="宋体" w:cs="Times New Roman"/>
                <w:sz w:val="24"/>
                <w:u w:val="none" w:color="auto"/>
              </w:rPr>
              <w:t>。用</w:t>
            </w:r>
            <w:r>
              <w:rPr>
                <w:rFonts w:hint="eastAsia" w:ascii="Times New Roman" w:hAnsi="Times New Roman" w:eastAsia="宋体" w:cs="Times New Roman"/>
                <w:sz w:val="24"/>
                <w:u w:val="none" w:color="auto"/>
              </w:rPr>
              <w:t>输送泵</w:t>
            </w:r>
            <w:r>
              <w:rPr>
                <w:rFonts w:hint="default" w:ascii="Times New Roman" w:hAnsi="Times New Roman" w:eastAsia="宋体" w:cs="Times New Roman"/>
                <w:sz w:val="24"/>
                <w:u w:val="none" w:color="auto"/>
              </w:rPr>
              <w:t>将导电浆（CNTs）按配方比例加入到搅拌机内。负极浆料采用纯水作为溶剂，在后面的涂布烘干过程中水全部挥发。</w:t>
            </w:r>
          </w:p>
          <w:p w14:paraId="75FBD4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jc w:val="both"/>
              <w:textAlignment w:val="auto"/>
              <w:rPr>
                <w:rFonts w:hint="default" w:ascii="Times New Roman" w:hAnsi="Times New Roman" w:eastAsia="宋体" w:cs="Times New Roman"/>
                <w:b/>
                <w:bCs/>
                <w:sz w:val="24"/>
                <w:u w:val="none" w:color="auto"/>
              </w:rPr>
            </w:pPr>
            <w:r>
              <w:rPr>
                <w:rFonts w:hint="eastAsia" w:ascii="Times New Roman" w:hAnsi="Times New Roman" w:eastAsia="宋体" w:cs="Times New Roman"/>
                <w:b/>
                <w:bCs/>
                <w:sz w:val="24"/>
                <w:u w:val="none" w:color="auto"/>
              </w:rPr>
              <w:t>涂布烘干工序</w:t>
            </w:r>
            <w:r>
              <w:rPr>
                <w:rFonts w:hint="default" w:ascii="Times New Roman" w:hAnsi="Times New Roman" w:eastAsia="宋体" w:cs="Times New Roman"/>
                <w:b/>
                <w:bCs/>
                <w:sz w:val="24"/>
                <w:u w:val="none" w:color="auto"/>
              </w:rPr>
              <w:t>：</w:t>
            </w:r>
          </w:p>
          <w:p w14:paraId="3CF30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sz w:val="24"/>
                <w:u w:val="none" w:color="auto"/>
              </w:rPr>
            </w:pPr>
            <w:r>
              <w:rPr>
                <w:rFonts w:hint="default" w:ascii="Times New Roman" w:hAnsi="Times New Roman" w:eastAsia="宋体" w:cs="Times New Roman"/>
                <w:sz w:val="24"/>
                <w:u w:val="none" w:color="auto"/>
              </w:rPr>
              <w:t>搅拌罐设置有专用出料口，搅拌完成后通过专用输料管与出料口连接，经泵送至涂布车间涂布模具内。</w:t>
            </w:r>
            <w:r>
              <w:rPr>
                <w:rFonts w:hint="eastAsia" w:ascii="Times New Roman" w:hAnsi="Times New Roman" w:eastAsia="宋体" w:cs="Times New Roman"/>
                <w:sz w:val="24"/>
                <w:u w:val="none" w:color="auto"/>
              </w:rPr>
              <w:t>采用涂布机涂布</w:t>
            </w:r>
            <w:r>
              <w:rPr>
                <w:rFonts w:hint="default" w:ascii="Times New Roman" w:hAnsi="Times New Roman" w:eastAsia="宋体" w:cs="Times New Roman"/>
                <w:sz w:val="24"/>
                <w:u w:val="none" w:color="auto"/>
              </w:rPr>
              <w:t>，工作时浆料在一定压力、一定流量下经过过滤装置、传送装置后沿着涂布模具的缝隙挤压喷出而转移到基材上。混合膏料均匀涂布于连续集流体的正反两面。其中，正极集流体材料为铝箔，负极集流体材料为铜箔。涂布后的湿极片进入烘箱进行烘干</w:t>
            </w:r>
            <w:r>
              <w:rPr>
                <w:rFonts w:hint="eastAsia" w:cs="Times New Roman"/>
                <w:sz w:val="24"/>
                <w:u w:val="none" w:color="auto"/>
                <w:lang w:eastAsia="zh-CN"/>
              </w:rPr>
              <w:t>，</w:t>
            </w:r>
            <w:r>
              <w:rPr>
                <w:rFonts w:hint="eastAsia" w:cs="Times New Roman"/>
                <w:sz w:val="24"/>
                <w:u w:val="none" w:color="auto"/>
                <w:lang w:val="en-US" w:eastAsia="zh-CN"/>
              </w:rPr>
              <w:t>采用热蒸汽（外购）进行加热，</w:t>
            </w:r>
            <w:r>
              <w:rPr>
                <w:rFonts w:hint="default" w:ascii="Times New Roman" w:hAnsi="Times New Roman" w:eastAsia="宋体" w:cs="Times New Roman"/>
                <w:sz w:val="24"/>
                <w:u w:val="none" w:color="auto"/>
              </w:rPr>
              <w:t>温度根据涂布速度和涂布厚度设定，一般正极片在120℃左右，负极片在90℃左右。干燥后的极片经张力调整和自动纠偏后进行收卷，供下一步工序进行加工。</w:t>
            </w:r>
          </w:p>
          <w:p w14:paraId="04D35B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sz w:val="24"/>
                <w:u w:val="none" w:color="auto"/>
              </w:rPr>
            </w:pPr>
            <w:r>
              <w:rPr>
                <w:rFonts w:hint="default" w:ascii="Times New Roman" w:hAnsi="Times New Roman" w:eastAsia="宋体" w:cs="Times New Roman"/>
                <w:sz w:val="24"/>
                <w:u w:val="none" w:color="auto"/>
              </w:rPr>
              <w:t>正极涂布材料在烘干过程中，溶剂NMP全部挥发形成有机废气，通过烘箱内的密闭管道经风机引出。同时，在涂布机槽处挥发出的溶剂，经密闭管道进入废气治理装置NMP</w:t>
            </w:r>
            <w:r>
              <w:rPr>
                <w:rFonts w:hint="eastAsia" w:ascii="Times New Roman" w:hAnsi="Times New Roman" w:eastAsia="宋体" w:cs="Times New Roman"/>
                <w:sz w:val="24"/>
                <w:u w:val="none" w:color="auto"/>
              </w:rPr>
              <w:t>高塔回收系统</w:t>
            </w:r>
            <w:r>
              <w:rPr>
                <w:rFonts w:hint="default" w:ascii="Times New Roman" w:hAnsi="Times New Roman" w:eastAsia="宋体" w:cs="Times New Roman"/>
                <w:sz w:val="24"/>
                <w:u w:val="none" w:color="auto"/>
              </w:rPr>
              <w:t>进行处理</w:t>
            </w:r>
            <w:r>
              <w:rPr>
                <w:rFonts w:hint="eastAsia" w:ascii="Times New Roman" w:hAnsi="Times New Roman" w:eastAsia="宋体" w:cs="Times New Roman"/>
                <w:sz w:val="24"/>
                <w:u w:val="none" w:color="auto"/>
              </w:rPr>
              <w:t>。</w:t>
            </w:r>
          </w:p>
          <w:p w14:paraId="10DC03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jc w:val="both"/>
              <w:textAlignment w:val="auto"/>
              <w:rPr>
                <w:rFonts w:hint="default" w:ascii="Times New Roman" w:hAnsi="Times New Roman" w:eastAsia="宋体" w:cs="Times New Roman"/>
                <w:b/>
                <w:bCs/>
                <w:sz w:val="24"/>
                <w:u w:val="none" w:color="auto"/>
              </w:rPr>
            </w:pPr>
            <w:r>
              <w:rPr>
                <w:rFonts w:hint="eastAsia" w:ascii="Times New Roman" w:hAnsi="Times New Roman" w:eastAsia="宋体" w:cs="Times New Roman"/>
                <w:b/>
                <w:bCs/>
                <w:sz w:val="24"/>
                <w:u w:val="none" w:color="auto"/>
              </w:rPr>
              <w:t>制片工序（对辊、分条）</w:t>
            </w:r>
            <w:r>
              <w:rPr>
                <w:rFonts w:hint="default" w:ascii="Times New Roman" w:hAnsi="Times New Roman" w:eastAsia="宋体" w:cs="Times New Roman"/>
                <w:b/>
                <w:bCs/>
                <w:sz w:val="24"/>
                <w:u w:val="none" w:color="auto"/>
              </w:rPr>
              <w:t>：</w:t>
            </w:r>
          </w:p>
          <w:p w14:paraId="67D592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sz w:val="24"/>
                <w:u w:val="none" w:color="auto"/>
              </w:rPr>
            </w:pPr>
            <w:r>
              <w:rPr>
                <w:rFonts w:hint="eastAsia" w:ascii="Times New Roman" w:hAnsi="Times New Roman" w:eastAsia="宋体" w:cs="Times New Roman"/>
                <w:sz w:val="24"/>
                <w:u w:val="none" w:color="auto"/>
              </w:rPr>
              <w:t>涂布</w:t>
            </w:r>
            <w:r>
              <w:rPr>
                <w:rFonts w:hint="default" w:ascii="Times New Roman" w:hAnsi="Times New Roman" w:eastAsia="宋体" w:cs="Times New Roman"/>
                <w:sz w:val="24"/>
                <w:u w:val="none" w:color="auto"/>
              </w:rPr>
              <w:t>后的正、负极母卷上涂满了正、负极材料混合物，需要通过辊压机压延成片状，厚度控制在0.125～0.165mm左右，根据不同规格的电池要求由分条机切断成相应的极片尺寸。该过程中会产生极片边角料以及设备噪声，产生的正、负极片边角料收集后出售。</w:t>
            </w:r>
          </w:p>
          <w:p w14:paraId="2A6EA8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jc w:val="both"/>
              <w:textAlignment w:val="auto"/>
              <w:rPr>
                <w:rFonts w:hint="default" w:ascii="Times New Roman" w:hAnsi="Times New Roman" w:eastAsia="宋体" w:cs="Times New Roman"/>
                <w:b/>
                <w:bCs/>
                <w:sz w:val="24"/>
                <w:u w:val="none" w:color="auto"/>
              </w:rPr>
            </w:pPr>
            <w:r>
              <w:rPr>
                <w:rFonts w:hint="eastAsia" w:ascii="Times New Roman" w:hAnsi="Times New Roman" w:eastAsia="宋体" w:cs="Times New Roman"/>
                <w:b/>
                <w:bCs/>
                <w:sz w:val="24"/>
                <w:u w:val="none" w:color="auto"/>
              </w:rPr>
              <w:t>卷绕</w:t>
            </w:r>
            <w:r>
              <w:rPr>
                <w:rFonts w:hint="eastAsia" w:ascii="Times New Roman" w:hAnsi="Times New Roman" w:eastAsia="宋体" w:cs="Times New Roman"/>
                <w:b/>
                <w:bCs/>
                <w:sz w:val="24"/>
                <w:u w:val="none" w:color="auto"/>
                <w:lang w:val="en-US" w:eastAsia="zh-CN"/>
              </w:rPr>
              <w:t>入壳</w:t>
            </w:r>
            <w:r>
              <w:rPr>
                <w:rFonts w:hint="default" w:ascii="Times New Roman" w:hAnsi="Times New Roman" w:eastAsia="宋体" w:cs="Times New Roman"/>
                <w:b/>
                <w:bCs/>
                <w:sz w:val="24"/>
                <w:u w:val="none" w:color="auto"/>
              </w:rPr>
              <w:t>：</w:t>
            </w:r>
          </w:p>
          <w:p w14:paraId="2112D1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cs="Times New Roman"/>
                <w:sz w:val="24"/>
                <w:u w:val="none" w:color="auto"/>
                <w:lang w:val="en-US" w:eastAsia="zh-CN"/>
              </w:rPr>
            </w:pPr>
            <w:r>
              <w:rPr>
                <w:rFonts w:hint="default" w:ascii="Times New Roman" w:hAnsi="Times New Roman" w:eastAsia="宋体" w:cs="Times New Roman"/>
                <w:sz w:val="24"/>
                <w:u w:val="none" w:color="auto"/>
              </w:rPr>
              <w:t>将正负极片和隔膜按照正极片—隔膜—负极片自上而下顺序放好经卷绕</w:t>
            </w:r>
            <w:r>
              <w:rPr>
                <w:rFonts w:hint="eastAsia" w:ascii="Times New Roman" w:hAnsi="Times New Roman" w:eastAsia="宋体" w:cs="Times New Roman"/>
                <w:sz w:val="24"/>
                <w:u w:val="none" w:color="auto"/>
              </w:rPr>
              <w:t>制片一体</w:t>
            </w:r>
            <w:r>
              <w:rPr>
                <w:rFonts w:hint="default" w:ascii="Times New Roman" w:hAnsi="Times New Roman" w:eastAsia="宋体" w:cs="Times New Roman"/>
                <w:sz w:val="24"/>
                <w:u w:val="none" w:color="auto"/>
              </w:rPr>
              <w:t>机卷绕制成电池电芯，隔膜采用聚丙烯+聚乙烯材料。制作完成的电芯经过短路测试，合格电芯进入下一步工序。</w:t>
            </w:r>
            <w:r>
              <w:rPr>
                <w:rFonts w:hint="eastAsia" w:cs="Times New Roman"/>
                <w:sz w:val="24"/>
                <w:u w:val="none" w:color="auto"/>
                <w:lang w:val="en-US" w:eastAsia="zh-CN"/>
              </w:rPr>
              <w:t>卷绕过程产生废隔膜。</w:t>
            </w:r>
          </w:p>
          <w:p w14:paraId="3155F8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sz w:val="24"/>
                <w:szCs w:val="24"/>
                <w:u w:val="none" w:color="auto"/>
                <w:lang w:eastAsia="zh-CN"/>
              </w:rPr>
            </w:pPr>
            <w:r>
              <w:rPr>
                <w:rFonts w:hint="default" w:ascii="Times New Roman" w:hAnsi="Times New Roman" w:eastAsia="宋体" w:cs="Times New Roman"/>
                <w:sz w:val="24"/>
                <w:u w:val="none" w:color="auto"/>
              </w:rPr>
              <w:t>采用制片机在电芯正负极各自焊接极耳并对焊接区域加贴绝缘胶带，其中正极极耳采用铝带，负极极耳采用钢带</w:t>
            </w:r>
            <w:r>
              <w:rPr>
                <w:rFonts w:hint="eastAsia" w:cs="Times New Roman"/>
                <w:sz w:val="24"/>
                <w:u w:val="none" w:color="auto"/>
                <w:lang w:eastAsia="zh-CN"/>
              </w:rPr>
              <w:t>，</w:t>
            </w:r>
            <w:r>
              <w:rPr>
                <w:rFonts w:hint="eastAsia" w:cs="Times New Roman"/>
                <w:sz w:val="24"/>
                <w:u w:val="none" w:color="auto"/>
                <w:lang w:val="en-US" w:eastAsia="zh-CN"/>
              </w:rPr>
              <w:t>极耳焊接采用的是超声波物理焊接，</w:t>
            </w:r>
            <w:r>
              <w:rPr>
                <w:rFonts w:ascii="宋体" w:hAnsi="宋体" w:eastAsia="宋体" w:cs="宋体"/>
                <w:sz w:val="24"/>
                <w:szCs w:val="24"/>
                <w:u w:val="none" w:color="auto"/>
              </w:rPr>
              <w:t>不使用任何助剂</w:t>
            </w:r>
            <w:r>
              <w:rPr>
                <w:rFonts w:hint="eastAsia"/>
                <w:sz w:val="24"/>
                <w:szCs w:val="24"/>
                <w:u w:val="none" w:color="auto"/>
              </w:rPr>
              <w:t>其焊接过程是没有相变的从固态到固态的焊接过程，不需要焊接介质</w:t>
            </w:r>
            <w:r>
              <w:rPr>
                <w:sz w:val="24"/>
                <w:szCs w:val="24"/>
                <w:u w:val="none" w:color="auto"/>
              </w:rPr>
              <w:t>且</w:t>
            </w:r>
            <w:r>
              <w:rPr>
                <w:rFonts w:hint="eastAsia"/>
                <w:sz w:val="24"/>
                <w:szCs w:val="24"/>
                <w:u w:val="none" w:color="auto"/>
              </w:rPr>
              <w:t>没有熔融过程，因此超声波焊接无废气产生</w:t>
            </w:r>
            <w:r>
              <w:rPr>
                <w:rFonts w:hint="eastAsia"/>
                <w:sz w:val="24"/>
                <w:szCs w:val="24"/>
                <w:u w:val="none" w:color="auto"/>
                <w:lang w:eastAsia="zh-CN"/>
              </w:rPr>
              <w:t>。</w:t>
            </w:r>
          </w:p>
          <w:p w14:paraId="4D63A8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sz w:val="24"/>
                <w:szCs w:val="24"/>
                <w:u w:val="none" w:color="auto"/>
                <w:lang w:val="en-US" w:eastAsia="zh-CN"/>
              </w:rPr>
            </w:pPr>
            <w:r>
              <w:rPr>
                <w:rFonts w:hint="eastAsia" w:cs="Times New Roman"/>
                <w:sz w:val="24"/>
                <w:u w:val="none" w:color="auto"/>
                <w:lang w:val="en-US" w:eastAsia="zh-CN"/>
              </w:rPr>
              <w:t>不合格电芯利用卷绕返修机、入壳返修机返修后进入下一工序。</w:t>
            </w:r>
          </w:p>
          <w:p w14:paraId="61DCCD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jc w:val="both"/>
              <w:textAlignment w:val="auto"/>
              <w:rPr>
                <w:rFonts w:hint="eastAsia" w:ascii="Times New Roman" w:hAnsi="Times New Roman" w:eastAsia="宋体" w:cs="Times New Roman"/>
                <w:b/>
                <w:bCs/>
                <w:sz w:val="24"/>
                <w:u w:val="none" w:color="auto"/>
                <w:lang w:val="en-US" w:eastAsia="zh-CN"/>
              </w:rPr>
            </w:pPr>
            <w:r>
              <w:rPr>
                <w:rFonts w:hint="eastAsia" w:ascii="Times New Roman" w:hAnsi="Times New Roman" w:eastAsia="宋体" w:cs="Times New Roman"/>
                <w:b/>
                <w:bCs/>
                <w:sz w:val="24"/>
                <w:u w:val="none" w:color="auto"/>
                <w:lang w:val="en-US" w:eastAsia="zh-CN"/>
              </w:rPr>
              <w:t>烘烤：</w:t>
            </w:r>
          </w:p>
          <w:p w14:paraId="413D7F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sz w:val="24"/>
                <w:u w:val="none" w:color="auto"/>
                <w:lang w:val="en-US" w:eastAsia="zh-CN"/>
              </w:rPr>
            </w:pPr>
            <w:r>
              <w:rPr>
                <w:rFonts w:hint="eastAsia" w:ascii="Times New Roman" w:hAnsi="Times New Roman" w:eastAsia="宋体" w:cs="Times New Roman"/>
                <w:sz w:val="24"/>
                <w:u w:val="none" w:color="auto"/>
                <w:lang w:val="en-US" w:eastAsia="zh-CN"/>
              </w:rPr>
              <w:t>将卷绕入壳的电芯放入接触式高真空烤箱中进行烘烤，去除电芯在制作过程中的微量水分，</w:t>
            </w:r>
            <w:r>
              <w:rPr>
                <w:rFonts w:ascii="宋体" w:hAnsi="宋体" w:eastAsia="宋体" w:cs="宋体"/>
                <w:sz w:val="24"/>
                <w:szCs w:val="24"/>
                <w:u w:val="none" w:color="auto"/>
              </w:rPr>
              <w:t>防止后期胀气、鼓包、性能衰减</w:t>
            </w:r>
            <w:r>
              <w:rPr>
                <w:rFonts w:hint="eastAsia" w:ascii="宋体" w:hAnsi="宋体" w:eastAsia="宋体" w:cs="宋体"/>
                <w:sz w:val="24"/>
                <w:szCs w:val="24"/>
                <w:u w:val="none" w:color="auto"/>
                <w:lang w:eastAsia="zh-CN"/>
              </w:rPr>
              <w:t>。</w:t>
            </w:r>
            <w:r>
              <w:rPr>
                <w:rFonts w:hint="eastAsia" w:ascii="Times New Roman" w:hAnsi="Times New Roman" w:eastAsia="宋体" w:cs="Times New Roman"/>
                <w:sz w:val="24"/>
                <w:u w:val="none" w:color="auto"/>
                <w:lang w:val="en-US" w:eastAsia="zh-CN"/>
              </w:rPr>
              <w:t>这一过程主要是将水蒸气挥发出来</w:t>
            </w:r>
            <w:r>
              <w:rPr>
                <w:rFonts w:hint="eastAsia" w:cs="Times New Roman"/>
                <w:sz w:val="24"/>
                <w:u w:val="none" w:color="auto"/>
                <w:lang w:val="en-US" w:eastAsia="zh-CN"/>
              </w:rPr>
              <w:t>，</w:t>
            </w:r>
            <w:r>
              <w:rPr>
                <w:rFonts w:hint="eastAsia"/>
                <w:sz w:val="24"/>
                <w:szCs w:val="24"/>
                <w:u w:val="none" w:color="auto"/>
              </w:rPr>
              <w:t>由于尚未加入电解液，因此无有机废气产生。</w:t>
            </w:r>
          </w:p>
          <w:p w14:paraId="775816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jc w:val="both"/>
              <w:textAlignment w:val="auto"/>
              <w:rPr>
                <w:rFonts w:hint="default" w:ascii="Times New Roman" w:hAnsi="Times New Roman" w:eastAsia="宋体" w:cs="Times New Roman"/>
                <w:b/>
                <w:bCs/>
                <w:sz w:val="24"/>
                <w:u w:val="none" w:color="auto"/>
              </w:rPr>
            </w:pPr>
            <w:r>
              <w:rPr>
                <w:rFonts w:hint="eastAsia" w:ascii="Times New Roman" w:hAnsi="Times New Roman" w:eastAsia="宋体" w:cs="Times New Roman"/>
                <w:b/>
                <w:bCs/>
                <w:sz w:val="24"/>
                <w:u w:val="none" w:color="auto"/>
                <w:lang w:val="en-US" w:eastAsia="zh-CN"/>
              </w:rPr>
              <w:t>装配</w:t>
            </w:r>
            <w:r>
              <w:rPr>
                <w:rFonts w:hint="default" w:ascii="Times New Roman" w:hAnsi="Times New Roman" w:eastAsia="宋体" w:cs="Times New Roman"/>
                <w:b/>
                <w:bCs/>
                <w:sz w:val="24"/>
                <w:u w:val="none" w:color="auto"/>
              </w:rPr>
              <w:t>：</w:t>
            </w:r>
          </w:p>
          <w:p w14:paraId="756455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sz w:val="24"/>
                <w:u w:val="none" w:color="auto"/>
              </w:rPr>
            </w:pPr>
            <w:r>
              <w:rPr>
                <w:rFonts w:hint="default" w:ascii="Times New Roman" w:hAnsi="Times New Roman" w:eastAsia="宋体" w:cs="Times New Roman"/>
                <w:sz w:val="24"/>
                <w:u w:val="none" w:color="auto"/>
              </w:rPr>
              <w:t>本项目装配采用全自动转配线作业，全自动转配线上完成：极耳定位整形、壳体滚槽、焊盖帽、注液、压盖帽工序。具体操作为：将电芯、绝缘</w:t>
            </w:r>
            <w:r>
              <w:rPr>
                <w:rFonts w:hint="eastAsia" w:ascii="Times New Roman" w:hAnsi="Times New Roman" w:eastAsia="宋体" w:cs="Times New Roman"/>
                <w:sz w:val="24"/>
                <w:u w:val="none" w:color="auto"/>
                <w:lang w:val="en-US" w:eastAsia="zh-CN"/>
              </w:rPr>
              <w:t>带</w:t>
            </w:r>
            <w:r>
              <w:rPr>
                <w:rFonts w:hint="default" w:ascii="Times New Roman" w:hAnsi="Times New Roman" w:eastAsia="宋体" w:cs="Times New Roman"/>
                <w:sz w:val="24"/>
                <w:u w:val="none" w:color="auto"/>
              </w:rPr>
              <w:t>、正极引片、负极引片等通过机械装置放入外壳内，利用凸轮立式滚槽装置在外壳上压槽，找正极耳位置后，经定位器定位，然后压合盖帽，采用</w:t>
            </w:r>
            <w:r>
              <w:rPr>
                <w:rFonts w:hint="eastAsia" w:ascii="Times New Roman" w:hAnsi="Times New Roman" w:eastAsia="宋体" w:cs="Times New Roman"/>
                <w:sz w:val="24"/>
                <w:u w:val="none" w:color="auto"/>
              </w:rPr>
              <w:t>制片机</w:t>
            </w:r>
            <w:r>
              <w:rPr>
                <w:rFonts w:hint="default" w:ascii="Times New Roman" w:hAnsi="Times New Roman" w:eastAsia="宋体" w:cs="Times New Roman"/>
                <w:sz w:val="24"/>
                <w:u w:val="none" w:color="auto"/>
              </w:rPr>
              <w:t>将盖板点焊在外壳上。</w:t>
            </w:r>
          </w:p>
          <w:p w14:paraId="36EBD1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firstLine="482" w:firstLineChars="200"/>
              <w:jc w:val="both"/>
              <w:textAlignment w:val="auto"/>
              <w:rPr>
                <w:rFonts w:hint="default" w:ascii="Times New Roman" w:hAnsi="Times New Roman" w:eastAsia="宋体" w:cs="Times New Roman"/>
                <w:b/>
                <w:bCs/>
                <w:sz w:val="24"/>
                <w:u w:val="none" w:color="auto"/>
                <w:lang w:val="en-US" w:eastAsia="zh-CN"/>
              </w:rPr>
            </w:pPr>
            <w:r>
              <w:rPr>
                <w:rFonts w:hint="eastAsia" w:ascii="Times New Roman" w:hAnsi="Times New Roman" w:eastAsia="宋体" w:cs="Times New Roman"/>
                <w:b/>
                <w:bCs/>
                <w:sz w:val="24"/>
                <w:u w:val="none" w:color="auto"/>
                <w:lang w:val="en-US" w:eastAsia="zh-CN"/>
              </w:rPr>
              <w:t>注液：</w:t>
            </w:r>
          </w:p>
          <w:p w14:paraId="7D6D7B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Times New Roman" w:hAnsi="Times New Roman" w:eastAsia="宋体" w:cs="Times New Roman"/>
                <w:sz w:val="24"/>
                <w:u w:val="none" w:color="auto"/>
                <w:lang w:val="en-US" w:eastAsia="zh-CN"/>
              </w:rPr>
            </w:pPr>
            <w:r>
              <w:rPr>
                <w:rFonts w:hint="default" w:ascii="Times New Roman" w:hAnsi="Times New Roman" w:eastAsia="宋体" w:cs="Times New Roman"/>
                <w:sz w:val="24"/>
                <w:u w:val="none" w:color="auto"/>
              </w:rPr>
              <w:t>将组装后的</w:t>
            </w:r>
            <w:r>
              <w:rPr>
                <w:rFonts w:hint="eastAsia" w:ascii="Times New Roman" w:hAnsi="Times New Roman" w:eastAsia="宋体" w:cs="Times New Roman"/>
                <w:sz w:val="24"/>
                <w:u w:val="none" w:color="auto"/>
                <w:lang w:val="en-US" w:eastAsia="zh-CN"/>
              </w:rPr>
              <w:t>电芯</w:t>
            </w:r>
            <w:r>
              <w:rPr>
                <w:rFonts w:hint="default" w:ascii="Times New Roman" w:hAnsi="Times New Roman" w:eastAsia="宋体" w:cs="Times New Roman"/>
                <w:sz w:val="24"/>
                <w:u w:val="none" w:color="auto"/>
              </w:rPr>
              <w:t>通过全自动装配注液线上的</w:t>
            </w:r>
            <w:r>
              <w:rPr>
                <w:rFonts w:hint="eastAsia" w:ascii="Times New Roman" w:hAnsi="Times New Roman" w:eastAsia="宋体" w:cs="Times New Roman"/>
                <w:sz w:val="24"/>
                <w:u w:val="none" w:color="auto"/>
              </w:rPr>
              <w:t>手套箱直线注液</w:t>
            </w:r>
            <w:r>
              <w:rPr>
                <w:rFonts w:hint="eastAsia" w:cs="Times New Roman"/>
                <w:sz w:val="24"/>
                <w:u w:val="none" w:color="auto"/>
                <w:lang w:val="en-US" w:eastAsia="zh-CN"/>
              </w:rPr>
              <w:t>线</w:t>
            </w:r>
            <w:r>
              <w:rPr>
                <w:rFonts w:hint="default" w:ascii="Times New Roman" w:hAnsi="Times New Roman" w:eastAsia="宋体" w:cs="Times New Roman"/>
                <w:sz w:val="24"/>
                <w:u w:val="none" w:color="auto"/>
              </w:rPr>
              <w:t>进行注液，</w:t>
            </w:r>
            <w:r>
              <w:rPr>
                <w:rFonts w:hint="eastAsia" w:ascii="Times New Roman" w:hAnsi="Times New Roman" w:eastAsia="宋体" w:cs="Times New Roman"/>
                <w:sz w:val="24"/>
                <w:u w:val="none" w:color="auto"/>
                <w:lang w:val="en-US" w:eastAsia="zh-CN"/>
              </w:rPr>
              <w:t>电芯进入注液线的进料轨道，设备会自动注液，注液机工作时采用真空泵将密闭的不锈钢罩体内的空气抽出，充入氮气进行保护，保证内部的干燥，</w:t>
            </w:r>
            <w:r>
              <w:rPr>
                <w:rFonts w:ascii="宋体" w:hAnsi="宋体" w:eastAsia="宋体" w:cs="宋体"/>
                <w:sz w:val="24"/>
                <w:szCs w:val="24"/>
                <w:u w:val="none" w:color="auto"/>
              </w:rPr>
              <w:t>整个注液过程均在密闭且隔绝空气的条件下通过自动化设备完成</w:t>
            </w:r>
            <w:r>
              <w:rPr>
                <w:rFonts w:hint="eastAsia" w:ascii="宋体" w:hAnsi="宋体" w:eastAsia="宋体" w:cs="宋体"/>
                <w:sz w:val="24"/>
                <w:szCs w:val="24"/>
                <w:u w:val="none" w:color="auto"/>
                <w:lang w:eastAsia="zh-CN"/>
              </w:rPr>
              <w:t>。</w:t>
            </w:r>
            <w:r>
              <w:rPr>
                <w:rFonts w:hint="default" w:ascii="Times New Roman" w:hAnsi="Times New Roman" w:eastAsia="宋体" w:cs="Times New Roman"/>
                <w:sz w:val="24"/>
                <w:u w:val="none" w:color="auto"/>
              </w:rPr>
              <w:t>注液材料为外购的成品电解液(本项目电解液外购)，注液过程完成后，利用</w:t>
            </w:r>
            <w:r>
              <w:rPr>
                <w:rFonts w:hint="eastAsia" w:cs="Times New Roman"/>
                <w:sz w:val="24"/>
                <w:u w:val="none" w:color="auto"/>
                <w:lang w:val="en-US" w:eastAsia="zh-CN"/>
              </w:rPr>
              <w:t>电缸</w:t>
            </w:r>
            <w:r>
              <w:rPr>
                <w:rFonts w:hint="default" w:ascii="Times New Roman" w:hAnsi="Times New Roman" w:eastAsia="宋体" w:cs="Times New Roman"/>
                <w:sz w:val="24"/>
                <w:u w:val="none" w:color="auto"/>
              </w:rPr>
              <w:t>封口机</w:t>
            </w:r>
            <w:r>
              <w:rPr>
                <w:rFonts w:hint="eastAsia" w:cs="Times New Roman"/>
                <w:sz w:val="24"/>
                <w:u w:val="none" w:color="auto"/>
                <w:lang w:val="en-US" w:eastAsia="zh-CN"/>
              </w:rPr>
              <w:t>将盖帽压到电池盒</w:t>
            </w:r>
            <w:r>
              <w:rPr>
                <w:rFonts w:hint="default" w:ascii="Times New Roman" w:hAnsi="Times New Roman" w:eastAsia="宋体" w:cs="Times New Roman"/>
                <w:sz w:val="24"/>
                <w:u w:val="none" w:color="auto"/>
              </w:rPr>
              <w:t>进行封口。本项目使用的电解液由：</w:t>
            </w:r>
            <w:r>
              <w:rPr>
                <w:rFonts w:hint="default" w:ascii="Times New Roman" w:hAnsi="Times New Roman" w:eastAsia="宋体" w:cs="Times New Roman"/>
                <w:color w:val="000000" w:themeColor="text1"/>
                <w:sz w:val="24"/>
                <w:u w:val="none" w:color="auto"/>
                <w14:textFill>
                  <w14:solidFill>
                    <w14:schemeClr w14:val="tx1"/>
                  </w14:solidFill>
                </w14:textFill>
              </w:rPr>
              <w:t>溶剂（碳酸二甲酯）和六氟磷酸锂组成。此</w:t>
            </w:r>
            <w:r>
              <w:rPr>
                <w:rFonts w:hint="default" w:ascii="Times New Roman" w:hAnsi="Times New Roman" w:eastAsia="宋体" w:cs="Times New Roman"/>
                <w:sz w:val="24"/>
                <w:u w:val="none" w:color="auto"/>
              </w:rPr>
              <w:t>过程溶剂会有少量的挥发，识别为非甲烷总烃</w:t>
            </w:r>
            <w:r>
              <w:rPr>
                <w:rFonts w:hint="eastAsia" w:ascii="Times New Roman" w:hAnsi="Times New Roman" w:eastAsia="宋体" w:cs="Times New Roman"/>
                <w:sz w:val="24"/>
                <w:u w:val="none" w:color="auto"/>
                <w:lang w:eastAsia="zh-CN"/>
              </w:rPr>
              <w:t>。</w:t>
            </w:r>
          </w:p>
          <w:p w14:paraId="751D9A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jc w:val="both"/>
              <w:textAlignment w:val="auto"/>
              <w:rPr>
                <w:rFonts w:hint="default" w:ascii="Times New Roman" w:hAnsi="Times New Roman" w:eastAsia="宋体" w:cs="Times New Roman"/>
                <w:b/>
                <w:bCs/>
                <w:sz w:val="24"/>
                <w:u w:val="none" w:color="auto"/>
                <w:lang w:val="en-US" w:eastAsia="zh-CN"/>
              </w:rPr>
            </w:pPr>
            <w:r>
              <w:rPr>
                <w:rFonts w:hint="eastAsia" w:ascii="Times New Roman" w:hAnsi="Times New Roman" w:eastAsia="宋体" w:cs="Times New Roman"/>
                <w:b/>
                <w:bCs/>
                <w:sz w:val="24"/>
                <w:u w:val="none" w:color="auto"/>
                <w:lang w:val="en-US" w:eastAsia="zh-CN"/>
              </w:rPr>
              <w:t>清洗：</w:t>
            </w:r>
          </w:p>
          <w:p w14:paraId="0E864E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sz w:val="24"/>
                <w:u w:val="none" w:color="auto"/>
              </w:rPr>
            </w:pPr>
            <w:r>
              <w:rPr>
                <w:rFonts w:hint="default" w:ascii="Times New Roman" w:hAnsi="Times New Roman" w:eastAsia="宋体" w:cs="Times New Roman"/>
                <w:sz w:val="24"/>
                <w:u w:val="none" w:color="auto"/>
              </w:rPr>
              <w:t>清洗：为提高产品质量，对封口后的电池表面使用</w:t>
            </w:r>
            <w:r>
              <w:rPr>
                <w:rFonts w:hint="eastAsia" w:cs="Times New Roman"/>
                <w:sz w:val="24"/>
                <w:u w:val="none" w:color="auto"/>
                <w:lang w:val="en-US" w:eastAsia="zh-CN"/>
              </w:rPr>
              <w:t>纯水</w:t>
            </w:r>
            <w:r>
              <w:rPr>
                <w:rFonts w:hint="default" w:ascii="Times New Roman" w:hAnsi="Times New Roman" w:eastAsia="宋体" w:cs="Times New Roman"/>
                <w:sz w:val="24"/>
                <w:u w:val="none" w:color="auto"/>
              </w:rPr>
              <w:t>清洗，以去除表面残留的电解液等杂质。</w:t>
            </w:r>
          </w:p>
          <w:p w14:paraId="2B61C8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color w:val="FF0000"/>
                <w:sz w:val="24"/>
                <w:u w:val="none" w:color="auto"/>
              </w:rPr>
            </w:pPr>
            <w:r>
              <w:rPr>
                <w:rFonts w:hint="default" w:ascii="Times New Roman" w:hAnsi="Times New Roman" w:eastAsia="宋体" w:cs="Times New Roman"/>
                <w:sz w:val="24"/>
                <w:u w:val="none" w:color="auto"/>
              </w:rPr>
              <w:t>烘干：</w:t>
            </w:r>
            <w:r>
              <w:rPr>
                <w:rFonts w:hint="default" w:ascii="Times New Roman" w:hAnsi="Times New Roman" w:eastAsia="宋体" w:cs="Times New Roman"/>
                <w:color w:val="000000" w:themeColor="text1"/>
                <w:sz w:val="24"/>
                <w:u w:val="none" w:color="auto"/>
                <w14:textFill>
                  <w14:solidFill>
                    <w14:schemeClr w14:val="tx1"/>
                  </w14:solidFill>
                </w14:textFill>
              </w:rPr>
              <w:t>清洗后的电池进入烘干工序，</w:t>
            </w:r>
            <w:r>
              <w:rPr>
                <w:rFonts w:hint="eastAsia" w:cs="Times New Roman"/>
                <w:color w:val="000000" w:themeColor="text1"/>
                <w:sz w:val="24"/>
                <w:u w:val="none" w:color="auto"/>
                <w:lang w:val="en-US" w:eastAsia="zh-CN"/>
                <w14:textFill>
                  <w14:solidFill>
                    <w14:schemeClr w14:val="tx1"/>
                  </w14:solidFill>
                </w14:textFill>
              </w:rPr>
              <w:t>该封口清洗连线机的后端配备有</w:t>
            </w:r>
            <w:r>
              <w:rPr>
                <w:rFonts w:hint="default" w:ascii="Times New Roman" w:hAnsi="Times New Roman" w:eastAsia="宋体" w:cs="Times New Roman"/>
                <w:color w:val="000000" w:themeColor="text1"/>
                <w:sz w:val="24"/>
                <w:u w:val="none" w:color="auto"/>
                <w14:textFill>
                  <w14:solidFill>
                    <w14:schemeClr w14:val="tx1"/>
                  </w14:solidFill>
                </w14:textFill>
              </w:rPr>
              <w:t>电烘箱（清洗线设备），</w:t>
            </w:r>
            <w:r>
              <w:rPr>
                <w:rFonts w:hint="eastAsia" w:cs="Times New Roman"/>
                <w:color w:val="000000" w:themeColor="text1"/>
                <w:sz w:val="24"/>
                <w:u w:val="none" w:color="auto"/>
                <w:lang w:val="en-US" w:eastAsia="zh-CN"/>
                <w14:textFill>
                  <w14:solidFill>
                    <w14:schemeClr w14:val="tx1"/>
                  </w14:solidFill>
                </w14:textFill>
              </w:rPr>
              <w:t>采用电烘箱对电池进行烘干，</w:t>
            </w:r>
            <w:r>
              <w:rPr>
                <w:rFonts w:hint="default" w:ascii="Times New Roman" w:hAnsi="Times New Roman" w:eastAsia="宋体" w:cs="Times New Roman"/>
                <w:color w:val="000000" w:themeColor="text1"/>
                <w:sz w:val="24"/>
                <w:u w:val="none" w:color="auto"/>
                <w14:textFill>
                  <w14:solidFill>
                    <w14:schemeClr w14:val="tx1"/>
                  </w14:solidFill>
                </w14:textFill>
              </w:rPr>
              <w:t>烘干温度控制在70-80℃，以去除电池表面的水分</w:t>
            </w:r>
            <w:r>
              <w:rPr>
                <w:rFonts w:hint="eastAsia" w:cs="Times New Roman"/>
                <w:color w:val="000000" w:themeColor="text1"/>
                <w:sz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u w:val="none" w:color="auto"/>
                <w14:textFill>
                  <w14:solidFill>
                    <w14:schemeClr w14:val="tx1"/>
                  </w14:solidFill>
                </w14:textFill>
              </w:rPr>
              <w:t>不产生污染物。</w:t>
            </w:r>
          </w:p>
          <w:p w14:paraId="242A06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jc w:val="both"/>
              <w:textAlignment w:val="auto"/>
              <w:rPr>
                <w:rFonts w:hint="eastAsia" w:cs="Times New Roman"/>
                <w:b/>
                <w:bCs/>
                <w:sz w:val="24"/>
                <w:u w:val="none" w:color="auto"/>
                <w:lang w:val="en-US" w:eastAsia="zh-CN"/>
              </w:rPr>
            </w:pPr>
            <w:r>
              <w:rPr>
                <w:rFonts w:hint="eastAsia" w:cs="Times New Roman"/>
                <w:b/>
                <w:bCs/>
                <w:sz w:val="24"/>
                <w:u w:val="none" w:color="auto"/>
                <w:lang w:val="en-US" w:eastAsia="zh-CN"/>
              </w:rPr>
              <w:t>陈化：</w:t>
            </w:r>
          </w:p>
          <w:p w14:paraId="01288B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sz w:val="24"/>
                <w:szCs w:val="24"/>
                <w:u w:val="none" w:color="auto"/>
                <w:lang w:eastAsia="zh-CN"/>
              </w:rPr>
            </w:pPr>
            <w:r>
              <w:rPr>
                <w:rFonts w:hint="eastAsia" w:ascii="宋体" w:hAnsi="宋体" w:eastAsia="宋体" w:cs="宋体"/>
                <w:sz w:val="24"/>
                <w:szCs w:val="24"/>
                <w:u w:val="none" w:color="auto"/>
                <w:lang w:val="en-US" w:eastAsia="zh-CN"/>
              </w:rPr>
              <w:t>将烘干后的电池进行陈化，目的是</w:t>
            </w:r>
            <w:r>
              <w:rPr>
                <w:rFonts w:ascii="宋体" w:hAnsi="宋体" w:eastAsia="宋体" w:cs="宋体"/>
                <w:sz w:val="24"/>
                <w:szCs w:val="24"/>
                <w:u w:val="none" w:color="auto"/>
              </w:rPr>
              <w:t>让电解液充分浸润极片、隔膜，内部离子分布均匀，消除电芯内部应力，稳定状态</w:t>
            </w:r>
            <w:r>
              <w:rPr>
                <w:rFonts w:hint="eastAsia" w:ascii="宋体" w:hAnsi="宋体" w:cs="宋体"/>
                <w:sz w:val="24"/>
                <w:szCs w:val="24"/>
                <w:u w:val="none" w:color="auto"/>
                <w:lang w:eastAsia="zh-CN"/>
              </w:rPr>
              <w:t>。</w:t>
            </w:r>
          </w:p>
          <w:p w14:paraId="22F060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jc w:val="both"/>
              <w:textAlignment w:val="auto"/>
              <w:rPr>
                <w:rFonts w:hint="eastAsia" w:ascii="Times New Roman" w:hAnsi="Times New Roman" w:eastAsia="宋体" w:cs="Times New Roman"/>
                <w:b/>
                <w:bCs/>
                <w:sz w:val="24"/>
                <w:u w:val="none" w:color="auto"/>
                <w:lang w:val="en-US" w:eastAsia="zh-CN"/>
              </w:rPr>
            </w:pPr>
            <w:r>
              <w:rPr>
                <w:rFonts w:hint="eastAsia" w:cs="Times New Roman"/>
                <w:b/>
                <w:bCs/>
                <w:sz w:val="24"/>
                <w:u w:val="none" w:color="auto"/>
                <w:lang w:val="en-US" w:eastAsia="zh-CN"/>
              </w:rPr>
              <w:t>化成</w:t>
            </w:r>
            <w:r>
              <w:rPr>
                <w:rFonts w:hint="eastAsia" w:ascii="Times New Roman" w:hAnsi="Times New Roman" w:eastAsia="宋体" w:cs="Times New Roman"/>
                <w:b/>
                <w:bCs/>
                <w:sz w:val="24"/>
                <w:u w:val="none" w:color="auto"/>
                <w:lang w:val="en-US" w:eastAsia="zh-CN"/>
              </w:rPr>
              <w:t>分容：</w:t>
            </w:r>
          </w:p>
          <w:p w14:paraId="63B4B7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sz w:val="24"/>
                <w:u w:val="none" w:color="auto"/>
                <w:lang w:val="en-US" w:eastAsia="zh-CN"/>
              </w:rPr>
            </w:pPr>
            <w:r>
              <w:rPr>
                <w:rFonts w:hint="eastAsia" w:ascii="Times New Roman" w:hAnsi="Times New Roman" w:eastAsia="宋体" w:cs="Times New Roman"/>
                <w:sz w:val="24"/>
                <w:u w:val="none" w:color="auto"/>
                <w:lang w:val="en-US" w:eastAsia="zh-CN"/>
              </w:rPr>
              <w:t>化成是注液后电池的首次充放电，通过化成可对电池正负极活性物质进行激活。本项目采用针床化成柜对电池进行化成，提升化成效率。</w:t>
            </w:r>
            <w:r>
              <w:rPr>
                <w:rFonts w:hint="eastAsia" w:ascii="宋体" w:hAnsi="宋体" w:eastAsia="宋体" w:cs="宋体"/>
                <w:sz w:val="24"/>
                <w:szCs w:val="24"/>
                <w:u w:val="none" w:color="auto"/>
                <w:lang w:val="en-US" w:eastAsia="zh-CN"/>
              </w:rPr>
              <w:t>根据不同电池的要求，本项目采用针床分容柜或者容量分选机对陈化后的电池进行二次分选，按照容量或者内阻精细分档。即</w:t>
            </w:r>
            <w:r>
              <w:rPr>
                <w:rFonts w:hint="eastAsia" w:ascii="Times New Roman" w:hAnsi="Times New Roman" w:eastAsia="宋体" w:cs="Times New Roman"/>
                <w:sz w:val="24"/>
                <w:u w:val="none" w:color="auto"/>
                <w:lang w:val="en-US" w:eastAsia="zh-CN"/>
              </w:rPr>
              <w:t>对电池的容量进行分选。</w:t>
            </w:r>
            <w:r>
              <w:rPr>
                <w:rFonts w:hint="eastAsia" w:cs="Times New Roman"/>
                <w:sz w:val="24"/>
                <w:u w:val="none" w:color="auto"/>
                <w:lang w:val="en-US" w:eastAsia="zh-CN"/>
              </w:rPr>
              <w:t>此过程会产生次品以及不合格品，次品降级销售，不合格品作为固废处置。</w:t>
            </w:r>
          </w:p>
          <w:p w14:paraId="1483E5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jc w:val="both"/>
              <w:textAlignment w:val="auto"/>
              <w:rPr>
                <w:rFonts w:hint="eastAsia" w:ascii="Times New Roman" w:hAnsi="Times New Roman" w:eastAsia="宋体" w:cs="Times New Roman"/>
                <w:b/>
                <w:bCs/>
                <w:sz w:val="24"/>
                <w:u w:val="none" w:color="auto"/>
                <w:lang w:val="en-US" w:eastAsia="zh-CN"/>
              </w:rPr>
            </w:pPr>
            <w:r>
              <w:rPr>
                <w:rFonts w:hint="eastAsia" w:ascii="Times New Roman" w:hAnsi="Times New Roman" w:eastAsia="宋体" w:cs="Times New Roman"/>
                <w:b/>
                <w:bCs/>
                <w:sz w:val="24"/>
                <w:u w:val="none" w:color="auto"/>
                <w:lang w:val="en-US" w:eastAsia="zh-CN"/>
              </w:rPr>
              <w:t>分选套膜：</w:t>
            </w:r>
          </w:p>
          <w:p w14:paraId="66FCBF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Times New Roman" w:hAnsi="Times New Roman" w:eastAsia="宋体" w:cs="Times New Roman"/>
                <w:sz w:val="24"/>
                <w:u w:val="none" w:color="auto"/>
                <w:lang w:val="en-US" w:eastAsia="zh-CN"/>
              </w:rPr>
            </w:pPr>
            <w:r>
              <w:rPr>
                <w:rFonts w:hint="eastAsia" w:cs="Times New Roman"/>
                <w:sz w:val="24"/>
                <w:u w:val="none" w:color="auto"/>
                <w:lang w:val="en-US" w:eastAsia="zh-CN"/>
              </w:rPr>
              <w:t>分选后用</w:t>
            </w:r>
            <w:r>
              <w:rPr>
                <w:rFonts w:hint="eastAsia" w:ascii="Times New Roman" w:hAnsi="Times New Roman" w:eastAsia="宋体" w:cs="Times New Roman"/>
                <w:sz w:val="24"/>
                <w:u w:val="none" w:color="auto"/>
                <w:lang w:val="en-US" w:eastAsia="zh-CN"/>
              </w:rPr>
              <w:t>套膜机将PVC热缩膜贴附在电芯壳子表面，进行外观防护。</w:t>
            </w:r>
            <w:r>
              <w:rPr>
                <w:rFonts w:hint="eastAsia" w:cs="Times New Roman"/>
                <w:sz w:val="24"/>
                <w:u w:val="none" w:color="auto"/>
                <w:lang w:val="en-US" w:eastAsia="zh-CN"/>
              </w:rPr>
              <w:t>套膜过程无废气产生。</w:t>
            </w:r>
            <w:r>
              <w:rPr>
                <w:rFonts w:hint="eastAsia" w:ascii="宋体" w:hAnsi="宋体" w:eastAsia="宋体" w:cs="宋体"/>
                <w:sz w:val="24"/>
                <w:szCs w:val="24"/>
                <w:u w:val="none" w:color="auto"/>
                <w:lang w:val="en-US" w:eastAsia="zh-CN"/>
              </w:rPr>
              <w:t>利用激光打标机</w:t>
            </w:r>
            <w:r>
              <w:rPr>
                <w:rFonts w:ascii="宋体" w:hAnsi="宋体" w:eastAsia="宋体" w:cs="宋体"/>
                <w:sz w:val="24"/>
                <w:szCs w:val="24"/>
                <w:u w:val="none" w:color="auto"/>
              </w:rPr>
              <w:t>在热缩膜上进行激光</w:t>
            </w:r>
            <w:r>
              <w:rPr>
                <w:rFonts w:hint="eastAsia" w:ascii="宋体" w:hAnsi="宋体" w:eastAsia="宋体" w:cs="宋体"/>
                <w:sz w:val="24"/>
                <w:szCs w:val="24"/>
                <w:u w:val="none" w:color="auto"/>
                <w:lang w:val="en-US" w:eastAsia="zh-CN"/>
              </w:rPr>
              <w:t>打标</w:t>
            </w:r>
            <w:r>
              <w:rPr>
                <w:rFonts w:ascii="宋体" w:hAnsi="宋体" w:eastAsia="宋体" w:cs="宋体"/>
                <w:sz w:val="24"/>
                <w:szCs w:val="24"/>
                <w:u w:val="none" w:color="auto"/>
              </w:rPr>
              <w:t>产品信息，以追溯电池的信息。激光</w:t>
            </w:r>
            <w:r>
              <w:rPr>
                <w:rFonts w:hint="eastAsia" w:ascii="宋体" w:hAnsi="宋体" w:eastAsia="宋体" w:cs="宋体"/>
                <w:sz w:val="24"/>
                <w:szCs w:val="24"/>
                <w:u w:val="none" w:color="auto"/>
                <w:lang w:val="en-US" w:eastAsia="zh-CN"/>
              </w:rPr>
              <w:t>打标</w:t>
            </w:r>
            <w:r>
              <w:rPr>
                <w:rFonts w:ascii="宋体" w:hAnsi="宋体" w:eastAsia="宋体" w:cs="宋体"/>
                <w:sz w:val="24"/>
                <w:szCs w:val="24"/>
                <w:u w:val="none" w:color="auto"/>
              </w:rPr>
              <w:t>是将激光以极高的能量密度聚集在被刻标的物体表面，并通过控制激光束的有效位移，灼刻出精致的文字或图案</w:t>
            </w:r>
            <w:r>
              <w:rPr>
                <w:rFonts w:hint="eastAsia" w:ascii="宋体" w:hAnsi="宋体" w:eastAsia="宋体" w:cs="宋体"/>
                <w:sz w:val="24"/>
                <w:szCs w:val="24"/>
                <w:u w:val="none" w:color="auto"/>
                <w:lang w:eastAsia="zh-CN"/>
              </w:rPr>
              <w:t>。</w:t>
            </w:r>
            <w:r>
              <w:rPr>
                <w:rFonts w:ascii="宋体" w:hAnsi="宋体" w:eastAsia="宋体" w:cs="宋体"/>
                <w:sz w:val="24"/>
                <w:szCs w:val="24"/>
                <w:u w:val="none" w:color="auto"/>
              </w:rPr>
              <w:t>激光喷码无废气产生，有着清晰、不可擦涂和更改的特点</w:t>
            </w:r>
            <w:r>
              <w:rPr>
                <w:rFonts w:hint="eastAsia" w:ascii="宋体" w:hAnsi="宋体" w:eastAsia="宋体" w:cs="宋体"/>
                <w:sz w:val="24"/>
                <w:szCs w:val="24"/>
                <w:u w:val="none" w:color="auto"/>
                <w:lang w:eastAsia="zh-CN"/>
              </w:rPr>
              <w:t>。</w:t>
            </w:r>
          </w:p>
          <w:p w14:paraId="2C18B2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jc w:val="both"/>
              <w:textAlignment w:val="auto"/>
              <w:rPr>
                <w:rFonts w:hint="eastAsia" w:cs="Times New Roman"/>
                <w:b/>
                <w:bCs/>
                <w:sz w:val="24"/>
                <w:u w:val="none" w:color="auto"/>
                <w:lang w:val="en-US" w:eastAsia="zh-CN"/>
              </w:rPr>
            </w:pPr>
            <w:r>
              <w:rPr>
                <w:rFonts w:hint="eastAsia" w:cs="Times New Roman"/>
                <w:b/>
                <w:bCs/>
                <w:sz w:val="24"/>
                <w:u w:val="none" w:color="auto"/>
                <w:lang w:val="en-US" w:eastAsia="zh-CN"/>
              </w:rPr>
              <w:t>成品包装：</w:t>
            </w:r>
          </w:p>
          <w:p w14:paraId="1B048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cs="Times New Roman"/>
                <w:sz w:val="24"/>
                <w:u w:val="none" w:color="auto"/>
                <w:lang w:val="en-US" w:eastAsia="zh-CN"/>
              </w:rPr>
            </w:pPr>
            <w:r>
              <w:rPr>
                <w:rFonts w:hint="eastAsia" w:cs="Times New Roman"/>
                <w:sz w:val="24"/>
                <w:u w:val="none" w:color="auto"/>
                <w:lang w:val="en-US" w:eastAsia="zh-CN"/>
              </w:rPr>
              <w:t>套膜后的电池即为成品电池，采用双通道装盒机进行包装后暂存于成品仓库后出售。</w:t>
            </w:r>
          </w:p>
          <w:p w14:paraId="1F07F031">
            <w:pPr>
              <w:adjustRightInd w:val="0"/>
              <w:snapToGrid w:val="0"/>
              <w:spacing w:line="440" w:lineRule="exact"/>
              <w:ind w:firstLine="482" w:firstLineChars="200"/>
              <w:rPr>
                <w:b/>
                <w:sz w:val="24"/>
                <w:u w:val="none" w:color="auto"/>
              </w:rPr>
            </w:pPr>
            <w:r>
              <w:rPr>
                <w:rFonts w:hint="eastAsia"/>
                <w:b/>
                <w:kern w:val="2"/>
                <w:sz w:val="24"/>
                <w:szCs w:val="20"/>
                <w:u w:val="none" w:color="auto"/>
              </w:rPr>
              <w:t>二、</w:t>
            </w:r>
            <w:r>
              <w:rPr>
                <w:b/>
                <w:kern w:val="2"/>
                <w:sz w:val="24"/>
                <w:szCs w:val="20"/>
                <w:u w:val="none" w:color="auto"/>
              </w:rPr>
              <w:t>主要污染工序</w:t>
            </w:r>
          </w:p>
          <w:p w14:paraId="0F883058">
            <w:pPr>
              <w:pStyle w:val="99"/>
              <w:keepNext w:val="0"/>
              <w:keepLines w:val="0"/>
              <w:pageBreakBefore w:val="0"/>
              <w:widowControl w:val="0"/>
              <w:kinsoku/>
              <w:wordWrap/>
              <w:overflowPunct/>
              <w:topLinePunct w:val="0"/>
              <w:autoSpaceDE/>
              <w:autoSpaceDN/>
              <w:bidi w:val="0"/>
              <w:adjustRightInd w:val="0"/>
              <w:snapToGrid w:val="0"/>
              <w:spacing w:line="440" w:lineRule="exact"/>
              <w:ind w:firstLine="480"/>
              <w:rPr>
                <w:sz w:val="24"/>
                <w:u w:val="none" w:color="auto"/>
              </w:rPr>
            </w:pPr>
            <w:r>
              <w:rPr>
                <w:sz w:val="24"/>
                <w:u w:val="none" w:color="auto"/>
              </w:rPr>
              <w:t>通过工艺流程分析，该项目</w:t>
            </w:r>
            <w:r>
              <w:rPr>
                <w:rFonts w:hint="eastAsia"/>
                <w:sz w:val="24"/>
                <w:u w:val="none" w:color="auto"/>
              </w:rPr>
              <w:t>运营期主要</w:t>
            </w:r>
            <w:r>
              <w:rPr>
                <w:sz w:val="24"/>
                <w:u w:val="none" w:color="auto"/>
              </w:rPr>
              <w:t>产污环节见下表</w:t>
            </w:r>
            <w:r>
              <w:rPr>
                <w:rFonts w:hint="eastAsia"/>
                <w:sz w:val="24"/>
                <w:u w:val="none" w:color="auto"/>
              </w:rPr>
              <w:t>：</w:t>
            </w:r>
          </w:p>
          <w:p w14:paraId="1DAAB096">
            <w:pPr>
              <w:pStyle w:val="17"/>
              <w:keepNext w:val="0"/>
              <w:keepLines w:val="0"/>
              <w:pageBreakBefore w:val="0"/>
              <w:widowControl w:val="0"/>
              <w:kinsoku/>
              <w:wordWrap/>
              <w:overflowPunct/>
              <w:topLinePunct w:val="0"/>
              <w:autoSpaceDE/>
              <w:autoSpaceDN/>
              <w:bidi w:val="0"/>
              <w:adjustRightInd w:val="0"/>
              <w:snapToGrid w:val="0"/>
              <w:spacing w:line="440" w:lineRule="exact"/>
              <w:ind w:firstLine="458" w:firstLineChars="200"/>
              <w:textAlignment w:val="baseline"/>
              <w:rPr>
                <w:rFonts w:hint="default" w:ascii="Times New Roman" w:hAnsi="Times New Roman" w:eastAsia="宋体" w:cs="Times New Roman"/>
                <w:bCs/>
                <w:color w:val="auto"/>
                <w:spacing w:val="-6"/>
                <w:sz w:val="24"/>
                <w:szCs w:val="24"/>
                <w:u w:val="none" w:color="auto"/>
                <w:lang w:val="en-US" w:eastAsia="zh-CN"/>
              </w:rPr>
            </w:pPr>
            <w:r>
              <w:rPr>
                <w:rFonts w:hint="eastAsia" w:ascii="Times New Roman" w:hAnsi="Times New Roman" w:eastAsia="宋体" w:cs="Times New Roman"/>
                <w:bCs/>
                <w:color w:val="auto"/>
                <w:spacing w:val="-6"/>
                <w:sz w:val="24"/>
                <w:szCs w:val="24"/>
                <w:u w:val="none" w:color="auto"/>
              </w:rPr>
              <w:t>表2-</w:t>
            </w:r>
            <w:r>
              <w:rPr>
                <w:rFonts w:hint="eastAsia" w:cs="Times New Roman"/>
                <w:bCs/>
                <w:color w:val="auto"/>
                <w:spacing w:val="-6"/>
                <w:sz w:val="24"/>
                <w:szCs w:val="24"/>
                <w:u w:val="none" w:color="auto"/>
                <w:lang w:val="en-US" w:eastAsia="zh-CN"/>
              </w:rPr>
              <w:t>7</w:t>
            </w:r>
            <w:r>
              <w:rPr>
                <w:rFonts w:hint="eastAsia" w:ascii="Times New Roman" w:hAnsi="Times New Roman" w:eastAsia="宋体" w:cs="Times New Roman"/>
                <w:bCs/>
                <w:color w:val="auto"/>
                <w:spacing w:val="-6"/>
                <w:sz w:val="24"/>
                <w:szCs w:val="24"/>
                <w:u w:val="none" w:color="auto"/>
              </w:rPr>
              <w:t xml:space="preserve">  </w:t>
            </w:r>
            <w:r>
              <w:rPr>
                <w:rFonts w:hint="eastAsia" w:cs="Times New Roman"/>
                <w:bCs/>
                <w:color w:val="auto"/>
                <w:spacing w:val="-6"/>
                <w:sz w:val="24"/>
                <w:szCs w:val="24"/>
                <w:u w:val="none" w:color="auto"/>
                <w:lang w:val="en-US" w:eastAsia="zh-CN"/>
              </w:rPr>
              <w:t xml:space="preserve">  本项目产污环节一览表</w:t>
            </w:r>
          </w:p>
          <w:tbl>
            <w:tblPr>
              <w:tblStyle w:val="32"/>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428"/>
              <w:gridCol w:w="1494"/>
              <w:gridCol w:w="4170"/>
            </w:tblGrid>
            <w:tr w14:paraId="48B7D4E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tcBorders>
                    <w:bottom w:val="single" w:color="000000" w:sz="8" w:space="0"/>
                    <w:tl2br w:val="nil"/>
                    <w:tr2bl w:val="nil"/>
                  </w:tcBorders>
                  <w:vAlign w:val="center"/>
                </w:tcPr>
                <w:p w14:paraId="681D2319">
                  <w:pPr>
                    <w:adjustRightInd w:val="0"/>
                    <w:snapToGrid w:val="0"/>
                    <w:jc w:val="center"/>
                    <w:rPr>
                      <w:b/>
                      <w:szCs w:val="21"/>
                      <w:u w:val="none" w:color="auto"/>
                    </w:rPr>
                  </w:pPr>
                  <w:r>
                    <w:rPr>
                      <w:b/>
                      <w:szCs w:val="21"/>
                      <w:u w:val="none" w:color="auto"/>
                    </w:rPr>
                    <w:t>污染因素</w:t>
                  </w:r>
                </w:p>
              </w:tc>
              <w:tc>
                <w:tcPr>
                  <w:tcW w:w="1428" w:type="dxa"/>
                  <w:tcBorders>
                    <w:bottom w:val="single" w:color="000000" w:sz="8" w:space="0"/>
                    <w:tl2br w:val="nil"/>
                    <w:tr2bl w:val="nil"/>
                  </w:tcBorders>
                  <w:vAlign w:val="center"/>
                </w:tcPr>
                <w:p w14:paraId="4518CECC">
                  <w:pPr>
                    <w:adjustRightInd w:val="0"/>
                    <w:snapToGrid w:val="0"/>
                    <w:jc w:val="center"/>
                    <w:rPr>
                      <w:b/>
                      <w:szCs w:val="21"/>
                      <w:u w:val="none" w:color="auto"/>
                    </w:rPr>
                  </w:pPr>
                  <w:r>
                    <w:rPr>
                      <w:b/>
                      <w:szCs w:val="21"/>
                      <w:u w:val="none" w:color="auto"/>
                    </w:rPr>
                    <w:t>产污环节</w:t>
                  </w:r>
                </w:p>
              </w:tc>
              <w:tc>
                <w:tcPr>
                  <w:tcW w:w="1494" w:type="dxa"/>
                  <w:tcBorders>
                    <w:bottom w:val="single" w:color="000000" w:sz="8" w:space="0"/>
                    <w:tl2br w:val="nil"/>
                    <w:tr2bl w:val="nil"/>
                  </w:tcBorders>
                  <w:vAlign w:val="center"/>
                </w:tcPr>
                <w:p w14:paraId="5D4FE612">
                  <w:pPr>
                    <w:adjustRightInd w:val="0"/>
                    <w:snapToGrid w:val="0"/>
                    <w:jc w:val="center"/>
                    <w:rPr>
                      <w:b/>
                      <w:szCs w:val="21"/>
                      <w:u w:val="none" w:color="auto"/>
                    </w:rPr>
                  </w:pPr>
                  <w:r>
                    <w:rPr>
                      <w:b/>
                      <w:szCs w:val="21"/>
                      <w:u w:val="none" w:color="auto"/>
                    </w:rPr>
                    <w:t>污染物</w:t>
                  </w:r>
                </w:p>
              </w:tc>
              <w:tc>
                <w:tcPr>
                  <w:tcW w:w="4170" w:type="dxa"/>
                  <w:tcBorders>
                    <w:bottom w:val="single" w:color="000000" w:sz="8" w:space="0"/>
                    <w:tl2br w:val="nil"/>
                    <w:tr2bl w:val="nil"/>
                  </w:tcBorders>
                  <w:vAlign w:val="center"/>
                </w:tcPr>
                <w:p w14:paraId="4F9277FC">
                  <w:pPr>
                    <w:adjustRightInd w:val="0"/>
                    <w:snapToGrid w:val="0"/>
                    <w:jc w:val="center"/>
                    <w:rPr>
                      <w:b/>
                      <w:szCs w:val="21"/>
                      <w:u w:val="none" w:color="auto"/>
                    </w:rPr>
                  </w:pPr>
                  <w:r>
                    <w:rPr>
                      <w:b/>
                      <w:szCs w:val="21"/>
                      <w:u w:val="none" w:color="auto"/>
                    </w:rPr>
                    <w:t>防治措施</w:t>
                  </w:r>
                </w:p>
              </w:tc>
            </w:tr>
            <w:tr w14:paraId="7DD53E5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restart"/>
                  <w:tcBorders>
                    <w:top w:val="single" w:color="000000" w:sz="8" w:space="0"/>
                    <w:tl2br w:val="nil"/>
                    <w:tr2bl w:val="nil"/>
                  </w:tcBorders>
                  <w:vAlign w:val="center"/>
                </w:tcPr>
                <w:p w14:paraId="771470BB">
                  <w:pPr>
                    <w:tabs>
                      <w:tab w:val="center" w:pos="4153"/>
                      <w:tab w:val="right" w:pos="8306"/>
                    </w:tabs>
                    <w:adjustRightInd w:val="0"/>
                    <w:snapToGrid w:val="0"/>
                    <w:jc w:val="center"/>
                    <w:textAlignment w:val="baseline"/>
                    <w:rPr>
                      <w:color w:val="000000" w:themeColor="text1"/>
                      <w:szCs w:val="21"/>
                      <w:u w:val="none" w:color="auto"/>
                      <w14:textFill>
                        <w14:solidFill>
                          <w14:schemeClr w14:val="tx1"/>
                        </w14:solidFill>
                      </w14:textFill>
                    </w:rPr>
                  </w:pPr>
                  <w:r>
                    <w:rPr>
                      <w:color w:val="000000" w:themeColor="text1"/>
                      <w:szCs w:val="21"/>
                      <w:u w:val="none" w:color="auto"/>
                      <w14:textFill>
                        <w14:solidFill>
                          <w14:schemeClr w14:val="tx1"/>
                        </w14:solidFill>
                      </w14:textFill>
                    </w:rPr>
                    <w:t>废气</w:t>
                  </w:r>
                </w:p>
              </w:tc>
              <w:tc>
                <w:tcPr>
                  <w:tcW w:w="1428" w:type="dxa"/>
                  <w:tcBorders>
                    <w:top w:val="single" w:color="000000" w:sz="8" w:space="0"/>
                    <w:tl2br w:val="nil"/>
                    <w:tr2bl w:val="nil"/>
                  </w:tcBorders>
                  <w:vAlign w:val="center"/>
                </w:tcPr>
                <w:p w14:paraId="1124E91F">
                  <w:pPr>
                    <w:tabs>
                      <w:tab w:val="center" w:pos="4153"/>
                      <w:tab w:val="right" w:pos="8306"/>
                    </w:tabs>
                    <w:adjustRightInd w:val="0"/>
                    <w:snapToGrid w:val="0"/>
                    <w:jc w:val="center"/>
                    <w:textAlignment w:val="baseline"/>
                    <w:rPr>
                      <w:rFonts w:hint="eastAsia" w:eastAsia="宋体"/>
                      <w:color w:val="000000" w:themeColor="text1"/>
                      <w:szCs w:val="21"/>
                      <w:u w:val="none" w:color="auto"/>
                      <w:lang w:eastAsia="zh-CN"/>
                      <w14:textFill>
                        <w14:solidFill>
                          <w14:schemeClr w14:val="tx1"/>
                        </w14:solidFill>
                      </w14:textFill>
                    </w:rPr>
                  </w:pPr>
                  <w:r>
                    <w:rPr>
                      <w:rFonts w:hint="eastAsia"/>
                      <w:szCs w:val="21"/>
                      <w:u w:val="none" w:color="auto"/>
                    </w:rPr>
                    <w:t>正极配料、涂布烘干、注液</w:t>
                  </w:r>
                </w:p>
              </w:tc>
              <w:tc>
                <w:tcPr>
                  <w:tcW w:w="1494" w:type="dxa"/>
                  <w:tcBorders>
                    <w:top w:val="single" w:color="000000" w:sz="8" w:space="0"/>
                    <w:tl2br w:val="nil"/>
                    <w:tr2bl w:val="nil"/>
                  </w:tcBorders>
                  <w:vAlign w:val="center"/>
                </w:tcPr>
                <w:p w14:paraId="27C031A4">
                  <w:pPr>
                    <w:tabs>
                      <w:tab w:val="center" w:pos="4153"/>
                      <w:tab w:val="right" w:pos="8306"/>
                    </w:tabs>
                    <w:adjustRightInd w:val="0"/>
                    <w:snapToGrid w:val="0"/>
                    <w:jc w:val="center"/>
                    <w:textAlignment w:val="baseline"/>
                    <w:rPr>
                      <w:color w:val="000000" w:themeColor="text1"/>
                      <w:szCs w:val="21"/>
                      <w:u w:val="none" w:color="auto"/>
                      <w14:textFill>
                        <w14:solidFill>
                          <w14:schemeClr w14:val="tx1"/>
                        </w14:solidFill>
                      </w14:textFill>
                    </w:rPr>
                  </w:pPr>
                  <w:r>
                    <w:rPr>
                      <w:szCs w:val="21"/>
                      <w:u w:val="none" w:color="auto"/>
                    </w:rPr>
                    <w:t>非甲烷总烃</w:t>
                  </w:r>
                </w:p>
              </w:tc>
              <w:tc>
                <w:tcPr>
                  <w:tcW w:w="4170" w:type="dxa"/>
                  <w:tcBorders>
                    <w:top w:val="single" w:color="000000" w:sz="8" w:space="0"/>
                    <w:tl2br w:val="nil"/>
                    <w:tr2bl w:val="nil"/>
                  </w:tcBorders>
                  <w:vAlign w:val="center"/>
                </w:tcPr>
                <w:p w14:paraId="04651BA5">
                  <w:pPr>
                    <w:spacing w:line="240" w:lineRule="auto"/>
                    <w:ind w:firstLine="0" w:firstLineChars="0"/>
                    <w:rPr>
                      <w:rFonts w:hAnsiTheme="minorEastAsia" w:eastAsiaTheme="minorEastAsia"/>
                      <w:sz w:val="21"/>
                      <w:szCs w:val="21"/>
                      <w:u w:val="none" w:color="auto"/>
                    </w:rPr>
                  </w:pPr>
                  <w:r>
                    <w:rPr>
                      <w:rFonts w:hAnsiTheme="minorEastAsia" w:eastAsiaTheme="minorEastAsia"/>
                      <w:szCs w:val="21"/>
                      <w:u w:val="none" w:color="auto"/>
                    </w:rPr>
                    <w:t>注液工序</w:t>
                  </w:r>
                  <w:r>
                    <w:rPr>
                      <w:rFonts w:hint="eastAsia" w:hAnsiTheme="minorEastAsia" w:eastAsiaTheme="minorEastAsia"/>
                      <w:szCs w:val="21"/>
                      <w:u w:val="none" w:color="auto"/>
                    </w:rPr>
                    <w:t>抽真空</w:t>
                  </w:r>
                  <w:r>
                    <w:rPr>
                      <w:rFonts w:hAnsiTheme="minorEastAsia" w:eastAsiaTheme="minorEastAsia"/>
                      <w:color w:val="000000"/>
                      <w:szCs w:val="21"/>
                      <w:u w:val="none" w:color="auto"/>
                    </w:rPr>
                    <w:t>尾气经收集系统收集后，由活性炭吸附脱附</w:t>
                  </w:r>
                  <w:r>
                    <w:rPr>
                      <w:rFonts w:eastAsiaTheme="minorEastAsia"/>
                      <w:color w:val="000000"/>
                      <w:szCs w:val="21"/>
                      <w:u w:val="none" w:color="auto"/>
                    </w:rPr>
                    <w:t>+</w:t>
                  </w:r>
                  <w:r>
                    <w:rPr>
                      <w:rFonts w:hAnsiTheme="minorEastAsia" w:eastAsiaTheme="minorEastAsia"/>
                      <w:color w:val="000000"/>
                      <w:szCs w:val="21"/>
                      <w:u w:val="none" w:color="auto"/>
                    </w:rPr>
                    <w:t>催化燃烧装置治理后经</w:t>
                  </w:r>
                  <w:r>
                    <w:rPr>
                      <w:rFonts w:eastAsiaTheme="minorEastAsia"/>
                      <w:color w:val="000000"/>
                      <w:szCs w:val="21"/>
                      <w:u w:val="none" w:color="auto"/>
                    </w:rPr>
                    <w:t>1</w:t>
                  </w:r>
                  <w:r>
                    <w:rPr>
                      <w:rFonts w:hAnsiTheme="minorEastAsia" w:eastAsiaTheme="minorEastAsia"/>
                      <w:color w:val="000000"/>
                      <w:szCs w:val="21"/>
                      <w:u w:val="none" w:color="auto"/>
                    </w:rPr>
                    <w:t>根</w:t>
                  </w:r>
                  <w:r>
                    <w:rPr>
                      <w:rFonts w:hint="eastAsia" w:hAnsiTheme="minorEastAsia" w:eastAsiaTheme="minorEastAsia"/>
                      <w:color w:val="000000"/>
                      <w:szCs w:val="21"/>
                      <w:u w:val="none" w:color="auto"/>
                      <w:lang w:val="en-US" w:eastAsia="zh-CN"/>
                    </w:rPr>
                    <w:t>25</w:t>
                  </w:r>
                  <w:r>
                    <w:rPr>
                      <w:rFonts w:eastAsiaTheme="minorEastAsia"/>
                      <w:color w:val="000000"/>
                      <w:szCs w:val="21"/>
                      <w:u w:val="none" w:color="auto"/>
                    </w:rPr>
                    <w:t>m</w:t>
                  </w:r>
                  <w:r>
                    <w:rPr>
                      <w:rFonts w:hAnsiTheme="minorEastAsia" w:eastAsiaTheme="minorEastAsia"/>
                      <w:color w:val="000000"/>
                      <w:szCs w:val="21"/>
                      <w:u w:val="none" w:color="auto"/>
                    </w:rPr>
                    <w:t>高排气筒</w:t>
                  </w:r>
                  <w:r>
                    <w:rPr>
                      <w:rFonts w:hint="eastAsia" w:hAnsiTheme="minorEastAsia" w:eastAsiaTheme="minorEastAsia"/>
                      <w:color w:val="000000"/>
                      <w:szCs w:val="21"/>
                      <w:u w:val="none" w:color="auto"/>
                    </w:rPr>
                    <w:t>（DA00</w:t>
                  </w:r>
                  <w:r>
                    <w:rPr>
                      <w:rFonts w:hint="eastAsia" w:hAnsiTheme="minorEastAsia" w:eastAsiaTheme="minorEastAsia"/>
                      <w:color w:val="000000"/>
                      <w:szCs w:val="21"/>
                      <w:u w:val="none" w:color="auto"/>
                      <w:lang w:val="en-US" w:eastAsia="zh-CN"/>
                    </w:rPr>
                    <w:t>1</w:t>
                  </w:r>
                  <w:r>
                    <w:rPr>
                      <w:rFonts w:hint="eastAsia" w:hAnsiTheme="minorEastAsia" w:eastAsiaTheme="minorEastAsia"/>
                      <w:color w:val="000000"/>
                      <w:szCs w:val="21"/>
                      <w:u w:val="none" w:color="auto"/>
                    </w:rPr>
                    <w:t>）</w:t>
                  </w:r>
                  <w:r>
                    <w:rPr>
                      <w:rFonts w:hAnsiTheme="minorEastAsia" w:eastAsiaTheme="minorEastAsia"/>
                      <w:color w:val="000000"/>
                      <w:szCs w:val="21"/>
                      <w:u w:val="none" w:color="auto"/>
                    </w:rPr>
                    <w:t>排放</w:t>
                  </w:r>
                  <w:r>
                    <w:rPr>
                      <w:rFonts w:hint="eastAsia" w:hAnsiTheme="minorEastAsia" w:eastAsiaTheme="minorEastAsia"/>
                      <w:color w:val="000000"/>
                      <w:szCs w:val="21"/>
                      <w:u w:val="none" w:color="auto"/>
                    </w:rPr>
                    <w:t>。</w:t>
                  </w:r>
                </w:p>
                <w:p w14:paraId="53C363EE">
                  <w:pPr>
                    <w:spacing w:line="240" w:lineRule="auto"/>
                    <w:ind w:firstLine="0" w:firstLineChars="0"/>
                    <w:rPr>
                      <w:rFonts w:hint="default" w:eastAsia="宋体" w:cs="Times New Roman"/>
                      <w:color w:val="auto"/>
                      <w:sz w:val="21"/>
                      <w:szCs w:val="21"/>
                      <w:u w:val="none" w:color="auto"/>
                      <w:lang w:val="en-US" w:eastAsia="zh-CN"/>
                    </w:rPr>
                  </w:pPr>
                  <w:r>
                    <w:rPr>
                      <w:rFonts w:hint="eastAsia" w:hAnsiTheme="minorEastAsia" w:eastAsiaTheme="minorEastAsia"/>
                      <w:sz w:val="21"/>
                      <w:szCs w:val="21"/>
                      <w:u w:val="none" w:color="auto"/>
                      <w:lang w:val="en-US" w:eastAsia="zh-CN"/>
                    </w:rPr>
                    <w:t>正极</w:t>
                  </w:r>
                  <w:r>
                    <w:rPr>
                      <w:rFonts w:hAnsiTheme="minorEastAsia" w:eastAsiaTheme="minorEastAsia"/>
                      <w:sz w:val="21"/>
                      <w:szCs w:val="21"/>
                      <w:u w:val="none" w:color="auto"/>
                    </w:rPr>
                    <w:t>配料</w:t>
                  </w:r>
                  <w:r>
                    <w:rPr>
                      <w:rFonts w:hint="eastAsia" w:hAnsiTheme="minorEastAsia" w:eastAsiaTheme="minorEastAsia"/>
                      <w:sz w:val="21"/>
                      <w:szCs w:val="21"/>
                      <w:u w:val="none" w:color="auto"/>
                    </w:rPr>
                    <w:t>，涂布烘干</w:t>
                  </w:r>
                  <w:r>
                    <w:rPr>
                      <w:rFonts w:hAnsiTheme="minorEastAsia" w:eastAsiaTheme="minorEastAsia"/>
                      <w:sz w:val="21"/>
                      <w:szCs w:val="21"/>
                      <w:u w:val="none" w:color="auto"/>
                    </w:rPr>
                    <w:t>废气经</w:t>
                  </w:r>
                  <w:r>
                    <w:rPr>
                      <w:rFonts w:eastAsiaTheme="minorEastAsia"/>
                      <w:sz w:val="21"/>
                      <w:szCs w:val="21"/>
                      <w:u w:val="none" w:color="auto"/>
                    </w:rPr>
                    <w:t>NMP</w:t>
                  </w:r>
                  <w:r>
                    <w:rPr>
                      <w:rFonts w:hAnsiTheme="minorEastAsia" w:eastAsiaTheme="minorEastAsia"/>
                      <w:sz w:val="21"/>
                      <w:szCs w:val="21"/>
                      <w:u w:val="none" w:color="auto"/>
                    </w:rPr>
                    <w:t>回收</w:t>
                  </w:r>
                  <w:r>
                    <w:rPr>
                      <w:rFonts w:hint="eastAsia" w:hAnsiTheme="minorEastAsia" w:eastAsiaTheme="minorEastAsia"/>
                      <w:sz w:val="21"/>
                      <w:szCs w:val="21"/>
                      <w:u w:val="none" w:color="auto"/>
                      <w:lang w:eastAsia="zh-CN"/>
                    </w:rPr>
                    <w:t>（</w:t>
                  </w:r>
                  <w:r>
                    <w:rPr>
                      <w:rFonts w:hint="eastAsia" w:hAnsiTheme="minorEastAsia" w:eastAsiaTheme="minorEastAsia"/>
                      <w:sz w:val="21"/>
                      <w:szCs w:val="21"/>
                      <w:u w:val="none" w:color="auto"/>
                      <w:lang w:val="en-US" w:eastAsia="zh-CN"/>
                    </w:rPr>
                    <w:t>余热回收冷凝+高塔式三级水喷淋</w:t>
                  </w:r>
                  <w:r>
                    <w:rPr>
                      <w:rFonts w:hint="eastAsia" w:hAnsiTheme="minorEastAsia" w:eastAsiaTheme="minorEastAsia"/>
                      <w:sz w:val="21"/>
                      <w:szCs w:val="21"/>
                      <w:u w:val="none" w:color="auto"/>
                      <w:lang w:eastAsia="zh-CN"/>
                    </w:rPr>
                    <w:t>）</w:t>
                  </w:r>
                  <w:r>
                    <w:rPr>
                      <w:rFonts w:hAnsiTheme="minorEastAsia" w:eastAsiaTheme="minorEastAsia"/>
                      <w:sz w:val="21"/>
                      <w:szCs w:val="21"/>
                      <w:u w:val="none" w:color="auto"/>
                    </w:rPr>
                    <w:t>系统处理后，经密闭管道通至</w:t>
                  </w:r>
                  <w:r>
                    <w:rPr>
                      <w:rFonts w:hint="eastAsia" w:hAnsiTheme="minorEastAsia" w:eastAsiaTheme="minorEastAsia"/>
                      <w:sz w:val="21"/>
                      <w:szCs w:val="21"/>
                      <w:u w:val="none" w:color="auto"/>
                      <w:lang w:val="en-US" w:eastAsia="zh-CN"/>
                    </w:rPr>
                    <w:t>一根25m高排气筒（DA001）排放。</w:t>
                  </w:r>
                </w:p>
              </w:tc>
            </w:tr>
            <w:tr w14:paraId="48F9558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028099A4">
                  <w:pPr>
                    <w:tabs>
                      <w:tab w:val="center" w:pos="4153"/>
                      <w:tab w:val="right" w:pos="8306"/>
                    </w:tabs>
                    <w:adjustRightInd w:val="0"/>
                    <w:snapToGrid w:val="0"/>
                    <w:jc w:val="center"/>
                    <w:textAlignment w:val="baseline"/>
                    <w:rPr>
                      <w:color w:val="000000" w:themeColor="text1"/>
                      <w:szCs w:val="21"/>
                      <w:u w:val="none" w:color="auto"/>
                      <w14:textFill>
                        <w14:solidFill>
                          <w14:schemeClr w14:val="tx1"/>
                        </w14:solidFill>
                      </w14:textFill>
                    </w:rPr>
                  </w:pPr>
                  <w:bookmarkStart w:id="14" w:name="_Hlk195187392"/>
                </w:p>
              </w:tc>
              <w:tc>
                <w:tcPr>
                  <w:tcW w:w="1428" w:type="dxa"/>
                  <w:tcBorders>
                    <w:tl2br w:val="nil"/>
                    <w:tr2bl w:val="nil"/>
                  </w:tcBorders>
                  <w:vAlign w:val="center"/>
                </w:tcPr>
                <w:p w14:paraId="7602C22A">
                  <w:pPr>
                    <w:tabs>
                      <w:tab w:val="center" w:pos="4153"/>
                      <w:tab w:val="right" w:pos="8306"/>
                    </w:tabs>
                    <w:adjustRightInd w:val="0"/>
                    <w:snapToGrid w:val="0"/>
                    <w:jc w:val="center"/>
                    <w:textAlignment w:val="baseline"/>
                    <w:rPr>
                      <w:rFonts w:hint="eastAsia"/>
                      <w:szCs w:val="21"/>
                      <w:u w:val="none" w:color="auto"/>
                    </w:rPr>
                  </w:pPr>
                  <w:r>
                    <w:rPr>
                      <w:rFonts w:hint="eastAsia"/>
                      <w:szCs w:val="21"/>
                      <w:u w:val="none" w:color="auto"/>
                    </w:rPr>
                    <w:t>正负极配料</w:t>
                  </w:r>
                  <w:r>
                    <w:rPr>
                      <w:rFonts w:hint="eastAsia"/>
                      <w:szCs w:val="21"/>
                      <w:u w:val="none" w:color="auto"/>
                      <w:lang w:eastAsia="zh-CN"/>
                    </w:rPr>
                    <w:t>、</w:t>
                  </w:r>
                  <w:r>
                    <w:rPr>
                      <w:rFonts w:hint="eastAsia"/>
                      <w:szCs w:val="21"/>
                      <w:u w:val="none" w:color="auto"/>
                      <w:lang w:val="en-US" w:eastAsia="zh-CN"/>
                    </w:rPr>
                    <w:t>投料</w:t>
                  </w:r>
                  <w:r>
                    <w:rPr>
                      <w:rFonts w:hint="eastAsia"/>
                      <w:szCs w:val="21"/>
                      <w:u w:val="none" w:color="auto"/>
                    </w:rPr>
                    <w:t>工序</w:t>
                  </w:r>
                </w:p>
              </w:tc>
              <w:tc>
                <w:tcPr>
                  <w:tcW w:w="1494" w:type="dxa"/>
                  <w:tcBorders>
                    <w:tl2br w:val="nil"/>
                    <w:tr2bl w:val="nil"/>
                  </w:tcBorders>
                  <w:vAlign w:val="center"/>
                </w:tcPr>
                <w:p w14:paraId="70176833">
                  <w:pPr>
                    <w:tabs>
                      <w:tab w:val="center" w:pos="4153"/>
                      <w:tab w:val="right" w:pos="8306"/>
                    </w:tabs>
                    <w:adjustRightInd w:val="0"/>
                    <w:snapToGrid w:val="0"/>
                    <w:jc w:val="center"/>
                    <w:textAlignment w:val="baseline"/>
                    <w:rPr>
                      <w:szCs w:val="21"/>
                      <w:u w:val="none" w:color="auto"/>
                    </w:rPr>
                  </w:pPr>
                  <w:r>
                    <w:rPr>
                      <w:rFonts w:hint="eastAsia"/>
                      <w:color w:val="000000" w:themeColor="text1"/>
                      <w:szCs w:val="21"/>
                      <w:u w:val="none" w:color="auto"/>
                      <w:lang w:val="en-US" w:eastAsia="zh-CN"/>
                      <w14:textFill>
                        <w14:solidFill>
                          <w14:schemeClr w14:val="tx1"/>
                        </w14:solidFill>
                      </w14:textFill>
                    </w:rPr>
                    <w:t>颗粒物</w:t>
                  </w:r>
                </w:p>
              </w:tc>
              <w:tc>
                <w:tcPr>
                  <w:tcW w:w="4170" w:type="dxa"/>
                  <w:tcBorders>
                    <w:tl2br w:val="nil"/>
                    <w:tr2bl w:val="nil"/>
                  </w:tcBorders>
                  <w:vAlign w:val="center"/>
                </w:tcPr>
                <w:p w14:paraId="168B2A19">
                  <w:pPr>
                    <w:adjustRightInd w:val="0"/>
                    <w:snapToGrid w:val="0"/>
                    <w:jc w:val="both"/>
                    <w:rPr>
                      <w:rFonts w:hAnsiTheme="minorEastAsia" w:eastAsiaTheme="minorEastAsia"/>
                      <w:sz w:val="21"/>
                      <w:szCs w:val="21"/>
                      <w:u w:val="none" w:color="auto"/>
                    </w:rPr>
                  </w:pPr>
                  <w:r>
                    <w:rPr>
                      <w:rFonts w:hint="eastAsia" w:cs="Times New Roman"/>
                      <w:color w:val="auto"/>
                      <w:sz w:val="21"/>
                      <w:szCs w:val="21"/>
                      <w:u w:val="none" w:color="auto"/>
                      <w:lang w:val="en-US" w:eastAsia="zh-CN"/>
                    </w:rPr>
                    <w:t>正负极配料、投料工序产生的颗粒物分别经各自配套的滤芯除尘器处理后最终通过一根</w:t>
                  </w:r>
                  <w:r>
                    <w:rPr>
                      <w:rFonts w:hint="eastAsia" w:hAnsiTheme="minorEastAsia" w:eastAsiaTheme="minorEastAsia"/>
                      <w:color w:val="000000"/>
                      <w:szCs w:val="21"/>
                      <w:u w:val="none" w:color="auto"/>
                      <w:lang w:val="en-US" w:eastAsia="zh-CN"/>
                    </w:rPr>
                    <w:t>25</w:t>
                  </w:r>
                  <w:r>
                    <w:rPr>
                      <w:rFonts w:eastAsiaTheme="minorEastAsia"/>
                      <w:color w:val="000000"/>
                      <w:szCs w:val="21"/>
                      <w:u w:val="none" w:color="auto"/>
                    </w:rPr>
                    <w:t>m</w:t>
                  </w:r>
                  <w:r>
                    <w:rPr>
                      <w:rFonts w:hAnsiTheme="minorEastAsia" w:eastAsiaTheme="minorEastAsia"/>
                      <w:color w:val="000000"/>
                      <w:szCs w:val="21"/>
                      <w:u w:val="none" w:color="auto"/>
                    </w:rPr>
                    <w:t>高排气筒</w:t>
                  </w:r>
                  <w:r>
                    <w:rPr>
                      <w:rFonts w:hint="eastAsia" w:hAnsiTheme="minorEastAsia" w:eastAsiaTheme="minorEastAsia"/>
                      <w:color w:val="000000"/>
                      <w:szCs w:val="21"/>
                      <w:u w:val="none" w:color="auto"/>
                    </w:rPr>
                    <w:t>（DA00</w:t>
                  </w:r>
                  <w:r>
                    <w:rPr>
                      <w:rFonts w:hint="eastAsia" w:hAnsiTheme="minorEastAsia" w:eastAsiaTheme="minorEastAsia"/>
                      <w:color w:val="000000"/>
                      <w:szCs w:val="21"/>
                      <w:u w:val="none" w:color="auto"/>
                      <w:lang w:val="en-US" w:eastAsia="zh-CN"/>
                    </w:rPr>
                    <w:t>2</w:t>
                  </w:r>
                  <w:r>
                    <w:rPr>
                      <w:rFonts w:hint="eastAsia" w:hAnsiTheme="minorEastAsia" w:eastAsiaTheme="minorEastAsia"/>
                      <w:color w:val="000000"/>
                      <w:szCs w:val="21"/>
                      <w:u w:val="none" w:color="auto"/>
                    </w:rPr>
                    <w:t>）</w:t>
                  </w:r>
                  <w:r>
                    <w:rPr>
                      <w:rFonts w:hAnsiTheme="minorEastAsia" w:eastAsiaTheme="minorEastAsia"/>
                      <w:color w:val="000000"/>
                      <w:szCs w:val="21"/>
                      <w:u w:val="none" w:color="auto"/>
                    </w:rPr>
                    <w:t>排放</w:t>
                  </w:r>
                  <w:r>
                    <w:rPr>
                      <w:rFonts w:hint="eastAsia" w:hAnsiTheme="minorEastAsia" w:eastAsiaTheme="minorEastAsia"/>
                      <w:color w:val="000000"/>
                      <w:szCs w:val="21"/>
                      <w:u w:val="none" w:color="auto"/>
                      <w:lang w:eastAsia="zh-CN"/>
                    </w:rPr>
                    <w:t>。</w:t>
                  </w:r>
                </w:p>
              </w:tc>
            </w:tr>
            <w:tr w14:paraId="4CA82B7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386E2B28">
                  <w:pPr>
                    <w:tabs>
                      <w:tab w:val="center" w:pos="4153"/>
                      <w:tab w:val="right" w:pos="8306"/>
                    </w:tabs>
                    <w:adjustRightInd w:val="0"/>
                    <w:snapToGrid w:val="0"/>
                    <w:jc w:val="center"/>
                    <w:textAlignment w:val="baseline"/>
                    <w:rPr>
                      <w:color w:val="000000" w:themeColor="text1"/>
                      <w:szCs w:val="21"/>
                      <w:u w:val="none" w:color="auto"/>
                      <w14:textFill>
                        <w14:solidFill>
                          <w14:schemeClr w14:val="tx1"/>
                        </w14:solidFill>
                      </w14:textFill>
                    </w:rPr>
                  </w:pPr>
                </w:p>
              </w:tc>
              <w:tc>
                <w:tcPr>
                  <w:tcW w:w="1428" w:type="dxa"/>
                  <w:tcBorders>
                    <w:tl2br w:val="nil"/>
                    <w:tr2bl w:val="nil"/>
                  </w:tcBorders>
                  <w:vAlign w:val="center"/>
                </w:tcPr>
                <w:p w14:paraId="01A48FAD">
                  <w:pPr>
                    <w:tabs>
                      <w:tab w:val="center" w:pos="4153"/>
                      <w:tab w:val="right" w:pos="8306"/>
                    </w:tabs>
                    <w:adjustRightInd w:val="0"/>
                    <w:snapToGrid w:val="0"/>
                    <w:jc w:val="center"/>
                    <w:textAlignment w:val="baseline"/>
                    <w:rPr>
                      <w:rFonts w:hint="default" w:eastAsia="宋体"/>
                      <w:szCs w:val="21"/>
                      <w:u w:val="none" w:color="auto"/>
                      <w:lang w:val="en-US" w:eastAsia="zh-CN"/>
                    </w:rPr>
                  </w:pPr>
                  <w:r>
                    <w:rPr>
                      <w:rFonts w:hint="eastAsia"/>
                      <w:szCs w:val="21"/>
                      <w:u w:val="none" w:color="auto"/>
                      <w:lang w:val="en-US" w:eastAsia="zh-CN"/>
                    </w:rPr>
                    <w:t>污水处理设施</w:t>
                  </w:r>
                </w:p>
              </w:tc>
              <w:tc>
                <w:tcPr>
                  <w:tcW w:w="1494" w:type="dxa"/>
                  <w:tcBorders>
                    <w:tl2br w:val="nil"/>
                    <w:tr2bl w:val="nil"/>
                  </w:tcBorders>
                  <w:vAlign w:val="center"/>
                </w:tcPr>
                <w:p w14:paraId="5845558D">
                  <w:pPr>
                    <w:tabs>
                      <w:tab w:val="center" w:pos="4153"/>
                      <w:tab w:val="right" w:pos="8306"/>
                    </w:tabs>
                    <w:adjustRightInd w:val="0"/>
                    <w:snapToGrid w:val="0"/>
                    <w:jc w:val="center"/>
                    <w:textAlignment w:val="baseline"/>
                    <w:rPr>
                      <w:rFonts w:hint="default" w:eastAsia="宋体"/>
                      <w:szCs w:val="21"/>
                      <w:u w:val="none" w:color="auto"/>
                      <w:lang w:val="en-US" w:eastAsia="zh-CN"/>
                    </w:rPr>
                  </w:pPr>
                  <w:r>
                    <w:rPr>
                      <w:rFonts w:hint="eastAsia"/>
                      <w:szCs w:val="21"/>
                      <w:u w:val="none" w:color="auto"/>
                      <w:lang w:val="en-US" w:eastAsia="zh-CN"/>
                    </w:rPr>
                    <w:t>氨、硫化氢、臭气浓度</w:t>
                  </w:r>
                </w:p>
              </w:tc>
              <w:tc>
                <w:tcPr>
                  <w:tcW w:w="4170" w:type="dxa"/>
                  <w:tcBorders>
                    <w:tl2br w:val="nil"/>
                    <w:tr2bl w:val="nil"/>
                  </w:tcBorders>
                  <w:vAlign w:val="center"/>
                </w:tcPr>
                <w:p w14:paraId="60EA3209">
                  <w:pPr>
                    <w:spacing w:line="240" w:lineRule="auto"/>
                    <w:ind w:firstLine="0" w:firstLineChars="0"/>
                    <w:rPr>
                      <w:rFonts w:hint="eastAsia" w:hAnsiTheme="minorEastAsia" w:eastAsiaTheme="minorEastAsia"/>
                      <w:sz w:val="21"/>
                      <w:szCs w:val="21"/>
                      <w:u w:val="none" w:color="auto"/>
                      <w:lang w:val="en-US" w:eastAsia="zh-CN"/>
                    </w:rPr>
                  </w:pPr>
                  <w:r>
                    <w:rPr>
                      <w:rFonts w:hint="eastAsia" w:hAnsiTheme="minorEastAsia" w:eastAsiaTheme="minorEastAsia"/>
                      <w:sz w:val="21"/>
                      <w:szCs w:val="21"/>
                      <w:u w:val="none" w:color="auto"/>
                    </w:rPr>
                    <w:t>污水处理站各臭源构筑物加盖密闭负压收集恶臭气体，</w:t>
                  </w:r>
                  <w:r>
                    <w:rPr>
                      <w:rFonts w:hint="eastAsia" w:hAnsiTheme="minorEastAsia" w:eastAsiaTheme="minorEastAsia"/>
                      <w:sz w:val="21"/>
                      <w:szCs w:val="21"/>
                      <w:u w:val="none" w:color="auto"/>
                      <w:lang w:val="en-US" w:eastAsia="zh-CN"/>
                    </w:rPr>
                    <w:t>收集后</w:t>
                  </w:r>
                  <w:r>
                    <w:rPr>
                      <w:rFonts w:hint="eastAsia" w:hAnsiTheme="minorEastAsia" w:eastAsiaTheme="minorEastAsia"/>
                      <w:sz w:val="21"/>
                      <w:szCs w:val="21"/>
                      <w:u w:val="none" w:color="auto"/>
                    </w:rPr>
                    <w:t>送入</w:t>
                  </w:r>
                  <w:r>
                    <w:rPr>
                      <w:rFonts w:hint="eastAsia" w:hAnsiTheme="minorEastAsia" w:eastAsiaTheme="minorEastAsia"/>
                      <w:sz w:val="21"/>
                      <w:szCs w:val="21"/>
                      <w:u w:val="none" w:color="auto"/>
                      <w:lang w:eastAsia="zh-CN"/>
                    </w:rPr>
                    <w:t>生物除臭池</w:t>
                  </w:r>
                  <w:r>
                    <w:rPr>
                      <w:rFonts w:hint="eastAsia" w:hAnsiTheme="minorEastAsia" w:eastAsiaTheme="minorEastAsia"/>
                      <w:sz w:val="21"/>
                      <w:szCs w:val="21"/>
                      <w:u w:val="none" w:color="auto"/>
                    </w:rPr>
                    <w:t>处理后</w:t>
                  </w:r>
                  <w:r>
                    <w:rPr>
                      <w:rFonts w:hint="eastAsia" w:hAnsiTheme="minorEastAsia" w:eastAsiaTheme="minorEastAsia"/>
                      <w:sz w:val="21"/>
                      <w:szCs w:val="21"/>
                      <w:u w:val="none" w:color="auto"/>
                      <w:lang w:eastAsia="zh-CN"/>
                    </w:rPr>
                    <w:t>，</w:t>
                  </w:r>
                  <w:r>
                    <w:rPr>
                      <w:rFonts w:hint="eastAsia" w:hAnsiTheme="minorEastAsia" w:eastAsiaTheme="minorEastAsia"/>
                      <w:sz w:val="21"/>
                      <w:szCs w:val="21"/>
                      <w:u w:val="none" w:color="auto"/>
                      <w:lang w:val="en-US" w:eastAsia="zh-CN"/>
                    </w:rPr>
                    <w:t>尾气通过一根15</w:t>
                  </w:r>
                  <w:r>
                    <w:rPr>
                      <w:rFonts w:hint="eastAsia" w:hAnsiTheme="minorEastAsia" w:eastAsiaTheme="minorEastAsia"/>
                      <w:sz w:val="21"/>
                      <w:szCs w:val="21"/>
                      <w:u w:val="none" w:color="auto"/>
                    </w:rPr>
                    <w:t>m 高排气筒</w:t>
                  </w:r>
                  <w:r>
                    <w:rPr>
                      <w:rFonts w:hint="eastAsia" w:hAnsiTheme="minorEastAsia" w:eastAsiaTheme="minorEastAsia"/>
                      <w:sz w:val="21"/>
                      <w:szCs w:val="21"/>
                      <w:u w:val="none" w:color="auto"/>
                      <w:lang w:eastAsia="zh-CN"/>
                    </w:rPr>
                    <w:t>（</w:t>
                  </w:r>
                  <w:r>
                    <w:rPr>
                      <w:rFonts w:hint="eastAsia" w:hAnsiTheme="minorEastAsia" w:eastAsiaTheme="minorEastAsia"/>
                      <w:sz w:val="21"/>
                      <w:szCs w:val="21"/>
                      <w:u w:val="none" w:color="auto"/>
                      <w:lang w:val="en-US" w:eastAsia="zh-CN"/>
                    </w:rPr>
                    <w:t>DA003</w:t>
                  </w:r>
                  <w:r>
                    <w:rPr>
                      <w:rFonts w:hint="eastAsia" w:hAnsiTheme="minorEastAsia" w:eastAsiaTheme="minorEastAsia"/>
                      <w:sz w:val="21"/>
                      <w:szCs w:val="21"/>
                      <w:u w:val="none" w:color="auto"/>
                      <w:lang w:eastAsia="zh-CN"/>
                    </w:rPr>
                    <w:t>）</w:t>
                  </w:r>
                  <w:r>
                    <w:rPr>
                      <w:rFonts w:hint="eastAsia" w:hAnsiTheme="minorEastAsia" w:eastAsiaTheme="minorEastAsia"/>
                      <w:sz w:val="21"/>
                      <w:szCs w:val="21"/>
                      <w:u w:val="none" w:color="auto"/>
                    </w:rPr>
                    <w:t>排放</w:t>
                  </w:r>
                  <w:r>
                    <w:rPr>
                      <w:rFonts w:hint="eastAsia" w:hAnsiTheme="minorEastAsia" w:eastAsiaTheme="minorEastAsia"/>
                      <w:sz w:val="21"/>
                      <w:szCs w:val="21"/>
                      <w:u w:val="none" w:color="auto"/>
                      <w:lang w:eastAsia="zh-CN"/>
                    </w:rPr>
                    <w:t>。</w:t>
                  </w:r>
                </w:p>
              </w:tc>
            </w:tr>
            <w:tr w14:paraId="549B84B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restart"/>
                  <w:tcBorders>
                    <w:tl2br w:val="nil"/>
                    <w:tr2bl w:val="nil"/>
                  </w:tcBorders>
                  <w:vAlign w:val="center"/>
                </w:tcPr>
                <w:p w14:paraId="28A1A84F">
                  <w:pPr>
                    <w:tabs>
                      <w:tab w:val="center" w:pos="4153"/>
                      <w:tab w:val="right" w:pos="8306"/>
                    </w:tabs>
                    <w:adjustRightInd w:val="0"/>
                    <w:snapToGrid w:val="0"/>
                    <w:jc w:val="center"/>
                    <w:textAlignment w:val="baseline"/>
                    <w:rPr>
                      <w:szCs w:val="21"/>
                      <w:u w:val="none" w:color="auto"/>
                    </w:rPr>
                  </w:pPr>
                  <w:r>
                    <w:rPr>
                      <w:szCs w:val="21"/>
                      <w:u w:val="none" w:color="auto"/>
                    </w:rPr>
                    <w:t>废水</w:t>
                  </w:r>
                </w:p>
              </w:tc>
              <w:tc>
                <w:tcPr>
                  <w:tcW w:w="1428" w:type="dxa"/>
                  <w:tcBorders>
                    <w:tl2br w:val="nil"/>
                    <w:tr2bl w:val="nil"/>
                  </w:tcBorders>
                  <w:vAlign w:val="center"/>
                </w:tcPr>
                <w:p w14:paraId="0A555966">
                  <w:pPr>
                    <w:spacing w:line="240" w:lineRule="auto"/>
                    <w:ind w:firstLine="0" w:firstLineChars="0"/>
                    <w:jc w:val="center"/>
                    <w:rPr>
                      <w:rFonts w:hint="default" w:hAnsiTheme="minorEastAsia" w:eastAsiaTheme="minorEastAsia"/>
                      <w:sz w:val="21"/>
                      <w:szCs w:val="21"/>
                      <w:u w:val="none" w:color="auto"/>
                      <w:lang w:val="en-US" w:eastAsia="zh-CN"/>
                    </w:rPr>
                  </w:pPr>
                  <w:r>
                    <w:rPr>
                      <w:rFonts w:hint="eastAsia" w:hAnsiTheme="minorEastAsia" w:eastAsiaTheme="minorEastAsia"/>
                      <w:sz w:val="21"/>
                      <w:szCs w:val="21"/>
                      <w:u w:val="none" w:color="auto"/>
                      <w:lang w:val="en-US" w:eastAsia="zh-CN"/>
                    </w:rPr>
                    <w:t>设备、地面清洗废水</w:t>
                  </w:r>
                </w:p>
              </w:tc>
              <w:tc>
                <w:tcPr>
                  <w:tcW w:w="1494" w:type="dxa"/>
                  <w:tcBorders>
                    <w:tl2br w:val="nil"/>
                    <w:tr2bl w:val="nil"/>
                  </w:tcBorders>
                  <w:vAlign w:val="center"/>
                </w:tcPr>
                <w:p w14:paraId="37F61FD3">
                  <w:pPr>
                    <w:spacing w:line="240" w:lineRule="auto"/>
                    <w:ind w:firstLine="0" w:firstLineChars="0"/>
                    <w:rPr>
                      <w:rFonts w:hint="default" w:hAnsiTheme="minorEastAsia" w:eastAsiaTheme="minorEastAsia"/>
                      <w:sz w:val="21"/>
                      <w:szCs w:val="21"/>
                      <w:u w:val="none" w:color="auto"/>
                      <w:lang w:val="en-US" w:eastAsia="zh-CN"/>
                    </w:rPr>
                  </w:pPr>
                  <w:r>
                    <w:rPr>
                      <w:rFonts w:hint="eastAsia" w:hAnsiTheme="minorEastAsia" w:eastAsiaTheme="minorEastAsia"/>
                      <w:sz w:val="21"/>
                      <w:szCs w:val="21"/>
                      <w:u w:val="none" w:color="auto"/>
                      <w:lang w:val="en-US" w:eastAsia="zh-CN"/>
                    </w:rPr>
                    <w:t>COD、SS、总镍、总钴、总锰</w:t>
                  </w:r>
                </w:p>
              </w:tc>
              <w:tc>
                <w:tcPr>
                  <w:tcW w:w="4170" w:type="dxa"/>
                  <w:vMerge w:val="restart"/>
                  <w:tcBorders>
                    <w:tl2br w:val="nil"/>
                    <w:tr2bl w:val="nil"/>
                  </w:tcBorders>
                  <w:vAlign w:val="center"/>
                </w:tcPr>
                <w:p w14:paraId="2C726B63">
                  <w:pPr>
                    <w:adjustRightInd w:val="0"/>
                    <w:snapToGrid w:val="0"/>
                    <w:jc w:val="center"/>
                    <w:rPr>
                      <w:rFonts w:hint="eastAsia" w:hAnsiTheme="minorEastAsia" w:eastAsiaTheme="minorEastAsia"/>
                      <w:sz w:val="21"/>
                      <w:szCs w:val="21"/>
                      <w:u w:val="none" w:color="auto"/>
                      <w:lang w:val="en-US" w:eastAsia="zh-CN"/>
                    </w:rPr>
                  </w:pPr>
                  <w:r>
                    <w:rPr>
                      <w:rFonts w:hint="eastAsia"/>
                      <w:sz w:val="21"/>
                      <w:szCs w:val="21"/>
                      <w:u w:val="none" w:color="auto"/>
                      <w:lang w:val="en-US" w:eastAsia="zh-CN"/>
                    </w:rPr>
                    <w:t>设备、地面清洗废水经化学混凝沉淀池预处理后与纯水制备浓水、反冲洗废水、电池清洗废水一并排入厂区污水处理站</w:t>
                  </w:r>
                  <w:r>
                    <w:rPr>
                      <w:rFonts w:hint="default" w:eastAsia="宋体"/>
                      <w:bCs/>
                      <w:sz w:val="21"/>
                      <w:szCs w:val="21"/>
                      <w:u w:val="none" w:color="auto"/>
                      <w:lang w:val="en-US" w:eastAsia="zh-CN"/>
                    </w:rPr>
                    <w:t>（处理能力：800t/d；处理工艺：“混凝沉淀+水解酸化+AO工艺”）</w:t>
                  </w:r>
                  <w:r>
                    <w:rPr>
                      <w:rFonts w:hint="eastAsia"/>
                      <w:bCs/>
                      <w:sz w:val="21"/>
                      <w:szCs w:val="21"/>
                      <w:u w:val="none" w:color="auto"/>
                      <w:lang w:val="en-US" w:eastAsia="zh-CN"/>
                    </w:rPr>
                    <w:t>后</w:t>
                  </w:r>
                  <w:r>
                    <w:rPr>
                      <w:rFonts w:hint="default" w:eastAsia="宋体"/>
                      <w:bCs/>
                      <w:sz w:val="21"/>
                      <w:szCs w:val="21"/>
                      <w:u w:val="none" w:color="auto"/>
                      <w:lang w:val="en-US" w:eastAsia="zh-CN"/>
                    </w:rPr>
                    <w:t>，</w:t>
                  </w:r>
                  <w:r>
                    <w:rPr>
                      <w:rFonts w:hint="eastAsia"/>
                      <w:bCs/>
                      <w:sz w:val="21"/>
                      <w:szCs w:val="21"/>
                      <w:u w:val="none" w:color="auto"/>
                      <w:lang w:val="en-US" w:eastAsia="zh-CN"/>
                    </w:rPr>
                    <w:t>通过生产废水排放口（DW002）</w:t>
                  </w:r>
                  <w:r>
                    <w:rPr>
                      <w:rFonts w:hint="default" w:eastAsia="宋体"/>
                      <w:bCs/>
                      <w:sz w:val="21"/>
                      <w:szCs w:val="21"/>
                      <w:u w:val="none" w:color="auto"/>
                      <w:lang w:val="en-US" w:eastAsia="zh-CN"/>
                    </w:rPr>
                    <w:t>排入新乡市贾屯污水处理厂进一步处理</w:t>
                  </w:r>
                  <w:r>
                    <w:rPr>
                      <w:rFonts w:hint="eastAsia"/>
                      <w:bCs/>
                      <w:sz w:val="21"/>
                      <w:szCs w:val="21"/>
                      <w:u w:val="none" w:color="auto"/>
                      <w:lang w:val="en-US" w:eastAsia="zh-CN"/>
                    </w:rPr>
                    <w:t>。</w:t>
                  </w:r>
                </w:p>
              </w:tc>
            </w:tr>
            <w:tr w14:paraId="326B12F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3B509AF4">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72C5A10F">
                  <w:pPr>
                    <w:spacing w:line="240" w:lineRule="auto"/>
                    <w:ind w:firstLine="0" w:firstLineChars="0"/>
                    <w:jc w:val="center"/>
                    <w:rPr>
                      <w:rFonts w:hint="default" w:hAnsiTheme="minorEastAsia" w:eastAsiaTheme="minorEastAsia"/>
                      <w:sz w:val="21"/>
                      <w:szCs w:val="21"/>
                      <w:u w:val="none" w:color="auto"/>
                      <w:lang w:val="en-US" w:eastAsia="zh-CN"/>
                    </w:rPr>
                  </w:pPr>
                  <w:r>
                    <w:rPr>
                      <w:rFonts w:hint="eastAsia" w:hAnsiTheme="minorEastAsia" w:eastAsiaTheme="minorEastAsia"/>
                      <w:sz w:val="21"/>
                      <w:szCs w:val="21"/>
                      <w:u w:val="none" w:color="auto"/>
                      <w:lang w:val="en-US" w:eastAsia="zh-CN"/>
                    </w:rPr>
                    <w:t>生产废水</w:t>
                  </w:r>
                </w:p>
              </w:tc>
              <w:tc>
                <w:tcPr>
                  <w:tcW w:w="1494" w:type="dxa"/>
                  <w:tcBorders>
                    <w:tl2br w:val="nil"/>
                    <w:tr2bl w:val="nil"/>
                  </w:tcBorders>
                  <w:vAlign w:val="center"/>
                </w:tcPr>
                <w:p w14:paraId="78A34834">
                  <w:pPr>
                    <w:spacing w:line="240" w:lineRule="auto"/>
                    <w:ind w:firstLine="0" w:firstLineChars="0"/>
                    <w:rPr>
                      <w:rFonts w:hint="default" w:hAnsiTheme="minorEastAsia" w:eastAsiaTheme="minorEastAsia"/>
                      <w:sz w:val="21"/>
                      <w:szCs w:val="21"/>
                      <w:u w:val="none" w:color="auto"/>
                      <w:lang w:val="en-US" w:eastAsia="zh-CN"/>
                    </w:rPr>
                  </w:pPr>
                  <w:r>
                    <w:rPr>
                      <w:rFonts w:hint="eastAsia" w:hAnsiTheme="minorEastAsia" w:eastAsiaTheme="minorEastAsia"/>
                      <w:sz w:val="21"/>
                      <w:szCs w:val="21"/>
                      <w:u w:val="none" w:color="auto"/>
                      <w:lang w:val="en-US" w:eastAsia="zh-CN"/>
                    </w:rPr>
                    <w:t>pH、COD、SS、NH</w:t>
                  </w:r>
                  <w:r>
                    <w:rPr>
                      <w:rFonts w:hint="eastAsia" w:hAnsiTheme="minorEastAsia" w:eastAsiaTheme="minorEastAsia"/>
                      <w:sz w:val="21"/>
                      <w:szCs w:val="21"/>
                      <w:u w:val="none" w:color="auto"/>
                      <w:vertAlign w:val="subscript"/>
                      <w:lang w:val="en-US" w:eastAsia="zh-CN"/>
                    </w:rPr>
                    <w:t>3</w:t>
                  </w:r>
                  <w:r>
                    <w:rPr>
                      <w:rFonts w:hint="eastAsia" w:hAnsiTheme="minorEastAsia" w:eastAsiaTheme="minorEastAsia"/>
                      <w:sz w:val="21"/>
                      <w:szCs w:val="21"/>
                      <w:u w:val="none" w:color="auto"/>
                      <w:lang w:val="en-US" w:eastAsia="zh-CN"/>
                    </w:rPr>
                    <w:t>-N、TP、TN、总锰、总镍、总钴</w:t>
                  </w:r>
                </w:p>
              </w:tc>
              <w:tc>
                <w:tcPr>
                  <w:tcW w:w="4170" w:type="dxa"/>
                  <w:vMerge w:val="continue"/>
                  <w:tcBorders>
                    <w:tl2br w:val="nil"/>
                    <w:tr2bl w:val="nil"/>
                  </w:tcBorders>
                  <w:vAlign w:val="center"/>
                </w:tcPr>
                <w:p w14:paraId="0F073891">
                  <w:pPr>
                    <w:tabs>
                      <w:tab w:val="center" w:pos="4153"/>
                      <w:tab w:val="right" w:pos="8306"/>
                    </w:tabs>
                    <w:adjustRightInd w:val="0"/>
                    <w:snapToGrid w:val="0"/>
                    <w:jc w:val="center"/>
                    <w:textAlignment w:val="baseline"/>
                    <w:rPr>
                      <w:rFonts w:hint="eastAsia" w:ascii="Times New Roman" w:hAnsi="Times New Roman" w:eastAsia="宋体" w:cs="Times New Roman"/>
                      <w:szCs w:val="21"/>
                      <w:highlight w:val="cyan"/>
                      <w:u w:val="none" w:color="auto"/>
                      <w:lang w:val="en-US" w:eastAsia="zh-CN"/>
                    </w:rPr>
                  </w:pPr>
                </w:p>
              </w:tc>
            </w:tr>
            <w:tr w14:paraId="59A37F8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55491587">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7CB30E12">
                  <w:pPr>
                    <w:spacing w:line="240" w:lineRule="auto"/>
                    <w:ind w:firstLine="0" w:firstLineChars="0"/>
                    <w:jc w:val="center"/>
                    <w:rPr>
                      <w:rFonts w:hint="default" w:hAnsiTheme="minorEastAsia" w:eastAsiaTheme="minorEastAsia"/>
                      <w:sz w:val="21"/>
                      <w:szCs w:val="21"/>
                      <w:u w:val="none" w:color="auto"/>
                      <w:lang w:val="en-US" w:eastAsia="zh-CN"/>
                    </w:rPr>
                  </w:pPr>
                  <w:r>
                    <w:rPr>
                      <w:rFonts w:hint="eastAsia" w:hAnsiTheme="minorEastAsia" w:eastAsiaTheme="minorEastAsia"/>
                      <w:sz w:val="21"/>
                      <w:szCs w:val="21"/>
                      <w:u w:val="none" w:color="auto"/>
                      <w:lang w:val="en-US" w:eastAsia="zh-CN"/>
                    </w:rPr>
                    <w:t>生活污水</w:t>
                  </w:r>
                </w:p>
              </w:tc>
              <w:tc>
                <w:tcPr>
                  <w:tcW w:w="1494" w:type="dxa"/>
                  <w:tcBorders>
                    <w:tl2br w:val="nil"/>
                    <w:tr2bl w:val="nil"/>
                  </w:tcBorders>
                  <w:vAlign w:val="center"/>
                </w:tcPr>
                <w:p w14:paraId="26B35B26">
                  <w:pPr>
                    <w:spacing w:line="240" w:lineRule="auto"/>
                    <w:ind w:firstLine="0" w:firstLineChars="0"/>
                    <w:rPr>
                      <w:rFonts w:hint="eastAsia" w:hAnsiTheme="minorEastAsia" w:eastAsiaTheme="minorEastAsia"/>
                      <w:sz w:val="21"/>
                      <w:szCs w:val="21"/>
                      <w:u w:val="none" w:color="auto"/>
                      <w:lang w:val="en-US" w:eastAsia="zh-CN"/>
                    </w:rPr>
                  </w:pPr>
                  <w:r>
                    <w:rPr>
                      <w:rFonts w:hint="eastAsia" w:hAnsiTheme="minorEastAsia" w:eastAsiaTheme="minorEastAsia"/>
                      <w:sz w:val="21"/>
                      <w:szCs w:val="21"/>
                      <w:u w:val="none" w:color="auto"/>
                      <w:lang w:val="en-US" w:eastAsia="zh-CN"/>
                    </w:rPr>
                    <w:t>pH、COD、SS、NH</w:t>
                  </w:r>
                  <w:r>
                    <w:rPr>
                      <w:rFonts w:hint="eastAsia" w:hAnsiTheme="minorEastAsia" w:eastAsiaTheme="minorEastAsia"/>
                      <w:sz w:val="21"/>
                      <w:szCs w:val="21"/>
                      <w:u w:val="none" w:color="auto"/>
                      <w:vertAlign w:val="subscript"/>
                      <w:lang w:val="en-US" w:eastAsia="zh-CN"/>
                    </w:rPr>
                    <w:t>3</w:t>
                  </w:r>
                  <w:r>
                    <w:rPr>
                      <w:rFonts w:hint="eastAsia" w:hAnsiTheme="minorEastAsia" w:eastAsiaTheme="minorEastAsia"/>
                      <w:sz w:val="21"/>
                      <w:szCs w:val="21"/>
                      <w:u w:val="none" w:color="auto"/>
                      <w:lang w:val="en-US" w:eastAsia="zh-CN"/>
                    </w:rPr>
                    <w:t>-N、TP、TN</w:t>
                  </w:r>
                </w:p>
              </w:tc>
              <w:tc>
                <w:tcPr>
                  <w:tcW w:w="4170" w:type="dxa"/>
                  <w:tcBorders>
                    <w:tl2br w:val="nil"/>
                    <w:tr2bl w:val="nil"/>
                  </w:tcBorders>
                  <w:vAlign w:val="center"/>
                </w:tcPr>
                <w:p w14:paraId="58AC0A36">
                  <w:pPr>
                    <w:tabs>
                      <w:tab w:val="center" w:pos="4153"/>
                      <w:tab w:val="right" w:pos="8306"/>
                    </w:tabs>
                    <w:adjustRightInd w:val="0"/>
                    <w:snapToGrid w:val="0"/>
                    <w:jc w:val="center"/>
                    <w:textAlignment w:val="baseline"/>
                    <w:rPr>
                      <w:rFonts w:hint="eastAsia" w:ascii="Times New Roman" w:hAnsi="Times New Roman" w:eastAsia="宋体" w:cs="Times New Roman"/>
                      <w:szCs w:val="21"/>
                      <w:highlight w:val="cyan"/>
                      <w:u w:val="none" w:color="auto"/>
                      <w:lang w:val="en-US" w:eastAsia="zh-CN"/>
                    </w:rPr>
                  </w:pPr>
                  <w:r>
                    <w:rPr>
                      <w:rFonts w:hint="eastAsia" w:eastAsia="宋体"/>
                      <w:bCs/>
                      <w:sz w:val="21"/>
                      <w:szCs w:val="21"/>
                      <w:u w:val="none" w:color="auto"/>
                      <w:lang w:val="en-US" w:eastAsia="zh-CN"/>
                    </w:rPr>
                    <w:t>生活污水经化粪池</w:t>
                  </w:r>
                  <w:r>
                    <w:rPr>
                      <w:rFonts w:hint="eastAsia"/>
                      <w:bCs/>
                      <w:sz w:val="21"/>
                      <w:szCs w:val="21"/>
                      <w:u w:val="none" w:color="auto"/>
                      <w:lang w:val="en-US" w:eastAsia="zh-CN"/>
                    </w:rPr>
                    <w:t>处理后通过</w:t>
                  </w:r>
                  <w:r>
                    <w:rPr>
                      <w:rFonts w:hint="eastAsia" w:eastAsia="宋体"/>
                      <w:bCs/>
                      <w:sz w:val="21"/>
                      <w:szCs w:val="21"/>
                      <w:u w:val="none" w:color="auto"/>
                      <w:lang w:val="en-US" w:eastAsia="zh-CN"/>
                    </w:rPr>
                    <w:t>生活污水排放口</w:t>
                  </w:r>
                  <w:r>
                    <w:rPr>
                      <w:rFonts w:hint="eastAsia"/>
                      <w:bCs/>
                      <w:sz w:val="21"/>
                      <w:szCs w:val="21"/>
                      <w:u w:val="none" w:color="auto"/>
                      <w:lang w:val="en-US" w:eastAsia="zh-CN"/>
                    </w:rPr>
                    <w:t>（DW001）</w:t>
                  </w:r>
                  <w:r>
                    <w:rPr>
                      <w:rFonts w:hint="eastAsia" w:eastAsia="宋体"/>
                      <w:bCs/>
                      <w:sz w:val="21"/>
                      <w:szCs w:val="21"/>
                      <w:u w:val="none" w:color="auto"/>
                      <w:lang w:val="en-US" w:eastAsia="zh-CN"/>
                    </w:rPr>
                    <w:t>排入</w:t>
                  </w:r>
                  <w:r>
                    <w:rPr>
                      <w:rFonts w:hint="default" w:eastAsia="宋体"/>
                      <w:bCs/>
                      <w:sz w:val="21"/>
                      <w:szCs w:val="21"/>
                      <w:u w:val="none" w:color="auto"/>
                      <w:lang w:val="en-US" w:eastAsia="zh-CN"/>
                    </w:rPr>
                    <w:t>新乡市贾屯污水处理厂进一步处理</w:t>
                  </w:r>
                  <w:r>
                    <w:rPr>
                      <w:rFonts w:hint="eastAsia" w:eastAsia="宋体"/>
                      <w:bCs/>
                      <w:sz w:val="21"/>
                      <w:szCs w:val="21"/>
                      <w:u w:val="none" w:color="auto"/>
                      <w:lang w:val="en-US" w:eastAsia="zh-CN"/>
                    </w:rPr>
                    <w:t>。</w:t>
                  </w:r>
                </w:p>
              </w:tc>
            </w:tr>
            <w:bookmarkEnd w:id="14"/>
            <w:tr w14:paraId="44B3076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tcBorders>
                    <w:tl2br w:val="nil"/>
                    <w:tr2bl w:val="nil"/>
                  </w:tcBorders>
                  <w:vAlign w:val="center"/>
                </w:tcPr>
                <w:p w14:paraId="500A0303">
                  <w:pPr>
                    <w:tabs>
                      <w:tab w:val="center" w:pos="4153"/>
                      <w:tab w:val="right" w:pos="8306"/>
                    </w:tabs>
                    <w:adjustRightInd w:val="0"/>
                    <w:snapToGrid w:val="0"/>
                    <w:jc w:val="center"/>
                    <w:textAlignment w:val="baseline"/>
                    <w:rPr>
                      <w:szCs w:val="21"/>
                      <w:u w:val="none" w:color="auto"/>
                    </w:rPr>
                  </w:pPr>
                  <w:r>
                    <w:rPr>
                      <w:szCs w:val="21"/>
                      <w:u w:val="none" w:color="auto"/>
                    </w:rPr>
                    <w:t>噪声</w:t>
                  </w:r>
                </w:p>
              </w:tc>
              <w:tc>
                <w:tcPr>
                  <w:tcW w:w="1428" w:type="dxa"/>
                  <w:tcBorders>
                    <w:tl2br w:val="nil"/>
                    <w:tr2bl w:val="nil"/>
                  </w:tcBorders>
                  <w:vAlign w:val="center"/>
                </w:tcPr>
                <w:p w14:paraId="42A734E1">
                  <w:pPr>
                    <w:tabs>
                      <w:tab w:val="center" w:pos="4153"/>
                      <w:tab w:val="right" w:pos="8306"/>
                    </w:tabs>
                    <w:adjustRightInd w:val="0"/>
                    <w:snapToGrid w:val="0"/>
                    <w:jc w:val="center"/>
                    <w:textAlignment w:val="baseline"/>
                    <w:rPr>
                      <w:rFonts w:hint="default" w:eastAsia="宋体"/>
                      <w:szCs w:val="21"/>
                      <w:u w:val="none" w:color="auto"/>
                      <w:lang w:val="en-US" w:eastAsia="zh-CN"/>
                    </w:rPr>
                  </w:pPr>
                  <w:r>
                    <w:rPr>
                      <w:rFonts w:hint="eastAsia"/>
                      <w:szCs w:val="21"/>
                      <w:u w:val="none" w:color="auto"/>
                      <w:lang w:val="en-US" w:eastAsia="zh-CN"/>
                    </w:rPr>
                    <w:t>涂布机、辊压机、分条机等设备</w:t>
                  </w:r>
                </w:p>
              </w:tc>
              <w:tc>
                <w:tcPr>
                  <w:tcW w:w="1494" w:type="dxa"/>
                  <w:tcBorders>
                    <w:tl2br w:val="nil"/>
                    <w:tr2bl w:val="nil"/>
                  </w:tcBorders>
                  <w:vAlign w:val="center"/>
                </w:tcPr>
                <w:p w14:paraId="359125D7">
                  <w:pPr>
                    <w:tabs>
                      <w:tab w:val="center" w:pos="4153"/>
                      <w:tab w:val="right" w:pos="8306"/>
                    </w:tabs>
                    <w:adjustRightInd w:val="0"/>
                    <w:snapToGrid w:val="0"/>
                    <w:jc w:val="center"/>
                    <w:textAlignment w:val="baseline"/>
                    <w:rPr>
                      <w:szCs w:val="21"/>
                      <w:u w:val="none" w:color="auto"/>
                    </w:rPr>
                  </w:pPr>
                  <w:r>
                    <w:rPr>
                      <w:szCs w:val="21"/>
                      <w:u w:val="none" w:color="auto"/>
                    </w:rPr>
                    <w:t>噪声</w:t>
                  </w:r>
                </w:p>
              </w:tc>
              <w:tc>
                <w:tcPr>
                  <w:tcW w:w="4170" w:type="dxa"/>
                  <w:tcBorders>
                    <w:tl2br w:val="nil"/>
                    <w:tr2bl w:val="nil"/>
                  </w:tcBorders>
                  <w:vAlign w:val="center"/>
                </w:tcPr>
                <w:p w14:paraId="2EA1B26E">
                  <w:pPr>
                    <w:tabs>
                      <w:tab w:val="center" w:pos="4153"/>
                      <w:tab w:val="right" w:pos="8306"/>
                    </w:tabs>
                    <w:adjustRightInd w:val="0"/>
                    <w:snapToGrid w:val="0"/>
                    <w:jc w:val="center"/>
                    <w:textAlignment w:val="baseline"/>
                    <w:rPr>
                      <w:rFonts w:hint="eastAsia" w:eastAsia="宋体"/>
                      <w:szCs w:val="21"/>
                      <w:u w:val="none" w:color="auto"/>
                      <w:lang w:eastAsia="zh-CN"/>
                    </w:rPr>
                  </w:pPr>
                  <w:r>
                    <w:rPr>
                      <w:rFonts w:hint="eastAsia" w:ascii="Times New Roman" w:hAnsi="Times New Roman" w:eastAsia="宋体" w:cs="Times New Roman"/>
                      <w:kern w:val="0"/>
                      <w:sz w:val="21"/>
                      <w:szCs w:val="21"/>
                      <w:lang w:val="en-US" w:eastAsia="zh-CN"/>
                    </w:rPr>
                    <w:t>基础减振、</w:t>
                  </w:r>
                  <w:r>
                    <w:rPr>
                      <w:rFonts w:hint="default" w:ascii="Times New Roman" w:hAnsi="Times New Roman" w:eastAsia="宋体" w:cs="Times New Roman"/>
                      <w:kern w:val="0"/>
                      <w:sz w:val="21"/>
                      <w:szCs w:val="21"/>
                    </w:rPr>
                    <w:t>厂房隔音、距离衰减</w:t>
                  </w:r>
                  <w:r>
                    <w:rPr>
                      <w:rFonts w:hint="eastAsia" w:ascii="Times New Roman" w:hAnsi="Times New Roman" w:eastAsia="宋体" w:cs="Times New Roman"/>
                      <w:kern w:val="0"/>
                      <w:sz w:val="21"/>
                      <w:szCs w:val="21"/>
                      <w:lang w:eastAsia="zh-CN"/>
                    </w:rPr>
                    <w:t>。</w:t>
                  </w:r>
                </w:p>
              </w:tc>
            </w:tr>
            <w:tr w14:paraId="664D2AC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restart"/>
                  <w:tcBorders>
                    <w:tl2br w:val="nil"/>
                    <w:tr2bl w:val="nil"/>
                  </w:tcBorders>
                  <w:vAlign w:val="center"/>
                </w:tcPr>
                <w:p w14:paraId="22A9859A">
                  <w:pPr>
                    <w:tabs>
                      <w:tab w:val="center" w:pos="4153"/>
                      <w:tab w:val="right" w:pos="8306"/>
                    </w:tabs>
                    <w:adjustRightInd w:val="0"/>
                    <w:snapToGrid w:val="0"/>
                    <w:jc w:val="center"/>
                    <w:textAlignment w:val="baseline"/>
                    <w:rPr>
                      <w:szCs w:val="21"/>
                      <w:u w:val="none" w:color="auto"/>
                    </w:rPr>
                  </w:pPr>
                  <w:r>
                    <w:rPr>
                      <w:szCs w:val="21"/>
                      <w:u w:val="none" w:color="auto"/>
                    </w:rPr>
                    <w:t>固废</w:t>
                  </w:r>
                </w:p>
              </w:tc>
              <w:tc>
                <w:tcPr>
                  <w:tcW w:w="1428" w:type="dxa"/>
                  <w:tcBorders>
                    <w:tl2br w:val="nil"/>
                    <w:tr2bl w:val="nil"/>
                  </w:tcBorders>
                  <w:vAlign w:val="center"/>
                </w:tcPr>
                <w:p w14:paraId="44136024">
                  <w:pPr>
                    <w:tabs>
                      <w:tab w:val="center" w:pos="4153"/>
                      <w:tab w:val="right" w:pos="8306"/>
                    </w:tabs>
                    <w:adjustRightInd w:val="0"/>
                    <w:snapToGrid w:val="0"/>
                    <w:jc w:val="center"/>
                    <w:textAlignment w:val="baseline"/>
                    <w:rPr>
                      <w:rFonts w:hint="default" w:eastAsia="宋体"/>
                      <w:szCs w:val="21"/>
                      <w:u w:val="none" w:color="auto"/>
                      <w:lang w:val="en-US" w:eastAsia="zh-CN"/>
                    </w:rPr>
                  </w:pPr>
                  <w:r>
                    <w:rPr>
                      <w:rFonts w:hint="eastAsia"/>
                      <w:szCs w:val="21"/>
                      <w:u w:val="none" w:color="auto"/>
                      <w:lang w:val="en-US" w:eastAsia="zh-CN"/>
                    </w:rPr>
                    <w:t>分条</w:t>
                  </w:r>
                </w:p>
              </w:tc>
              <w:tc>
                <w:tcPr>
                  <w:tcW w:w="1494" w:type="dxa"/>
                  <w:tcBorders>
                    <w:tl2br w:val="nil"/>
                    <w:tr2bl w:val="nil"/>
                  </w:tcBorders>
                  <w:vAlign w:val="center"/>
                </w:tcPr>
                <w:p w14:paraId="2B68159D">
                  <w:pPr>
                    <w:tabs>
                      <w:tab w:val="center" w:pos="4153"/>
                      <w:tab w:val="right" w:pos="8306"/>
                    </w:tabs>
                    <w:adjustRightInd w:val="0"/>
                    <w:snapToGrid w:val="0"/>
                    <w:jc w:val="center"/>
                    <w:textAlignment w:val="baseline"/>
                    <w:rPr>
                      <w:rFonts w:hint="default" w:eastAsia="宋体"/>
                      <w:szCs w:val="21"/>
                      <w:u w:val="none" w:color="auto"/>
                      <w:lang w:val="en-US" w:eastAsia="zh-CN"/>
                    </w:rPr>
                  </w:pPr>
                  <w:r>
                    <w:rPr>
                      <w:rFonts w:hint="eastAsia"/>
                      <w:szCs w:val="21"/>
                      <w:u w:val="none" w:color="auto"/>
                      <w:lang w:val="en-US" w:eastAsia="zh-CN"/>
                    </w:rPr>
                    <w:t>废极片边角料</w:t>
                  </w:r>
                </w:p>
              </w:tc>
              <w:tc>
                <w:tcPr>
                  <w:tcW w:w="4170" w:type="dxa"/>
                  <w:vMerge w:val="restart"/>
                  <w:tcBorders>
                    <w:tl2br w:val="nil"/>
                    <w:tr2bl w:val="nil"/>
                  </w:tcBorders>
                  <w:vAlign w:val="center"/>
                </w:tcPr>
                <w:p w14:paraId="74E333D9">
                  <w:pPr>
                    <w:tabs>
                      <w:tab w:val="center" w:pos="4153"/>
                      <w:tab w:val="right" w:pos="8306"/>
                    </w:tabs>
                    <w:adjustRightInd w:val="0"/>
                    <w:snapToGrid w:val="0"/>
                    <w:jc w:val="center"/>
                    <w:textAlignment w:val="baseline"/>
                    <w:rPr>
                      <w:rFonts w:hint="eastAsia" w:eastAsia="宋体"/>
                      <w:szCs w:val="21"/>
                      <w:u w:val="none" w:color="auto"/>
                      <w:lang w:eastAsia="zh-CN"/>
                    </w:rPr>
                  </w:pPr>
                  <w:r>
                    <w:rPr>
                      <w:rFonts w:hint="eastAsia"/>
                      <w:szCs w:val="21"/>
                      <w:u w:val="none" w:color="auto"/>
                    </w:rPr>
                    <w:t>在一般固废暂存间暂存，定期出售</w:t>
                  </w:r>
                  <w:r>
                    <w:rPr>
                      <w:rFonts w:hint="eastAsia"/>
                      <w:szCs w:val="21"/>
                      <w:u w:val="none" w:color="auto"/>
                      <w:lang w:eastAsia="zh-CN"/>
                    </w:rPr>
                    <w:t>，</w:t>
                  </w:r>
                  <w:r>
                    <w:rPr>
                      <w:rFonts w:hint="eastAsia"/>
                      <w:sz w:val="21"/>
                      <w:szCs w:val="21"/>
                      <w:u w:val="none" w:color="auto"/>
                    </w:rPr>
                    <w:t>NMP</w:t>
                  </w:r>
                  <w:r>
                    <w:rPr>
                      <w:rFonts w:hint="eastAsia"/>
                      <w:sz w:val="21"/>
                      <w:szCs w:val="21"/>
                      <w:u w:val="none" w:color="auto"/>
                      <w:lang w:val="en-US" w:eastAsia="zh-CN"/>
                    </w:rPr>
                    <w:t>回收液经原料厂家直接回收。</w:t>
                  </w:r>
                </w:p>
              </w:tc>
            </w:tr>
            <w:tr w14:paraId="4A5D436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3F866780">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663AB403">
                  <w:pPr>
                    <w:tabs>
                      <w:tab w:val="center" w:pos="4153"/>
                      <w:tab w:val="right" w:pos="8306"/>
                    </w:tabs>
                    <w:adjustRightInd w:val="0"/>
                    <w:snapToGrid w:val="0"/>
                    <w:jc w:val="center"/>
                    <w:textAlignment w:val="baseline"/>
                    <w:rPr>
                      <w:rFonts w:hint="default"/>
                      <w:szCs w:val="21"/>
                      <w:u w:val="none" w:color="auto"/>
                      <w:lang w:val="en-US" w:eastAsia="zh-CN"/>
                    </w:rPr>
                  </w:pPr>
                  <w:r>
                    <w:rPr>
                      <w:rFonts w:hint="eastAsia"/>
                      <w:szCs w:val="21"/>
                      <w:u w:val="none" w:color="auto"/>
                      <w:lang w:val="en-US" w:eastAsia="zh-CN"/>
                    </w:rPr>
                    <w:t>废气处理</w:t>
                  </w:r>
                </w:p>
              </w:tc>
              <w:tc>
                <w:tcPr>
                  <w:tcW w:w="1494" w:type="dxa"/>
                  <w:tcBorders>
                    <w:tl2br w:val="nil"/>
                    <w:tr2bl w:val="nil"/>
                  </w:tcBorders>
                  <w:vAlign w:val="center"/>
                </w:tcPr>
                <w:p w14:paraId="1F8A8E45">
                  <w:pPr>
                    <w:tabs>
                      <w:tab w:val="center" w:pos="4153"/>
                      <w:tab w:val="right" w:pos="8306"/>
                    </w:tabs>
                    <w:adjustRightInd w:val="0"/>
                    <w:snapToGrid w:val="0"/>
                    <w:jc w:val="center"/>
                    <w:textAlignment w:val="baseline"/>
                    <w:rPr>
                      <w:rFonts w:hint="default"/>
                      <w:szCs w:val="21"/>
                      <w:u w:val="none" w:color="auto"/>
                      <w:lang w:val="en-US" w:eastAsia="zh-CN"/>
                    </w:rPr>
                  </w:pPr>
                  <w:r>
                    <w:rPr>
                      <w:rFonts w:hint="eastAsia"/>
                      <w:szCs w:val="21"/>
                      <w:u w:val="none" w:color="auto"/>
                      <w:lang w:val="en-US" w:eastAsia="zh-CN"/>
                    </w:rPr>
                    <w:t>除尘器收尘</w:t>
                  </w:r>
                </w:p>
              </w:tc>
              <w:tc>
                <w:tcPr>
                  <w:tcW w:w="4170" w:type="dxa"/>
                  <w:vMerge w:val="continue"/>
                  <w:tcBorders>
                    <w:tl2br w:val="nil"/>
                    <w:tr2bl w:val="nil"/>
                  </w:tcBorders>
                  <w:vAlign w:val="center"/>
                </w:tcPr>
                <w:p w14:paraId="7852218E">
                  <w:pPr>
                    <w:tabs>
                      <w:tab w:val="center" w:pos="4153"/>
                      <w:tab w:val="right" w:pos="8306"/>
                    </w:tabs>
                    <w:adjustRightInd w:val="0"/>
                    <w:snapToGrid w:val="0"/>
                    <w:jc w:val="center"/>
                    <w:textAlignment w:val="baseline"/>
                    <w:rPr>
                      <w:rFonts w:hint="eastAsia"/>
                      <w:szCs w:val="21"/>
                      <w:u w:val="none" w:color="auto"/>
                    </w:rPr>
                  </w:pPr>
                </w:p>
              </w:tc>
            </w:tr>
            <w:tr w14:paraId="44D6ECB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0F0357E7">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5F453687">
                  <w:pPr>
                    <w:tabs>
                      <w:tab w:val="center" w:pos="4153"/>
                      <w:tab w:val="right" w:pos="8306"/>
                    </w:tabs>
                    <w:adjustRightInd w:val="0"/>
                    <w:snapToGrid w:val="0"/>
                    <w:jc w:val="center"/>
                    <w:textAlignment w:val="baseline"/>
                    <w:rPr>
                      <w:rFonts w:hint="default"/>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纯水制备</w:t>
                  </w:r>
                </w:p>
              </w:tc>
              <w:tc>
                <w:tcPr>
                  <w:tcW w:w="1494" w:type="dxa"/>
                  <w:tcBorders>
                    <w:tl2br w:val="nil"/>
                    <w:tr2bl w:val="nil"/>
                  </w:tcBorders>
                  <w:vAlign w:val="center"/>
                </w:tcPr>
                <w:p w14:paraId="1EA43692">
                  <w:pPr>
                    <w:tabs>
                      <w:tab w:val="center" w:pos="4153"/>
                      <w:tab w:val="right" w:pos="8306"/>
                    </w:tabs>
                    <w:adjustRightInd w:val="0"/>
                    <w:snapToGrid w:val="0"/>
                    <w:jc w:val="center"/>
                    <w:textAlignment w:val="baseline"/>
                    <w:rPr>
                      <w:rFonts w:hint="default"/>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废反渗透膜</w:t>
                  </w:r>
                </w:p>
              </w:tc>
              <w:tc>
                <w:tcPr>
                  <w:tcW w:w="4170" w:type="dxa"/>
                  <w:vMerge w:val="continue"/>
                  <w:tcBorders>
                    <w:tl2br w:val="nil"/>
                    <w:tr2bl w:val="nil"/>
                  </w:tcBorders>
                  <w:vAlign w:val="center"/>
                </w:tcPr>
                <w:p w14:paraId="3F02CE21">
                  <w:pPr>
                    <w:tabs>
                      <w:tab w:val="center" w:pos="4153"/>
                      <w:tab w:val="right" w:pos="8306"/>
                    </w:tabs>
                    <w:adjustRightInd w:val="0"/>
                    <w:snapToGrid w:val="0"/>
                    <w:jc w:val="center"/>
                    <w:textAlignment w:val="baseline"/>
                    <w:rPr>
                      <w:rFonts w:hint="eastAsia"/>
                      <w:szCs w:val="21"/>
                      <w:u w:val="none" w:color="auto"/>
                    </w:rPr>
                  </w:pPr>
                </w:p>
              </w:tc>
            </w:tr>
            <w:tr w14:paraId="4A51A86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215DCB98">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51E6057E">
                  <w:pPr>
                    <w:adjustRightInd w:val="0"/>
                    <w:snapToGrid w:val="0"/>
                    <w:jc w:val="center"/>
                    <w:textAlignment w:val="baseline"/>
                    <w:rPr>
                      <w:rFonts w:hint="eastAsia"/>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纯水制备</w:t>
                  </w:r>
                </w:p>
              </w:tc>
              <w:tc>
                <w:tcPr>
                  <w:tcW w:w="1494" w:type="dxa"/>
                  <w:tcBorders>
                    <w:tl2br w:val="nil"/>
                    <w:tr2bl w:val="nil"/>
                  </w:tcBorders>
                  <w:vAlign w:val="center"/>
                </w:tcPr>
                <w:p w14:paraId="3CE80C47">
                  <w:pPr>
                    <w:adjustRightInd w:val="0"/>
                    <w:snapToGrid w:val="0"/>
                    <w:jc w:val="center"/>
                    <w:textAlignment w:val="baseline"/>
                    <w:rPr>
                      <w:rFonts w:hint="default"/>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废石英砂</w:t>
                  </w:r>
                </w:p>
              </w:tc>
              <w:tc>
                <w:tcPr>
                  <w:tcW w:w="4170" w:type="dxa"/>
                  <w:vMerge w:val="continue"/>
                  <w:tcBorders>
                    <w:tl2br w:val="nil"/>
                    <w:tr2bl w:val="nil"/>
                  </w:tcBorders>
                  <w:vAlign w:val="center"/>
                </w:tcPr>
                <w:p w14:paraId="5DA626B8">
                  <w:pPr>
                    <w:tabs>
                      <w:tab w:val="center" w:pos="4153"/>
                      <w:tab w:val="right" w:pos="8306"/>
                    </w:tabs>
                    <w:adjustRightInd w:val="0"/>
                    <w:snapToGrid w:val="0"/>
                    <w:jc w:val="center"/>
                    <w:textAlignment w:val="baseline"/>
                    <w:rPr>
                      <w:rFonts w:hint="eastAsia"/>
                      <w:szCs w:val="21"/>
                      <w:u w:val="none" w:color="auto"/>
                    </w:rPr>
                  </w:pPr>
                </w:p>
              </w:tc>
            </w:tr>
            <w:tr w14:paraId="6708062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033DF477">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3F5E0462">
                  <w:pPr>
                    <w:adjustRightInd w:val="0"/>
                    <w:snapToGrid w:val="0"/>
                    <w:jc w:val="center"/>
                    <w:textAlignment w:val="baseline"/>
                    <w:rPr>
                      <w:rFonts w:hint="eastAsia"/>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纯水制备</w:t>
                  </w:r>
                </w:p>
              </w:tc>
              <w:tc>
                <w:tcPr>
                  <w:tcW w:w="1494" w:type="dxa"/>
                  <w:tcBorders>
                    <w:tl2br w:val="nil"/>
                    <w:tr2bl w:val="nil"/>
                  </w:tcBorders>
                  <w:vAlign w:val="center"/>
                </w:tcPr>
                <w:p w14:paraId="37AA37C6">
                  <w:pPr>
                    <w:adjustRightInd w:val="0"/>
                    <w:snapToGrid w:val="0"/>
                    <w:jc w:val="center"/>
                    <w:textAlignment w:val="baseline"/>
                    <w:rPr>
                      <w:rFonts w:hint="default"/>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废活性碳</w:t>
                  </w:r>
                </w:p>
              </w:tc>
              <w:tc>
                <w:tcPr>
                  <w:tcW w:w="4170" w:type="dxa"/>
                  <w:vMerge w:val="continue"/>
                  <w:tcBorders>
                    <w:tl2br w:val="nil"/>
                    <w:tr2bl w:val="nil"/>
                  </w:tcBorders>
                  <w:vAlign w:val="center"/>
                </w:tcPr>
                <w:p w14:paraId="4945E5C9">
                  <w:pPr>
                    <w:tabs>
                      <w:tab w:val="center" w:pos="4153"/>
                      <w:tab w:val="right" w:pos="8306"/>
                    </w:tabs>
                    <w:adjustRightInd w:val="0"/>
                    <w:snapToGrid w:val="0"/>
                    <w:jc w:val="center"/>
                    <w:textAlignment w:val="baseline"/>
                    <w:rPr>
                      <w:rFonts w:hint="eastAsia"/>
                      <w:szCs w:val="21"/>
                      <w:u w:val="none" w:color="auto"/>
                    </w:rPr>
                  </w:pPr>
                </w:p>
              </w:tc>
            </w:tr>
            <w:tr w14:paraId="3AB9316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5A2EDE1E">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491DE415">
                  <w:pPr>
                    <w:tabs>
                      <w:tab w:val="center" w:pos="4153"/>
                      <w:tab w:val="right" w:pos="8306"/>
                    </w:tabs>
                    <w:adjustRightInd w:val="0"/>
                    <w:snapToGrid w:val="0"/>
                    <w:jc w:val="center"/>
                    <w:textAlignment w:val="baseline"/>
                    <w:rPr>
                      <w:rFonts w:hint="default"/>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原材料拆包</w:t>
                  </w:r>
                </w:p>
              </w:tc>
              <w:tc>
                <w:tcPr>
                  <w:tcW w:w="1494" w:type="dxa"/>
                  <w:tcBorders>
                    <w:tl2br w:val="nil"/>
                    <w:tr2bl w:val="nil"/>
                  </w:tcBorders>
                  <w:vAlign w:val="center"/>
                </w:tcPr>
                <w:p w14:paraId="74CE3134">
                  <w:pPr>
                    <w:tabs>
                      <w:tab w:val="center" w:pos="4153"/>
                      <w:tab w:val="right" w:pos="8306"/>
                    </w:tabs>
                    <w:adjustRightInd w:val="0"/>
                    <w:snapToGrid w:val="0"/>
                    <w:jc w:val="center"/>
                    <w:textAlignment w:val="baseline"/>
                    <w:rPr>
                      <w:rFonts w:hint="default"/>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废包装</w:t>
                  </w:r>
                </w:p>
              </w:tc>
              <w:tc>
                <w:tcPr>
                  <w:tcW w:w="4170" w:type="dxa"/>
                  <w:vMerge w:val="continue"/>
                  <w:tcBorders>
                    <w:tl2br w:val="nil"/>
                    <w:tr2bl w:val="nil"/>
                  </w:tcBorders>
                  <w:vAlign w:val="center"/>
                </w:tcPr>
                <w:p w14:paraId="43D47362">
                  <w:pPr>
                    <w:tabs>
                      <w:tab w:val="center" w:pos="4153"/>
                      <w:tab w:val="right" w:pos="8306"/>
                    </w:tabs>
                    <w:adjustRightInd w:val="0"/>
                    <w:snapToGrid w:val="0"/>
                    <w:jc w:val="center"/>
                    <w:textAlignment w:val="baseline"/>
                    <w:rPr>
                      <w:rFonts w:hint="eastAsia"/>
                      <w:szCs w:val="21"/>
                      <w:u w:val="none" w:color="auto"/>
                    </w:rPr>
                  </w:pPr>
                </w:p>
              </w:tc>
            </w:tr>
            <w:tr w14:paraId="090C57F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7F409EBA">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52DE46FD">
                  <w:pPr>
                    <w:tabs>
                      <w:tab w:val="center" w:pos="4153"/>
                      <w:tab w:val="right" w:pos="8306"/>
                    </w:tabs>
                    <w:adjustRightInd w:val="0"/>
                    <w:snapToGrid w:val="0"/>
                    <w:jc w:val="center"/>
                    <w:textAlignment w:val="baseline"/>
                    <w:rPr>
                      <w:rFonts w:hint="default"/>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卷绕</w:t>
                  </w:r>
                </w:p>
              </w:tc>
              <w:tc>
                <w:tcPr>
                  <w:tcW w:w="1494" w:type="dxa"/>
                  <w:tcBorders>
                    <w:tl2br w:val="nil"/>
                    <w:tr2bl w:val="nil"/>
                  </w:tcBorders>
                  <w:vAlign w:val="center"/>
                </w:tcPr>
                <w:p w14:paraId="399A6AC2">
                  <w:pPr>
                    <w:tabs>
                      <w:tab w:val="center" w:pos="4153"/>
                      <w:tab w:val="right" w:pos="8306"/>
                    </w:tabs>
                    <w:adjustRightInd w:val="0"/>
                    <w:snapToGrid w:val="0"/>
                    <w:jc w:val="center"/>
                    <w:textAlignment w:val="baseline"/>
                    <w:rPr>
                      <w:rFonts w:hint="default"/>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废隔膜</w:t>
                  </w:r>
                </w:p>
              </w:tc>
              <w:tc>
                <w:tcPr>
                  <w:tcW w:w="4170" w:type="dxa"/>
                  <w:vMerge w:val="continue"/>
                  <w:tcBorders>
                    <w:tl2br w:val="nil"/>
                    <w:tr2bl w:val="nil"/>
                  </w:tcBorders>
                  <w:vAlign w:val="center"/>
                </w:tcPr>
                <w:p w14:paraId="61E1C1EA">
                  <w:pPr>
                    <w:tabs>
                      <w:tab w:val="center" w:pos="4153"/>
                      <w:tab w:val="right" w:pos="8306"/>
                    </w:tabs>
                    <w:adjustRightInd w:val="0"/>
                    <w:snapToGrid w:val="0"/>
                    <w:jc w:val="center"/>
                    <w:textAlignment w:val="baseline"/>
                    <w:rPr>
                      <w:rFonts w:hint="eastAsia"/>
                      <w:szCs w:val="21"/>
                      <w:u w:val="none" w:color="auto"/>
                    </w:rPr>
                  </w:pPr>
                </w:p>
              </w:tc>
            </w:tr>
            <w:tr w14:paraId="5619ADC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6014A6E3">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6E397F69">
                  <w:pPr>
                    <w:tabs>
                      <w:tab w:val="center" w:pos="4153"/>
                      <w:tab w:val="right" w:pos="8306"/>
                    </w:tabs>
                    <w:adjustRightInd w:val="0"/>
                    <w:snapToGrid w:val="0"/>
                    <w:jc w:val="center"/>
                    <w:textAlignment w:val="baseline"/>
                    <w:rPr>
                      <w:rFonts w:hint="default"/>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废水处理设施</w:t>
                  </w:r>
                </w:p>
              </w:tc>
              <w:tc>
                <w:tcPr>
                  <w:tcW w:w="1494" w:type="dxa"/>
                  <w:tcBorders>
                    <w:tl2br w:val="nil"/>
                    <w:tr2bl w:val="nil"/>
                  </w:tcBorders>
                  <w:vAlign w:val="center"/>
                </w:tcPr>
                <w:p w14:paraId="7E63958F">
                  <w:pPr>
                    <w:tabs>
                      <w:tab w:val="center" w:pos="4153"/>
                      <w:tab w:val="right" w:pos="8306"/>
                    </w:tabs>
                    <w:adjustRightInd w:val="0"/>
                    <w:snapToGrid w:val="0"/>
                    <w:jc w:val="center"/>
                    <w:textAlignment w:val="baseline"/>
                    <w:rPr>
                      <w:rFonts w:hint="eastAsia"/>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污泥</w:t>
                  </w:r>
                </w:p>
              </w:tc>
              <w:tc>
                <w:tcPr>
                  <w:tcW w:w="4170" w:type="dxa"/>
                  <w:vMerge w:val="continue"/>
                  <w:tcBorders>
                    <w:tl2br w:val="nil"/>
                    <w:tr2bl w:val="nil"/>
                  </w:tcBorders>
                  <w:vAlign w:val="center"/>
                </w:tcPr>
                <w:p w14:paraId="49DCE6F9">
                  <w:pPr>
                    <w:tabs>
                      <w:tab w:val="center" w:pos="4153"/>
                      <w:tab w:val="right" w:pos="8306"/>
                    </w:tabs>
                    <w:adjustRightInd w:val="0"/>
                    <w:snapToGrid w:val="0"/>
                    <w:jc w:val="center"/>
                    <w:textAlignment w:val="baseline"/>
                    <w:rPr>
                      <w:rFonts w:hint="eastAsia"/>
                      <w:szCs w:val="21"/>
                      <w:u w:val="none" w:color="auto"/>
                    </w:rPr>
                  </w:pPr>
                </w:p>
              </w:tc>
            </w:tr>
            <w:tr w14:paraId="78943D6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3F858B16">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2EC6F22A">
                  <w:pPr>
                    <w:tabs>
                      <w:tab w:val="center" w:pos="4153"/>
                      <w:tab w:val="right" w:pos="8306"/>
                    </w:tabs>
                    <w:adjustRightInd w:val="0"/>
                    <w:snapToGrid w:val="0"/>
                    <w:jc w:val="center"/>
                    <w:textAlignment w:val="baseline"/>
                    <w:rPr>
                      <w:rFonts w:hint="default"/>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化成分容</w:t>
                  </w:r>
                </w:p>
              </w:tc>
              <w:tc>
                <w:tcPr>
                  <w:tcW w:w="1494" w:type="dxa"/>
                  <w:tcBorders>
                    <w:tl2br w:val="nil"/>
                    <w:tr2bl w:val="nil"/>
                  </w:tcBorders>
                  <w:vAlign w:val="center"/>
                </w:tcPr>
                <w:p w14:paraId="33BB5870">
                  <w:pPr>
                    <w:tabs>
                      <w:tab w:val="center" w:pos="4153"/>
                      <w:tab w:val="right" w:pos="8306"/>
                    </w:tabs>
                    <w:adjustRightInd w:val="0"/>
                    <w:snapToGrid w:val="0"/>
                    <w:jc w:val="center"/>
                    <w:textAlignment w:val="baseline"/>
                    <w:rPr>
                      <w:rFonts w:hint="default"/>
                      <w:color w:val="000000" w:themeColor="text1"/>
                      <w:szCs w:val="21"/>
                      <w:u w:val="none" w:color="auto"/>
                      <w:lang w:val="en-US" w:eastAsia="zh-CN"/>
                      <w14:textFill>
                        <w14:solidFill>
                          <w14:schemeClr w14:val="tx1"/>
                        </w14:solidFill>
                      </w14:textFill>
                    </w:rPr>
                  </w:pPr>
                  <w:r>
                    <w:rPr>
                      <w:rFonts w:hint="eastAsia"/>
                      <w:color w:val="000000" w:themeColor="text1"/>
                      <w:szCs w:val="21"/>
                      <w:u w:val="none" w:color="auto"/>
                      <w:lang w:val="en-US" w:eastAsia="zh-CN"/>
                      <w14:textFill>
                        <w14:solidFill>
                          <w14:schemeClr w14:val="tx1"/>
                        </w14:solidFill>
                      </w14:textFill>
                    </w:rPr>
                    <w:t>不合格电池</w:t>
                  </w:r>
                </w:p>
              </w:tc>
              <w:tc>
                <w:tcPr>
                  <w:tcW w:w="4170" w:type="dxa"/>
                  <w:vMerge w:val="continue"/>
                  <w:tcBorders>
                    <w:tl2br w:val="nil"/>
                    <w:tr2bl w:val="nil"/>
                  </w:tcBorders>
                  <w:vAlign w:val="center"/>
                </w:tcPr>
                <w:p w14:paraId="1BA1A1D3">
                  <w:pPr>
                    <w:tabs>
                      <w:tab w:val="center" w:pos="4153"/>
                      <w:tab w:val="right" w:pos="8306"/>
                    </w:tabs>
                    <w:adjustRightInd w:val="0"/>
                    <w:snapToGrid w:val="0"/>
                    <w:jc w:val="center"/>
                    <w:textAlignment w:val="baseline"/>
                    <w:rPr>
                      <w:rFonts w:hint="eastAsia"/>
                      <w:szCs w:val="21"/>
                      <w:u w:val="none" w:color="auto"/>
                    </w:rPr>
                  </w:pPr>
                </w:p>
              </w:tc>
            </w:tr>
            <w:tr w14:paraId="408E318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0E34468B">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6093CE0E">
                  <w:pPr>
                    <w:tabs>
                      <w:tab w:val="center" w:pos="4153"/>
                      <w:tab w:val="right" w:pos="8306"/>
                    </w:tabs>
                    <w:adjustRightInd w:val="0"/>
                    <w:snapToGrid w:val="0"/>
                    <w:jc w:val="center"/>
                    <w:textAlignment w:val="baseline"/>
                    <w:rPr>
                      <w:rFonts w:hint="default"/>
                      <w:color w:val="000000" w:themeColor="text1"/>
                      <w:szCs w:val="21"/>
                      <w:u w:val="none" w:color="auto"/>
                      <w:lang w:val="en-US" w:eastAsia="zh-CN"/>
                      <w14:textFill>
                        <w14:solidFill>
                          <w14:schemeClr w14:val="tx1"/>
                        </w14:solidFill>
                      </w14:textFill>
                    </w:rPr>
                  </w:pPr>
                  <w:r>
                    <w:rPr>
                      <w:rFonts w:hint="eastAsia"/>
                      <w:szCs w:val="21"/>
                      <w:u w:val="none" w:color="auto"/>
                      <w:lang w:val="en-US" w:eastAsia="zh-CN"/>
                    </w:rPr>
                    <w:t>废气处理</w:t>
                  </w:r>
                </w:p>
              </w:tc>
              <w:tc>
                <w:tcPr>
                  <w:tcW w:w="1494" w:type="dxa"/>
                  <w:tcBorders>
                    <w:tl2br w:val="nil"/>
                    <w:tr2bl w:val="nil"/>
                  </w:tcBorders>
                  <w:vAlign w:val="center"/>
                </w:tcPr>
                <w:p w14:paraId="06D11AFB">
                  <w:pPr>
                    <w:tabs>
                      <w:tab w:val="center" w:pos="4153"/>
                      <w:tab w:val="right" w:pos="8306"/>
                    </w:tabs>
                    <w:adjustRightInd w:val="0"/>
                    <w:snapToGrid w:val="0"/>
                    <w:jc w:val="center"/>
                    <w:textAlignment w:val="baseline"/>
                    <w:rPr>
                      <w:rFonts w:hint="eastAsia"/>
                      <w:color w:val="000000" w:themeColor="text1"/>
                      <w:szCs w:val="21"/>
                      <w:u w:val="none" w:color="auto"/>
                      <w:lang w:val="en-US" w:eastAsia="zh-CN"/>
                      <w14:textFill>
                        <w14:solidFill>
                          <w14:schemeClr w14:val="tx1"/>
                        </w14:solidFill>
                      </w14:textFill>
                    </w:rPr>
                  </w:pPr>
                  <w:r>
                    <w:rPr>
                      <w:rFonts w:hint="eastAsia"/>
                      <w:u w:val="none" w:color="auto"/>
                    </w:rPr>
                    <w:t>NMP</w:t>
                  </w:r>
                  <w:r>
                    <w:rPr>
                      <w:rFonts w:hint="eastAsia"/>
                      <w:u w:val="none" w:color="auto"/>
                      <w:lang w:val="en-US" w:eastAsia="zh-CN"/>
                    </w:rPr>
                    <w:t>回收液</w:t>
                  </w:r>
                </w:p>
              </w:tc>
              <w:tc>
                <w:tcPr>
                  <w:tcW w:w="4170" w:type="dxa"/>
                  <w:vMerge w:val="continue"/>
                  <w:tcBorders>
                    <w:tl2br w:val="nil"/>
                    <w:tr2bl w:val="nil"/>
                  </w:tcBorders>
                  <w:vAlign w:val="center"/>
                </w:tcPr>
                <w:p w14:paraId="28B512D1">
                  <w:pPr>
                    <w:tabs>
                      <w:tab w:val="center" w:pos="4153"/>
                      <w:tab w:val="right" w:pos="8306"/>
                    </w:tabs>
                    <w:adjustRightInd w:val="0"/>
                    <w:snapToGrid w:val="0"/>
                    <w:jc w:val="center"/>
                    <w:textAlignment w:val="baseline"/>
                    <w:rPr>
                      <w:rFonts w:hint="eastAsia"/>
                      <w:szCs w:val="21"/>
                      <w:u w:val="none" w:color="auto"/>
                    </w:rPr>
                  </w:pPr>
                </w:p>
              </w:tc>
            </w:tr>
            <w:tr w14:paraId="6464BBA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640D51F5">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41FE125A">
                  <w:pPr>
                    <w:adjustRightInd w:val="0"/>
                    <w:snapToGrid w:val="0"/>
                    <w:jc w:val="center"/>
                    <w:rPr>
                      <w:rFonts w:hint="default" w:eastAsia="宋体"/>
                      <w:szCs w:val="21"/>
                      <w:u w:val="none" w:color="auto"/>
                      <w:lang w:val="en-US" w:eastAsia="zh-CN"/>
                    </w:rPr>
                  </w:pPr>
                  <w:r>
                    <w:rPr>
                      <w:rFonts w:hint="eastAsia"/>
                      <w:szCs w:val="21"/>
                      <w:u w:val="none" w:color="auto"/>
                      <w:lang w:val="en-US" w:eastAsia="zh-CN"/>
                    </w:rPr>
                    <w:t>废气处理</w:t>
                  </w:r>
                </w:p>
              </w:tc>
              <w:tc>
                <w:tcPr>
                  <w:tcW w:w="1494" w:type="dxa"/>
                  <w:tcBorders>
                    <w:tl2br w:val="nil"/>
                    <w:tr2bl w:val="nil"/>
                  </w:tcBorders>
                  <w:vAlign w:val="center"/>
                </w:tcPr>
                <w:p w14:paraId="557586F7">
                  <w:pPr>
                    <w:adjustRightInd w:val="0"/>
                    <w:snapToGrid w:val="0"/>
                    <w:jc w:val="center"/>
                    <w:rPr>
                      <w:rFonts w:hint="eastAsia" w:eastAsia="宋体"/>
                      <w:szCs w:val="21"/>
                      <w:u w:val="none" w:color="auto"/>
                      <w:lang w:eastAsia="zh-CN"/>
                    </w:rPr>
                  </w:pPr>
                  <w:r>
                    <w:rPr>
                      <w:rFonts w:hint="eastAsia"/>
                      <w:sz w:val="21"/>
                      <w:szCs w:val="21"/>
                      <w:u w:val="none" w:color="auto"/>
                    </w:rPr>
                    <w:t>废活性炭</w:t>
                  </w:r>
                </w:p>
              </w:tc>
              <w:tc>
                <w:tcPr>
                  <w:tcW w:w="4170" w:type="dxa"/>
                  <w:vMerge w:val="restart"/>
                  <w:tcBorders>
                    <w:tl2br w:val="nil"/>
                    <w:tr2bl w:val="nil"/>
                  </w:tcBorders>
                  <w:vAlign w:val="center"/>
                </w:tcPr>
                <w:p w14:paraId="1A1924DB">
                  <w:pPr>
                    <w:tabs>
                      <w:tab w:val="center" w:pos="4153"/>
                      <w:tab w:val="right" w:pos="8306"/>
                    </w:tabs>
                    <w:adjustRightInd w:val="0"/>
                    <w:snapToGrid w:val="0"/>
                    <w:jc w:val="center"/>
                    <w:textAlignment w:val="baseline"/>
                    <w:rPr>
                      <w:rFonts w:hint="eastAsia" w:eastAsia="宋体"/>
                      <w:szCs w:val="21"/>
                      <w:u w:val="none" w:color="auto"/>
                      <w:lang w:val="en-US" w:eastAsia="zh-CN"/>
                    </w:rPr>
                  </w:pPr>
                  <w:r>
                    <w:rPr>
                      <w:rFonts w:hint="eastAsia"/>
                      <w:szCs w:val="21"/>
                      <w:u w:val="none" w:color="auto"/>
                    </w:rPr>
                    <w:t>在危废暂存间暂存，定期</w:t>
                  </w:r>
                  <w:r>
                    <w:rPr>
                      <w:szCs w:val="21"/>
                      <w:u w:val="none" w:color="auto"/>
                    </w:rPr>
                    <w:t>委托有资质的单位处置</w:t>
                  </w:r>
                  <w:r>
                    <w:rPr>
                      <w:rFonts w:hint="eastAsia"/>
                      <w:szCs w:val="21"/>
                      <w:u w:val="none" w:color="auto"/>
                      <w:lang w:eastAsia="zh-CN"/>
                    </w:rPr>
                    <w:t>。</w:t>
                  </w:r>
                </w:p>
              </w:tc>
            </w:tr>
            <w:tr w14:paraId="67ECFC1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33A1BC0A">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30C5259F">
                  <w:pPr>
                    <w:adjustRightInd w:val="0"/>
                    <w:snapToGrid w:val="0"/>
                    <w:jc w:val="center"/>
                    <w:rPr>
                      <w:szCs w:val="21"/>
                      <w:u w:val="none" w:color="auto"/>
                    </w:rPr>
                  </w:pPr>
                  <w:r>
                    <w:rPr>
                      <w:rFonts w:hint="eastAsia"/>
                      <w:szCs w:val="21"/>
                      <w:u w:val="none" w:color="auto"/>
                      <w:lang w:val="en-US" w:eastAsia="zh-CN"/>
                    </w:rPr>
                    <w:t>废气处理</w:t>
                  </w:r>
                </w:p>
              </w:tc>
              <w:tc>
                <w:tcPr>
                  <w:tcW w:w="1494" w:type="dxa"/>
                  <w:tcBorders>
                    <w:tl2br w:val="nil"/>
                    <w:tr2bl w:val="nil"/>
                  </w:tcBorders>
                  <w:vAlign w:val="center"/>
                </w:tcPr>
                <w:p w14:paraId="1E71843E">
                  <w:pPr>
                    <w:adjustRightInd w:val="0"/>
                    <w:snapToGrid w:val="0"/>
                    <w:jc w:val="center"/>
                    <w:rPr>
                      <w:szCs w:val="21"/>
                      <w:u w:val="none" w:color="auto"/>
                    </w:rPr>
                  </w:pPr>
                  <w:r>
                    <w:rPr>
                      <w:rFonts w:hint="eastAsia"/>
                      <w:sz w:val="21"/>
                      <w:szCs w:val="21"/>
                      <w:u w:val="none" w:color="auto"/>
                    </w:rPr>
                    <w:t>废催化剂</w:t>
                  </w:r>
                </w:p>
              </w:tc>
              <w:tc>
                <w:tcPr>
                  <w:tcW w:w="4170" w:type="dxa"/>
                  <w:vMerge w:val="continue"/>
                  <w:tcBorders>
                    <w:tl2br w:val="nil"/>
                    <w:tr2bl w:val="nil"/>
                  </w:tcBorders>
                  <w:vAlign w:val="center"/>
                </w:tcPr>
                <w:p w14:paraId="2CAA51BC">
                  <w:pPr>
                    <w:tabs>
                      <w:tab w:val="center" w:pos="4153"/>
                      <w:tab w:val="right" w:pos="8306"/>
                    </w:tabs>
                    <w:adjustRightInd w:val="0"/>
                    <w:snapToGrid w:val="0"/>
                    <w:jc w:val="center"/>
                    <w:textAlignment w:val="baseline"/>
                    <w:rPr>
                      <w:szCs w:val="21"/>
                      <w:u w:val="none" w:color="auto"/>
                    </w:rPr>
                  </w:pPr>
                </w:p>
              </w:tc>
            </w:tr>
            <w:tr w14:paraId="63275B2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 w:type="dxa"/>
                  <w:vMerge w:val="continue"/>
                  <w:tcBorders>
                    <w:tl2br w:val="nil"/>
                    <w:tr2bl w:val="nil"/>
                  </w:tcBorders>
                  <w:vAlign w:val="center"/>
                </w:tcPr>
                <w:p w14:paraId="1A86A3A8">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390BFF09">
                  <w:pPr>
                    <w:adjustRightInd w:val="0"/>
                    <w:snapToGrid w:val="0"/>
                    <w:jc w:val="center"/>
                    <w:rPr>
                      <w:rFonts w:hint="default"/>
                      <w:szCs w:val="21"/>
                      <w:u w:val="none" w:color="auto"/>
                      <w:lang w:val="en-US" w:eastAsia="zh-CN"/>
                    </w:rPr>
                  </w:pPr>
                  <w:r>
                    <w:rPr>
                      <w:rFonts w:hint="eastAsia"/>
                      <w:szCs w:val="21"/>
                      <w:u w:val="none" w:color="auto"/>
                      <w:lang w:val="en-US" w:eastAsia="zh-CN"/>
                    </w:rPr>
                    <w:t>废水处理</w:t>
                  </w:r>
                </w:p>
              </w:tc>
              <w:tc>
                <w:tcPr>
                  <w:tcW w:w="1494" w:type="dxa"/>
                  <w:tcBorders>
                    <w:tl2br w:val="nil"/>
                    <w:tr2bl w:val="nil"/>
                  </w:tcBorders>
                  <w:vAlign w:val="center"/>
                </w:tcPr>
                <w:p w14:paraId="1E3FDAE3">
                  <w:pPr>
                    <w:adjustRightInd w:val="0"/>
                    <w:snapToGrid w:val="0"/>
                    <w:jc w:val="center"/>
                    <w:rPr>
                      <w:rFonts w:hint="default" w:eastAsia="宋体"/>
                      <w:sz w:val="21"/>
                      <w:szCs w:val="21"/>
                      <w:u w:val="none" w:color="auto"/>
                      <w:lang w:val="en-US" w:eastAsia="zh-CN"/>
                    </w:rPr>
                  </w:pPr>
                  <w:r>
                    <w:rPr>
                      <w:rFonts w:hint="eastAsia"/>
                      <w:sz w:val="21"/>
                      <w:szCs w:val="21"/>
                      <w:u w:val="none" w:color="auto"/>
                      <w:lang w:val="en-US" w:eastAsia="zh-CN"/>
                    </w:rPr>
                    <w:t>沉淀污泥</w:t>
                  </w:r>
                </w:p>
              </w:tc>
              <w:tc>
                <w:tcPr>
                  <w:tcW w:w="4170" w:type="dxa"/>
                  <w:vMerge w:val="continue"/>
                  <w:tcBorders>
                    <w:tl2br w:val="nil"/>
                    <w:tr2bl w:val="nil"/>
                  </w:tcBorders>
                  <w:vAlign w:val="center"/>
                </w:tcPr>
                <w:p w14:paraId="06C83603">
                  <w:pPr>
                    <w:tabs>
                      <w:tab w:val="center" w:pos="4153"/>
                      <w:tab w:val="right" w:pos="8306"/>
                    </w:tabs>
                    <w:adjustRightInd w:val="0"/>
                    <w:snapToGrid w:val="0"/>
                    <w:jc w:val="center"/>
                    <w:textAlignment w:val="baseline"/>
                    <w:rPr>
                      <w:szCs w:val="21"/>
                      <w:u w:val="none" w:color="auto"/>
                    </w:rPr>
                  </w:pPr>
                </w:p>
              </w:tc>
            </w:tr>
            <w:tr w14:paraId="608EC6B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14" w:type="dxa"/>
                  <w:vMerge w:val="continue"/>
                  <w:tcBorders>
                    <w:tl2br w:val="nil"/>
                    <w:tr2bl w:val="nil"/>
                  </w:tcBorders>
                  <w:vAlign w:val="center"/>
                </w:tcPr>
                <w:p w14:paraId="591083FB">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46441562">
                  <w:pPr>
                    <w:adjustRightInd w:val="0"/>
                    <w:snapToGrid w:val="0"/>
                    <w:jc w:val="center"/>
                    <w:rPr>
                      <w:rFonts w:hint="default" w:eastAsia="宋体"/>
                      <w:szCs w:val="21"/>
                      <w:u w:val="none" w:color="auto"/>
                      <w:lang w:val="en-US" w:eastAsia="zh-CN"/>
                    </w:rPr>
                  </w:pPr>
                  <w:r>
                    <w:rPr>
                      <w:rFonts w:hint="eastAsia"/>
                      <w:szCs w:val="21"/>
                      <w:u w:val="none" w:color="auto"/>
                      <w:lang w:val="en-US" w:eastAsia="zh-CN"/>
                    </w:rPr>
                    <w:t>设备维修</w:t>
                  </w:r>
                </w:p>
              </w:tc>
              <w:tc>
                <w:tcPr>
                  <w:tcW w:w="1494" w:type="dxa"/>
                  <w:tcBorders>
                    <w:tl2br w:val="nil"/>
                    <w:tr2bl w:val="nil"/>
                  </w:tcBorders>
                  <w:vAlign w:val="center"/>
                </w:tcPr>
                <w:p w14:paraId="70870508">
                  <w:pPr>
                    <w:adjustRightInd w:val="0"/>
                    <w:snapToGrid w:val="0"/>
                    <w:jc w:val="center"/>
                    <w:rPr>
                      <w:szCs w:val="21"/>
                      <w:u w:val="none" w:color="auto"/>
                    </w:rPr>
                  </w:pPr>
                  <w:r>
                    <w:rPr>
                      <w:rFonts w:hint="eastAsia"/>
                      <w:sz w:val="21"/>
                      <w:szCs w:val="21"/>
                      <w:u w:val="none" w:color="auto"/>
                    </w:rPr>
                    <w:t>废机油</w:t>
                  </w:r>
                </w:p>
              </w:tc>
              <w:tc>
                <w:tcPr>
                  <w:tcW w:w="4170" w:type="dxa"/>
                  <w:vMerge w:val="continue"/>
                  <w:tcBorders>
                    <w:tl2br w:val="nil"/>
                    <w:tr2bl w:val="nil"/>
                  </w:tcBorders>
                  <w:vAlign w:val="center"/>
                </w:tcPr>
                <w:p w14:paraId="0736725C">
                  <w:pPr>
                    <w:tabs>
                      <w:tab w:val="center" w:pos="4153"/>
                      <w:tab w:val="right" w:pos="8306"/>
                    </w:tabs>
                    <w:adjustRightInd w:val="0"/>
                    <w:snapToGrid w:val="0"/>
                    <w:jc w:val="center"/>
                    <w:textAlignment w:val="baseline"/>
                    <w:rPr>
                      <w:szCs w:val="21"/>
                      <w:u w:val="none" w:color="auto"/>
                    </w:rPr>
                  </w:pPr>
                </w:p>
              </w:tc>
            </w:tr>
            <w:tr w14:paraId="0BF726A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14" w:type="dxa"/>
                  <w:vMerge w:val="continue"/>
                  <w:tcBorders>
                    <w:tl2br w:val="nil"/>
                    <w:tr2bl w:val="nil"/>
                  </w:tcBorders>
                  <w:vAlign w:val="center"/>
                </w:tcPr>
                <w:p w14:paraId="50520FF0">
                  <w:pPr>
                    <w:tabs>
                      <w:tab w:val="center" w:pos="4153"/>
                      <w:tab w:val="right" w:pos="8306"/>
                    </w:tabs>
                    <w:adjustRightInd w:val="0"/>
                    <w:snapToGrid w:val="0"/>
                    <w:jc w:val="center"/>
                    <w:textAlignment w:val="baseline"/>
                    <w:rPr>
                      <w:szCs w:val="21"/>
                      <w:u w:val="none" w:color="auto"/>
                    </w:rPr>
                  </w:pPr>
                </w:p>
              </w:tc>
              <w:tc>
                <w:tcPr>
                  <w:tcW w:w="1428" w:type="dxa"/>
                  <w:tcBorders>
                    <w:tl2br w:val="nil"/>
                    <w:tr2bl w:val="nil"/>
                  </w:tcBorders>
                  <w:vAlign w:val="center"/>
                </w:tcPr>
                <w:p w14:paraId="309EE8B7">
                  <w:pPr>
                    <w:adjustRightInd w:val="0"/>
                    <w:snapToGrid w:val="0"/>
                    <w:jc w:val="center"/>
                    <w:rPr>
                      <w:rFonts w:hint="default"/>
                      <w:szCs w:val="21"/>
                      <w:u w:val="none" w:color="auto"/>
                      <w:lang w:val="en-US" w:eastAsia="zh-CN"/>
                    </w:rPr>
                  </w:pPr>
                  <w:r>
                    <w:rPr>
                      <w:rFonts w:hint="eastAsia"/>
                      <w:szCs w:val="21"/>
                      <w:u w:val="none" w:color="auto"/>
                      <w:lang w:val="en-US" w:eastAsia="zh-CN"/>
                    </w:rPr>
                    <w:t>废水在线检测装置</w:t>
                  </w:r>
                </w:p>
              </w:tc>
              <w:tc>
                <w:tcPr>
                  <w:tcW w:w="1494" w:type="dxa"/>
                  <w:tcBorders>
                    <w:tl2br w:val="nil"/>
                    <w:tr2bl w:val="nil"/>
                  </w:tcBorders>
                  <w:vAlign w:val="center"/>
                </w:tcPr>
                <w:p w14:paraId="42E771D1">
                  <w:pPr>
                    <w:adjustRightInd w:val="0"/>
                    <w:snapToGrid w:val="0"/>
                    <w:jc w:val="center"/>
                    <w:rPr>
                      <w:rFonts w:hint="default" w:eastAsia="宋体"/>
                      <w:sz w:val="21"/>
                      <w:szCs w:val="21"/>
                      <w:u w:val="none" w:color="auto"/>
                      <w:lang w:val="en-US" w:eastAsia="zh-CN"/>
                    </w:rPr>
                  </w:pPr>
                  <w:r>
                    <w:rPr>
                      <w:rFonts w:hint="eastAsia"/>
                      <w:sz w:val="21"/>
                      <w:szCs w:val="21"/>
                      <w:u w:val="none" w:color="auto"/>
                      <w:lang w:val="en-US" w:eastAsia="zh-CN"/>
                    </w:rPr>
                    <w:t>检测废液</w:t>
                  </w:r>
                </w:p>
              </w:tc>
              <w:tc>
                <w:tcPr>
                  <w:tcW w:w="4170" w:type="dxa"/>
                  <w:vMerge w:val="continue"/>
                  <w:tcBorders>
                    <w:tl2br w:val="nil"/>
                    <w:tr2bl w:val="nil"/>
                  </w:tcBorders>
                  <w:vAlign w:val="center"/>
                </w:tcPr>
                <w:p w14:paraId="541980AB">
                  <w:pPr>
                    <w:tabs>
                      <w:tab w:val="center" w:pos="4153"/>
                      <w:tab w:val="right" w:pos="8306"/>
                    </w:tabs>
                    <w:adjustRightInd w:val="0"/>
                    <w:snapToGrid w:val="0"/>
                    <w:jc w:val="center"/>
                    <w:textAlignment w:val="baseline"/>
                    <w:rPr>
                      <w:szCs w:val="21"/>
                      <w:u w:val="none" w:color="auto"/>
                    </w:rPr>
                  </w:pPr>
                </w:p>
              </w:tc>
            </w:tr>
          </w:tbl>
          <w:p w14:paraId="0EC9427E">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tc>
      </w:tr>
      <w:tr w14:paraId="3C1C5E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9" w:hRule="atLeast"/>
          <w:jc w:val="center"/>
        </w:trPr>
        <w:tc>
          <w:tcPr>
            <w:tcW w:w="927" w:type="dxa"/>
            <w:vAlign w:val="center"/>
          </w:tcPr>
          <w:p w14:paraId="3D3C9F08">
            <w:pPr>
              <w:pStyle w:val="29"/>
              <w:adjustRightInd w:val="0"/>
              <w:snapToGrid w:val="0"/>
              <w:spacing w:before="0" w:beforeAutospacing="0" w:after="0" w:afterAutospacing="0"/>
              <w:jc w:val="center"/>
              <w:rPr>
                <w:rFonts w:ascii="Times New Roman" w:hAnsi="Times New Roman"/>
                <w:kern w:val="2"/>
                <w:sz w:val="21"/>
                <w:szCs w:val="21"/>
                <w:u w:val="none" w:color="auto"/>
              </w:rPr>
            </w:pPr>
            <w:r>
              <w:rPr>
                <w:rFonts w:hint="eastAsia" w:ascii="Times New Roman" w:hAnsi="Times New Roman" w:cs="宋体"/>
                <w:bCs/>
                <w:kern w:val="2"/>
                <w:sz w:val="21"/>
                <w:szCs w:val="21"/>
                <w:u w:val="none" w:color="auto"/>
              </w:rPr>
              <w:t>与项目有关的原有环境污染问题</w:t>
            </w:r>
          </w:p>
        </w:tc>
        <w:tc>
          <w:tcPr>
            <w:tcW w:w="8022" w:type="dxa"/>
          </w:tcPr>
          <w:p w14:paraId="79A9C3F5">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kern w:val="0"/>
                <w:sz w:val="24"/>
                <w:szCs w:val="24"/>
                <w:highlight w:val="yellow"/>
                <w:u w:val="none" w:color="auto"/>
                <w:lang w:val="en-US" w:eastAsia="zh-CN" w:bidi="ar"/>
              </w:rPr>
            </w:pPr>
          </w:p>
          <w:p w14:paraId="6AEEF54E">
            <w:pPr>
              <w:pStyle w:val="2"/>
              <w:rPr>
                <w:rFonts w:hint="eastAsia"/>
                <w:sz w:val="24"/>
                <w:szCs w:val="24"/>
                <w:u w:val="none" w:color="auto"/>
                <w:lang w:val="en-US" w:eastAsia="zh-CN"/>
              </w:rPr>
            </w:pPr>
            <w:r>
              <w:rPr>
                <w:rFonts w:hint="eastAsia"/>
                <w:sz w:val="24"/>
                <w:szCs w:val="24"/>
                <w:lang w:val="en-US" w:eastAsia="zh-CN"/>
              </w:rPr>
              <w:t>本项目为新建项目，不存在于项目有关的的原有环境污染问题。</w:t>
            </w:r>
          </w:p>
          <w:p w14:paraId="07BAF651">
            <w:pPr>
              <w:pStyle w:val="2"/>
              <w:rPr>
                <w:rFonts w:hint="eastAsia"/>
                <w:sz w:val="24"/>
                <w:szCs w:val="24"/>
                <w:highlight w:val="none"/>
                <w:u w:val="none" w:color="auto"/>
                <w:lang w:val="en-US" w:eastAsia="zh-CN"/>
              </w:rPr>
            </w:pPr>
          </w:p>
          <w:p w14:paraId="3F4A616B">
            <w:pPr>
              <w:pStyle w:val="2"/>
              <w:rPr>
                <w:rFonts w:hint="eastAsia"/>
                <w:sz w:val="24"/>
                <w:szCs w:val="24"/>
                <w:u w:val="none" w:color="auto"/>
                <w:lang w:val="en-US" w:eastAsia="zh-CN"/>
              </w:rPr>
            </w:pPr>
          </w:p>
          <w:p w14:paraId="4C7563B7">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48401449">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22F85E67">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0112663C">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5E11F9BB">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04DA63E0">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20A16D4D">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60FF6C95">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2BE5D544">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30B7D684">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3BF57DB6">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3F300A18">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2FB32B72">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4606081C">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177CE9AE">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7FD8B9C9">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05817C09">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6CFE1128">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7E60CE40">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3C3BE83F">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p w14:paraId="42A6E3A8">
            <w:pPr>
              <w:spacing w:line="440" w:lineRule="exact"/>
              <w:rPr>
                <w:rFonts w:hint="eastAsia" w:ascii="Times New Roman" w:hAnsi="Times New Roman" w:eastAsia="宋体" w:cs="Times New Roman"/>
                <w:bCs/>
                <w:color w:val="000000" w:themeColor="text1"/>
                <w:kern w:val="0"/>
                <w:sz w:val="24"/>
                <w:szCs w:val="24"/>
                <w:u w:val="none" w:color="auto"/>
                <w:lang w:val="en-US" w:eastAsia="zh-CN" w:bidi="ar-SA"/>
                <w14:textFill>
                  <w14:solidFill>
                    <w14:schemeClr w14:val="tx1"/>
                  </w14:solidFill>
                </w14:textFill>
              </w:rPr>
            </w:pPr>
          </w:p>
        </w:tc>
      </w:tr>
    </w:tbl>
    <w:p w14:paraId="001D58A0">
      <w:pPr>
        <w:bidi w:val="0"/>
      </w:pPr>
    </w:p>
    <w:p w14:paraId="10491C12">
      <w:pPr>
        <w:pStyle w:val="29"/>
        <w:jc w:val="both"/>
        <w:outlineLvl w:val="0"/>
        <w:rPr>
          <w:rFonts w:ascii="Times New Roman" w:hAnsi="Times New Roman" w:eastAsia="黑体"/>
          <w:b/>
          <w:bCs/>
          <w:kern w:val="2"/>
          <w:sz w:val="30"/>
          <w:szCs w:val="30"/>
          <w:u w:val="none" w:color="auto"/>
        </w:rPr>
        <w:sectPr>
          <w:footerReference r:id="rId11" w:type="default"/>
          <w:pgSz w:w="11907" w:h="16840"/>
          <w:pgMar w:top="1440" w:right="1803" w:bottom="1440" w:left="1803" w:header="851" w:footer="851" w:gutter="0"/>
          <w:pgBorders>
            <w:top w:val="none" w:sz="0" w:space="0"/>
            <w:left w:val="none" w:sz="0" w:space="0"/>
            <w:bottom w:val="none" w:sz="0" w:space="0"/>
            <w:right w:val="none" w:sz="0" w:space="0"/>
          </w:pgBorders>
          <w:pgNumType w:fmt="decimal"/>
          <w:cols w:space="720" w:num="1"/>
          <w:docGrid w:linePitch="312" w:charSpace="0"/>
        </w:sectPr>
      </w:pPr>
    </w:p>
    <w:p w14:paraId="5F183819">
      <w:pPr>
        <w:pStyle w:val="29"/>
        <w:jc w:val="center"/>
        <w:outlineLvl w:val="0"/>
        <w:rPr>
          <w:rFonts w:ascii="Times New Roman" w:hAnsi="Times New Roman" w:eastAsia="黑体"/>
          <w:b/>
          <w:bCs/>
          <w:kern w:val="2"/>
          <w:sz w:val="30"/>
          <w:szCs w:val="30"/>
          <w:u w:val="none" w:color="auto"/>
        </w:rPr>
      </w:pPr>
      <w:r>
        <w:rPr>
          <w:rFonts w:ascii="Times New Roman" w:hAnsi="Times New Roman" w:eastAsia="黑体"/>
          <w:b/>
          <w:bCs/>
          <w:kern w:val="2"/>
          <w:sz w:val="30"/>
          <w:szCs w:val="30"/>
          <w:u w:val="none" w:color="auto"/>
        </w:rPr>
        <w:t>三、区域环境质量现状、环境保护目标及评价标准</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2"/>
        <w:gridCol w:w="8095"/>
      </w:tblGrid>
      <w:tr w14:paraId="34F83F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62" w:hRule="atLeast"/>
          <w:jc w:val="center"/>
        </w:trPr>
        <w:tc>
          <w:tcPr>
            <w:tcW w:w="422" w:type="dxa"/>
            <w:noWrap w:val="0"/>
            <w:vAlign w:val="center"/>
          </w:tcPr>
          <w:p w14:paraId="66468DAE">
            <w:pPr>
              <w:adjustRightInd w:val="0"/>
              <w:snapToGrid w:val="0"/>
              <w:jc w:val="center"/>
              <w:rPr>
                <w:kern w:val="0"/>
                <w:szCs w:val="21"/>
                <w:u w:val="none" w:color="auto"/>
              </w:rPr>
            </w:pPr>
            <w:r>
              <w:rPr>
                <w:kern w:val="0"/>
                <w:szCs w:val="21"/>
                <w:u w:val="none" w:color="auto"/>
              </w:rPr>
              <w:t>区域</w:t>
            </w:r>
          </w:p>
          <w:p w14:paraId="674C6788">
            <w:pPr>
              <w:adjustRightInd w:val="0"/>
              <w:snapToGrid w:val="0"/>
              <w:jc w:val="center"/>
              <w:rPr>
                <w:kern w:val="0"/>
                <w:szCs w:val="21"/>
                <w:u w:val="none" w:color="auto"/>
              </w:rPr>
            </w:pPr>
            <w:r>
              <w:rPr>
                <w:kern w:val="0"/>
                <w:szCs w:val="21"/>
                <w:u w:val="none" w:color="auto"/>
              </w:rPr>
              <w:t>环境</w:t>
            </w:r>
          </w:p>
          <w:p w14:paraId="0EFA3C3E">
            <w:pPr>
              <w:adjustRightInd w:val="0"/>
              <w:snapToGrid w:val="0"/>
              <w:jc w:val="center"/>
              <w:rPr>
                <w:kern w:val="0"/>
                <w:szCs w:val="21"/>
                <w:u w:val="none" w:color="auto"/>
              </w:rPr>
            </w:pPr>
            <w:r>
              <w:rPr>
                <w:kern w:val="0"/>
                <w:szCs w:val="21"/>
                <w:u w:val="none" w:color="auto"/>
              </w:rPr>
              <w:t>质量</w:t>
            </w:r>
          </w:p>
          <w:p w14:paraId="6E59AE05">
            <w:pPr>
              <w:adjustRightInd w:val="0"/>
              <w:snapToGrid w:val="0"/>
              <w:jc w:val="center"/>
              <w:rPr>
                <w:kern w:val="0"/>
                <w:szCs w:val="21"/>
                <w:highlight w:val="yellow"/>
                <w:u w:val="none" w:color="auto"/>
              </w:rPr>
            </w:pPr>
            <w:r>
              <w:rPr>
                <w:kern w:val="0"/>
                <w:szCs w:val="21"/>
                <w:u w:val="none" w:color="auto"/>
              </w:rPr>
              <w:t>现状</w:t>
            </w:r>
          </w:p>
        </w:tc>
        <w:tc>
          <w:tcPr>
            <w:tcW w:w="8095" w:type="dxa"/>
            <w:noWrap w:val="0"/>
            <w:vAlign w:val="center"/>
          </w:tcPr>
          <w:p w14:paraId="7BAA4B2C">
            <w:pPr>
              <w:adjustRightInd w:val="0"/>
              <w:snapToGrid w:val="0"/>
              <w:spacing w:line="360" w:lineRule="auto"/>
              <w:ind w:firstLine="482" w:firstLineChars="200"/>
              <w:rPr>
                <w:b/>
                <w:bCs/>
                <w:sz w:val="24"/>
                <w:u w:val="none" w:color="auto"/>
              </w:rPr>
            </w:pPr>
            <w:r>
              <w:rPr>
                <w:rFonts w:hint="eastAsia"/>
                <w:b/>
                <w:bCs/>
                <w:sz w:val="24"/>
                <w:u w:val="none" w:color="auto"/>
                <w:lang w:val="en-US" w:eastAsia="zh-CN"/>
              </w:rPr>
              <w:t>1</w:t>
            </w:r>
            <w:r>
              <w:rPr>
                <w:rFonts w:hint="eastAsia"/>
                <w:b/>
                <w:bCs/>
                <w:sz w:val="24"/>
                <w:u w:val="none" w:color="auto"/>
              </w:rPr>
              <w:t>、</w:t>
            </w:r>
            <w:r>
              <w:rPr>
                <w:b/>
                <w:bCs/>
                <w:sz w:val="24"/>
                <w:u w:val="none" w:color="auto"/>
              </w:rPr>
              <w:t>环境</w:t>
            </w:r>
            <w:r>
              <w:rPr>
                <w:rFonts w:hint="eastAsia"/>
                <w:b/>
                <w:bCs/>
                <w:sz w:val="24"/>
                <w:u w:val="none" w:color="auto"/>
              </w:rPr>
              <w:t>空气</w:t>
            </w:r>
          </w:p>
          <w:p w14:paraId="36A25B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rPr>
                <w:rFonts w:hint="eastAsia" w:ascii="Times New Roman" w:hAnsi="Times New Roman" w:eastAsia="宋体" w:cs="Times New Roman"/>
                <w:sz w:val="24"/>
                <w:u w:val="none" w:color="auto"/>
              </w:rPr>
            </w:pPr>
            <w:r>
              <w:rPr>
                <w:rFonts w:hint="eastAsia" w:cs="Times New Roman"/>
                <w:sz w:val="24"/>
                <w:u w:val="none" w:color="auto"/>
                <w:lang w:val="en-US" w:eastAsia="zh-CN"/>
              </w:rPr>
              <w:t>根</w:t>
            </w:r>
            <w:r>
              <w:rPr>
                <w:rFonts w:hint="eastAsia" w:ascii="Times New Roman" w:hAnsi="Times New Roman" w:eastAsia="宋体" w:cs="Times New Roman"/>
                <w:sz w:val="24"/>
                <w:u w:val="none" w:color="auto"/>
              </w:rPr>
              <w:t>据大气功能区划分原则，建设项目所在地为二类功能区，环境空气质量应执行《环境空气质量标准》（GB3095-</w:t>
            </w:r>
            <w:r>
              <w:rPr>
                <w:rFonts w:hint="eastAsia" w:cs="Times New Roman"/>
                <w:sz w:val="24"/>
                <w:u w:val="none" w:color="auto"/>
                <w:lang w:val="en-US" w:eastAsia="zh-CN"/>
              </w:rPr>
              <w:t>2026</w:t>
            </w:r>
            <w:r>
              <w:rPr>
                <w:rFonts w:hint="eastAsia" w:ascii="Times New Roman" w:hAnsi="Times New Roman" w:eastAsia="宋体" w:cs="Times New Roman"/>
                <w:sz w:val="24"/>
                <w:u w:val="none" w:color="auto"/>
              </w:rPr>
              <w:t>）二级标准。</w:t>
            </w:r>
            <w:r>
              <w:rPr>
                <w:rFonts w:hint="eastAsia" w:ascii="Times New Roman" w:hAnsi="Times New Roman" w:eastAsia="宋体" w:cs="Times New Roman"/>
                <w:sz w:val="24"/>
                <w:u w:val="none" w:color="auto"/>
                <w:lang w:val="en-US" w:eastAsia="zh-CN"/>
              </w:rPr>
              <w:t>据新乡市生态环境局发布的《</w:t>
            </w:r>
            <w:bookmarkStart w:id="15" w:name="OLE_LINK182"/>
            <w:r>
              <w:rPr>
                <w:rFonts w:hint="eastAsia" w:ascii="Times New Roman" w:hAnsi="Times New Roman" w:eastAsia="宋体" w:cs="Times New Roman"/>
                <w:sz w:val="24"/>
                <w:u w:val="none" w:color="auto"/>
                <w:lang w:val="en-US" w:eastAsia="zh-CN"/>
              </w:rPr>
              <w:t>2024年</w:t>
            </w:r>
            <w:bookmarkEnd w:id="15"/>
            <w:bookmarkStart w:id="16" w:name="OLE_LINK183"/>
            <w:bookmarkStart w:id="17" w:name="OLE_LINK59"/>
            <w:r>
              <w:rPr>
                <w:rFonts w:hint="eastAsia" w:ascii="Times New Roman" w:hAnsi="Times New Roman" w:eastAsia="宋体" w:cs="Times New Roman"/>
                <w:sz w:val="24"/>
                <w:u w:val="none" w:color="auto"/>
              </w:rPr>
              <w:t>新乡市</w:t>
            </w:r>
            <w:bookmarkEnd w:id="16"/>
            <w:r>
              <w:rPr>
                <w:rFonts w:hint="eastAsia" w:ascii="Times New Roman" w:hAnsi="Times New Roman" w:eastAsia="宋体" w:cs="Times New Roman"/>
                <w:sz w:val="24"/>
                <w:u w:val="none" w:color="auto"/>
              </w:rPr>
              <w:t>环境质量</w:t>
            </w:r>
            <w:r>
              <w:rPr>
                <w:rFonts w:hint="eastAsia" w:ascii="Times New Roman" w:hAnsi="Times New Roman" w:eastAsia="宋体" w:cs="Times New Roman"/>
                <w:sz w:val="24"/>
                <w:u w:val="none" w:color="auto"/>
                <w:lang w:val="en-US" w:eastAsia="zh-CN"/>
              </w:rPr>
              <w:t>公报</w:t>
            </w:r>
            <w:bookmarkEnd w:id="17"/>
            <w:r>
              <w:rPr>
                <w:rFonts w:hint="eastAsia" w:ascii="Times New Roman" w:hAnsi="Times New Roman" w:eastAsia="宋体" w:cs="Times New Roman"/>
                <w:sz w:val="24"/>
                <w:u w:val="none" w:color="auto"/>
                <w:lang w:val="en-US" w:eastAsia="zh-CN"/>
              </w:rPr>
              <w:t>》</w:t>
            </w:r>
            <w:r>
              <w:rPr>
                <w:rFonts w:hint="eastAsia" w:ascii="Times New Roman" w:hAnsi="Times New Roman" w:eastAsia="宋体" w:cs="Times New Roman"/>
                <w:sz w:val="24"/>
                <w:u w:val="none" w:color="auto"/>
              </w:rPr>
              <w:t>，项目区域</w:t>
            </w:r>
            <w:bookmarkStart w:id="18" w:name="OLE_LINK184"/>
            <w:r>
              <w:rPr>
                <w:rFonts w:hint="eastAsia" w:ascii="Times New Roman" w:hAnsi="Times New Roman" w:eastAsia="宋体" w:cs="Times New Roman"/>
                <w:sz w:val="24"/>
                <w:u w:val="none" w:color="auto"/>
              </w:rPr>
              <w:t>空气质量</w:t>
            </w:r>
            <w:bookmarkEnd w:id="18"/>
            <w:r>
              <w:rPr>
                <w:rFonts w:hint="eastAsia" w:ascii="Times New Roman" w:hAnsi="Times New Roman" w:eastAsia="宋体" w:cs="Times New Roman"/>
                <w:sz w:val="24"/>
                <w:u w:val="none" w:color="auto"/>
              </w:rPr>
              <w:t>现状数据如下表所示。</w:t>
            </w:r>
          </w:p>
          <w:p w14:paraId="1C71A5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宋体" w:eastAsia="宋体" w:cs="Times New Roman"/>
                <w:b/>
                <w:sz w:val="24"/>
                <w:u w:val="none" w:color="auto"/>
                <w:lang w:val="en-US" w:eastAsia="zh-CN"/>
              </w:rPr>
            </w:pPr>
            <w:r>
              <w:rPr>
                <w:rFonts w:hint="eastAsia" w:ascii="Times New Roman" w:hAnsi="宋体" w:eastAsia="宋体" w:cs="Times New Roman"/>
                <w:b/>
                <w:sz w:val="24"/>
                <w:u w:val="none" w:color="auto"/>
                <w:lang w:val="en-US" w:eastAsia="zh-CN"/>
              </w:rPr>
              <w:t xml:space="preserve">表3-1  </w:t>
            </w:r>
            <w:r>
              <w:rPr>
                <w:rFonts w:hint="eastAsia" w:hAnsi="宋体" w:cs="Times New Roman"/>
                <w:b/>
                <w:sz w:val="24"/>
                <w:u w:val="none" w:color="auto"/>
                <w:lang w:val="en-US" w:eastAsia="zh-CN"/>
              </w:rPr>
              <w:t xml:space="preserve">  </w:t>
            </w:r>
            <w:r>
              <w:rPr>
                <w:rFonts w:hint="eastAsia" w:ascii="Times New Roman" w:hAnsi="宋体" w:eastAsia="宋体" w:cs="Times New Roman"/>
                <w:b/>
                <w:sz w:val="24"/>
                <w:u w:val="none" w:color="auto"/>
                <w:lang w:val="en-US" w:eastAsia="zh-CN"/>
              </w:rPr>
              <w:t>区域空气质量现状评价表</w:t>
            </w:r>
          </w:p>
          <w:tbl>
            <w:tblPr>
              <w:tblStyle w:val="32"/>
              <w:tblW w:w="4682"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760"/>
              <w:gridCol w:w="1585"/>
              <w:gridCol w:w="1189"/>
              <w:gridCol w:w="1416"/>
              <w:gridCol w:w="1139"/>
              <w:gridCol w:w="1288"/>
              <w:gridCol w:w="1"/>
            </w:tblGrid>
            <w:tr w14:paraId="085DF38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gridAfter w:val="1"/>
                <w:wAfter w:w="0" w:type="pct"/>
                <w:cantSplit/>
                <w:trHeight w:val="608" w:hRule="atLeast"/>
                <w:jc w:val="center"/>
              </w:trPr>
              <w:tc>
                <w:tcPr>
                  <w:tcW w:w="515" w:type="pct"/>
                  <w:vMerge w:val="restart"/>
                  <w:tcBorders>
                    <w:tl2br w:val="nil"/>
                    <w:tr2bl w:val="nil"/>
                  </w:tcBorders>
                  <w:noWrap w:val="0"/>
                  <w:tcMar>
                    <w:top w:w="0" w:type="dxa"/>
                    <w:left w:w="28" w:type="dxa"/>
                    <w:bottom w:w="0" w:type="dxa"/>
                    <w:right w:w="28" w:type="dxa"/>
                  </w:tcMar>
                  <w:vAlign w:val="center"/>
                </w:tcPr>
                <w:p w14:paraId="408CCB86">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bCs/>
                      <w:color w:val="auto"/>
                      <w:kern w:val="2"/>
                      <w:sz w:val="21"/>
                      <w:szCs w:val="21"/>
                      <w:u w:val="none" w:color="auto"/>
                    </w:rPr>
                  </w:pPr>
                  <w:bookmarkStart w:id="19" w:name="OLE_LINK176" w:colFirst="3" w:colLast="5"/>
                  <w:r>
                    <w:rPr>
                      <w:rFonts w:hint="default" w:ascii="Times New Roman" w:hAnsi="Times New Roman" w:eastAsia="宋体" w:cs="Times New Roman"/>
                      <w:b/>
                      <w:bCs/>
                      <w:color w:val="auto"/>
                      <w:kern w:val="2"/>
                      <w:sz w:val="21"/>
                      <w:szCs w:val="21"/>
                      <w:u w:val="none" w:color="auto"/>
                    </w:rPr>
                    <w:t>污染物</w:t>
                  </w:r>
                </w:p>
              </w:tc>
              <w:tc>
                <w:tcPr>
                  <w:tcW w:w="1074" w:type="pct"/>
                  <w:vMerge w:val="restart"/>
                  <w:tcBorders>
                    <w:tl2br w:val="nil"/>
                    <w:tr2bl w:val="nil"/>
                  </w:tcBorders>
                  <w:noWrap w:val="0"/>
                  <w:tcMar>
                    <w:top w:w="0" w:type="dxa"/>
                    <w:left w:w="28" w:type="dxa"/>
                    <w:bottom w:w="0" w:type="dxa"/>
                    <w:right w:w="28" w:type="dxa"/>
                  </w:tcMar>
                  <w:vAlign w:val="center"/>
                </w:tcPr>
                <w:p w14:paraId="72EBD748">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bCs/>
                      <w:color w:val="auto"/>
                      <w:kern w:val="2"/>
                      <w:sz w:val="21"/>
                      <w:szCs w:val="21"/>
                      <w:u w:val="none" w:color="auto"/>
                    </w:rPr>
                  </w:pPr>
                  <w:r>
                    <w:rPr>
                      <w:rFonts w:hint="default" w:ascii="Times New Roman" w:hAnsi="Times New Roman" w:eastAsia="宋体" w:cs="Times New Roman"/>
                      <w:b/>
                      <w:bCs/>
                      <w:color w:val="auto"/>
                      <w:kern w:val="2"/>
                      <w:sz w:val="21"/>
                      <w:szCs w:val="21"/>
                      <w:u w:val="none" w:color="auto"/>
                    </w:rPr>
                    <w:t>年评价指标</w:t>
                  </w:r>
                </w:p>
              </w:tc>
              <w:tc>
                <w:tcPr>
                  <w:tcW w:w="805" w:type="pct"/>
                  <w:vMerge w:val="restart"/>
                  <w:tcBorders>
                    <w:tl2br w:val="nil"/>
                    <w:tr2bl w:val="nil"/>
                  </w:tcBorders>
                  <w:noWrap w:val="0"/>
                  <w:tcMar>
                    <w:top w:w="0" w:type="dxa"/>
                    <w:left w:w="28" w:type="dxa"/>
                    <w:bottom w:w="0" w:type="dxa"/>
                    <w:right w:w="28" w:type="dxa"/>
                  </w:tcMar>
                  <w:vAlign w:val="center"/>
                </w:tcPr>
                <w:p w14:paraId="22ACCD46">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bCs/>
                      <w:color w:val="auto"/>
                      <w:kern w:val="2"/>
                      <w:sz w:val="21"/>
                      <w:szCs w:val="21"/>
                      <w:u w:val="none" w:color="auto"/>
                    </w:rPr>
                  </w:pPr>
                  <w:r>
                    <w:rPr>
                      <w:rFonts w:hint="default" w:ascii="Times New Roman" w:hAnsi="Times New Roman" w:eastAsia="宋体" w:cs="Times New Roman"/>
                      <w:b/>
                      <w:bCs/>
                      <w:color w:val="auto"/>
                      <w:kern w:val="2"/>
                      <w:sz w:val="21"/>
                      <w:szCs w:val="21"/>
                      <w:u w:val="none" w:color="auto"/>
                    </w:rPr>
                    <w:t>现状浓度/</w:t>
                  </w:r>
                </w:p>
                <w:p w14:paraId="1CDDB7CA">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bCs/>
                      <w:color w:val="auto"/>
                      <w:kern w:val="2"/>
                      <w:sz w:val="21"/>
                      <w:szCs w:val="21"/>
                      <w:u w:val="none" w:color="auto"/>
                    </w:rPr>
                  </w:pPr>
                  <w:r>
                    <w:rPr>
                      <w:rFonts w:hint="default" w:ascii="Times New Roman" w:hAnsi="Times New Roman" w:eastAsia="宋体" w:cs="Times New Roman"/>
                      <w:b/>
                      <w:bCs/>
                      <w:color w:val="auto"/>
                      <w:kern w:val="2"/>
                      <w:sz w:val="21"/>
                      <w:szCs w:val="21"/>
                      <w:u w:val="none" w:color="auto"/>
                    </w:rPr>
                    <w:t>（μg/</w:t>
                  </w:r>
                  <w:r>
                    <w:rPr>
                      <w:rFonts w:hint="default" w:ascii="Times New Roman" w:hAnsi="Times New Roman" w:eastAsia="宋体" w:cs="Times New Roman"/>
                      <w:b/>
                      <w:bCs/>
                      <w:color w:val="auto"/>
                      <w:kern w:val="2"/>
                      <w:sz w:val="21"/>
                      <w:szCs w:val="21"/>
                      <w:u w:val="none" w:color="auto"/>
                      <w:lang w:eastAsia="zh-CN"/>
                    </w:rPr>
                    <w:t>m³</w:t>
                  </w:r>
                  <w:r>
                    <w:rPr>
                      <w:rFonts w:hint="default" w:ascii="Times New Roman" w:hAnsi="Times New Roman" w:eastAsia="宋体" w:cs="Times New Roman"/>
                      <w:b/>
                      <w:bCs/>
                      <w:color w:val="auto"/>
                      <w:kern w:val="2"/>
                      <w:sz w:val="21"/>
                      <w:szCs w:val="21"/>
                      <w:u w:val="none" w:color="auto"/>
                    </w:rPr>
                    <w:t>）</w:t>
                  </w:r>
                </w:p>
              </w:tc>
              <w:tc>
                <w:tcPr>
                  <w:tcW w:w="2604" w:type="pct"/>
                  <w:gridSpan w:val="3"/>
                  <w:tcBorders>
                    <w:tl2br w:val="nil"/>
                    <w:tr2bl w:val="nil"/>
                  </w:tcBorders>
                  <w:noWrap w:val="0"/>
                  <w:tcMar>
                    <w:top w:w="0" w:type="dxa"/>
                    <w:left w:w="28" w:type="dxa"/>
                    <w:bottom w:w="0" w:type="dxa"/>
                    <w:right w:w="28" w:type="dxa"/>
                  </w:tcMar>
                  <w:vAlign w:val="center"/>
                </w:tcPr>
                <w:p w14:paraId="4C82A7A3">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bCs/>
                      <w:color w:val="auto"/>
                      <w:kern w:val="2"/>
                      <w:sz w:val="21"/>
                      <w:szCs w:val="21"/>
                      <w:u w:val="none" w:color="auto"/>
                    </w:rPr>
                  </w:pPr>
                  <w:r>
                    <w:rPr>
                      <w:rFonts w:hint="default" w:ascii="Times New Roman" w:hAnsi="Times New Roman" w:eastAsia="宋体" w:cs="Times New Roman"/>
                      <w:color w:val="auto"/>
                      <w:sz w:val="21"/>
                      <w:szCs w:val="21"/>
                      <w:u w:val="none" w:color="auto"/>
                    </w:rPr>
                    <w:t>（</w:t>
                  </w:r>
                  <w:r>
                    <w:rPr>
                      <w:rFonts w:hint="default" w:ascii="Times New Roman" w:hAnsi="Times New Roman" w:eastAsia="宋体" w:cs="Times New Roman"/>
                      <w:b/>
                      <w:bCs/>
                      <w:color w:val="auto"/>
                      <w:kern w:val="2"/>
                      <w:sz w:val="21"/>
                      <w:szCs w:val="21"/>
                      <w:u w:val="none" w:color="auto"/>
                      <w:lang w:val="en-US" w:eastAsia="zh-CN"/>
                    </w:rPr>
                    <w:t>GB3095-2026）二级标准</w:t>
                  </w:r>
                  <w:r>
                    <w:rPr>
                      <w:rFonts w:hint="default" w:ascii="Times New Roman" w:hAnsi="Times New Roman" w:eastAsia="宋体" w:cs="Times New Roman"/>
                      <w:b/>
                      <w:bCs/>
                      <w:color w:val="auto"/>
                      <w:kern w:val="2"/>
                      <w:sz w:val="21"/>
                      <w:szCs w:val="21"/>
                      <w:u w:val="none" w:color="auto"/>
                      <w:lang w:eastAsia="zh-CN"/>
                    </w:rPr>
                    <w:t>（</w:t>
                  </w:r>
                  <w:r>
                    <w:rPr>
                      <w:rFonts w:hint="default" w:ascii="Times New Roman" w:hAnsi="Times New Roman" w:eastAsia="宋体" w:cs="Times New Roman"/>
                      <w:b/>
                      <w:bCs/>
                      <w:color w:val="auto"/>
                      <w:kern w:val="2"/>
                      <w:sz w:val="21"/>
                      <w:szCs w:val="21"/>
                      <w:u w:val="none" w:color="auto"/>
                      <w:lang w:val="en-US" w:eastAsia="zh-CN"/>
                    </w:rPr>
                    <w:t>2026.3.1实施</w:t>
                  </w:r>
                  <w:r>
                    <w:rPr>
                      <w:rFonts w:hint="default" w:ascii="Times New Roman" w:hAnsi="Times New Roman" w:eastAsia="宋体" w:cs="Times New Roman"/>
                      <w:b/>
                      <w:bCs/>
                      <w:color w:val="auto"/>
                      <w:kern w:val="2"/>
                      <w:sz w:val="21"/>
                      <w:szCs w:val="21"/>
                      <w:u w:val="none" w:color="auto"/>
                      <w:lang w:eastAsia="zh-CN"/>
                    </w:rPr>
                    <w:t>）</w:t>
                  </w:r>
                </w:p>
              </w:tc>
            </w:tr>
            <w:tr w14:paraId="6370B72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526" w:hRule="atLeast"/>
                <w:jc w:val="center"/>
              </w:trPr>
              <w:tc>
                <w:tcPr>
                  <w:tcW w:w="515" w:type="pct"/>
                  <w:vMerge w:val="continue"/>
                  <w:tcBorders>
                    <w:bottom w:val="single" w:color="000000" w:sz="8" w:space="0"/>
                    <w:tl2br w:val="nil"/>
                    <w:tr2bl w:val="nil"/>
                  </w:tcBorders>
                  <w:noWrap w:val="0"/>
                  <w:tcMar>
                    <w:top w:w="0" w:type="dxa"/>
                    <w:left w:w="28" w:type="dxa"/>
                    <w:bottom w:w="0" w:type="dxa"/>
                    <w:right w:w="28" w:type="dxa"/>
                  </w:tcMar>
                  <w:vAlign w:val="center"/>
                </w:tcPr>
                <w:p w14:paraId="4792C2C4">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color w:val="auto"/>
                      <w:sz w:val="21"/>
                      <w:szCs w:val="21"/>
                      <w:u w:val="none" w:color="auto"/>
                    </w:rPr>
                  </w:pPr>
                </w:p>
              </w:tc>
              <w:tc>
                <w:tcPr>
                  <w:tcW w:w="1074" w:type="pct"/>
                  <w:vMerge w:val="continue"/>
                  <w:tcBorders>
                    <w:bottom w:val="single" w:color="000000" w:sz="8" w:space="0"/>
                    <w:tl2br w:val="nil"/>
                    <w:tr2bl w:val="nil"/>
                  </w:tcBorders>
                  <w:noWrap w:val="0"/>
                  <w:tcMar>
                    <w:top w:w="0" w:type="dxa"/>
                    <w:left w:w="28" w:type="dxa"/>
                    <w:bottom w:w="0" w:type="dxa"/>
                    <w:right w:w="28" w:type="dxa"/>
                  </w:tcMar>
                  <w:vAlign w:val="center"/>
                </w:tcPr>
                <w:p w14:paraId="696D6893">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color w:val="auto"/>
                      <w:sz w:val="21"/>
                      <w:szCs w:val="21"/>
                      <w:u w:val="none" w:color="auto"/>
                    </w:rPr>
                  </w:pPr>
                </w:p>
              </w:tc>
              <w:tc>
                <w:tcPr>
                  <w:tcW w:w="805" w:type="pct"/>
                  <w:vMerge w:val="continue"/>
                  <w:tcBorders>
                    <w:bottom w:val="single" w:color="000000" w:sz="8" w:space="0"/>
                    <w:tl2br w:val="nil"/>
                    <w:tr2bl w:val="nil"/>
                  </w:tcBorders>
                  <w:noWrap w:val="0"/>
                  <w:tcMar>
                    <w:top w:w="0" w:type="dxa"/>
                    <w:left w:w="28" w:type="dxa"/>
                    <w:bottom w:w="0" w:type="dxa"/>
                    <w:right w:w="28" w:type="dxa"/>
                  </w:tcMar>
                  <w:vAlign w:val="center"/>
                </w:tcPr>
                <w:p w14:paraId="13B22827">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color w:val="auto"/>
                      <w:sz w:val="21"/>
                      <w:szCs w:val="21"/>
                      <w:u w:val="none" w:color="auto"/>
                    </w:rPr>
                  </w:pPr>
                </w:p>
              </w:tc>
              <w:tc>
                <w:tcPr>
                  <w:tcW w:w="959" w:type="pct"/>
                  <w:tcBorders>
                    <w:bottom w:val="single" w:color="000000" w:sz="8" w:space="0"/>
                    <w:tl2br w:val="nil"/>
                    <w:tr2bl w:val="nil"/>
                  </w:tcBorders>
                  <w:noWrap w:val="0"/>
                  <w:tcMar>
                    <w:top w:w="0" w:type="dxa"/>
                    <w:left w:w="28" w:type="dxa"/>
                    <w:bottom w:w="0" w:type="dxa"/>
                    <w:right w:w="28" w:type="dxa"/>
                  </w:tcMar>
                  <w:vAlign w:val="center"/>
                </w:tcPr>
                <w:p w14:paraId="0F6AE6C7">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bCs/>
                      <w:color w:val="auto"/>
                      <w:kern w:val="2"/>
                      <w:sz w:val="21"/>
                      <w:szCs w:val="21"/>
                      <w:u w:val="none" w:color="auto"/>
                      <w:lang w:val="en-US" w:eastAsia="zh-CN" w:bidi="ar-SA"/>
                    </w:rPr>
                  </w:pPr>
                  <w:r>
                    <w:rPr>
                      <w:rFonts w:hint="default" w:ascii="Times New Roman" w:hAnsi="Times New Roman" w:eastAsia="宋体" w:cs="Times New Roman"/>
                      <w:b/>
                      <w:bCs/>
                      <w:color w:val="auto"/>
                      <w:kern w:val="2"/>
                      <w:sz w:val="21"/>
                      <w:szCs w:val="21"/>
                      <w:u w:val="none" w:color="auto"/>
                      <w:lang w:val="en-US" w:eastAsia="zh-CN"/>
                    </w:rPr>
                    <w:t>过渡阶段</w:t>
                  </w:r>
                  <w:r>
                    <w:rPr>
                      <w:rFonts w:hint="default" w:ascii="Times New Roman" w:hAnsi="Times New Roman" w:eastAsia="宋体" w:cs="Times New Roman"/>
                      <w:b/>
                      <w:bCs/>
                      <w:color w:val="auto"/>
                      <w:kern w:val="2"/>
                      <w:sz w:val="21"/>
                      <w:szCs w:val="21"/>
                      <w:u w:val="none" w:color="auto"/>
                    </w:rPr>
                    <w:t>标准值/（μg/</w:t>
                  </w:r>
                  <w:r>
                    <w:rPr>
                      <w:rFonts w:hint="default" w:ascii="Times New Roman" w:hAnsi="Times New Roman" w:eastAsia="宋体" w:cs="Times New Roman"/>
                      <w:b/>
                      <w:bCs/>
                      <w:color w:val="auto"/>
                      <w:kern w:val="2"/>
                      <w:sz w:val="21"/>
                      <w:szCs w:val="21"/>
                      <w:u w:val="none" w:color="auto"/>
                      <w:lang w:eastAsia="zh-CN"/>
                    </w:rPr>
                    <w:t>m³</w:t>
                  </w:r>
                  <w:r>
                    <w:rPr>
                      <w:rFonts w:hint="default" w:ascii="Times New Roman" w:hAnsi="Times New Roman" w:eastAsia="宋体" w:cs="Times New Roman"/>
                      <w:b/>
                      <w:bCs/>
                      <w:color w:val="auto"/>
                      <w:kern w:val="2"/>
                      <w:sz w:val="21"/>
                      <w:szCs w:val="21"/>
                      <w:u w:val="none" w:color="auto"/>
                    </w:rPr>
                    <w:t>）</w:t>
                  </w:r>
                </w:p>
              </w:tc>
              <w:tc>
                <w:tcPr>
                  <w:tcW w:w="771" w:type="pct"/>
                  <w:tcBorders>
                    <w:bottom w:val="single" w:color="000000" w:sz="8" w:space="0"/>
                    <w:tl2br w:val="nil"/>
                    <w:tr2bl w:val="nil"/>
                  </w:tcBorders>
                  <w:noWrap w:val="0"/>
                  <w:tcMar>
                    <w:top w:w="0" w:type="dxa"/>
                    <w:left w:w="28" w:type="dxa"/>
                    <w:bottom w:w="0" w:type="dxa"/>
                    <w:right w:w="28" w:type="dxa"/>
                  </w:tcMar>
                  <w:vAlign w:val="center"/>
                </w:tcPr>
                <w:p w14:paraId="733D7D66">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bCs/>
                      <w:color w:val="auto"/>
                      <w:kern w:val="2"/>
                      <w:sz w:val="21"/>
                      <w:szCs w:val="21"/>
                      <w:u w:val="none" w:color="auto"/>
                      <w:lang w:val="en-US" w:eastAsia="zh-CN" w:bidi="ar-SA"/>
                    </w:rPr>
                  </w:pPr>
                  <w:r>
                    <w:rPr>
                      <w:rFonts w:hint="default" w:ascii="Times New Roman" w:hAnsi="Times New Roman" w:eastAsia="宋体" w:cs="Times New Roman"/>
                      <w:b/>
                      <w:bCs/>
                      <w:color w:val="auto"/>
                      <w:kern w:val="2"/>
                      <w:sz w:val="21"/>
                      <w:szCs w:val="21"/>
                      <w:u w:val="none" w:color="auto"/>
                    </w:rPr>
                    <w:t>占标率/%</w:t>
                  </w:r>
                </w:p>
              </w:tc>
              <w:tc>
                <w:tcPr>
                  <w:tcW w:w="873" w:type="pct"/>
                  <w:gridSpan w:val="2"/>
                  <w:tcBorders>
                    <w:bottom w:val="single" w:color="000000" w:sz="8" w:space="0"/>
                    <w:tl2br w:val="nil"/>
                    <w:tr2bl w:val="nil"/>
                  </w:tcBorders>
                  <w:noWrap w:val="0"/>
                  <w:tcMar>
                    <w:top w:w="0" w:type="dxa"/>
                    <w:left w:w="28" w:type="dxa"/>
                    <w:bottom w:w="0" w:type="dxa"/>
                    <w:right w:w="28" w:type="dxa"/>
                  </w:tcMar>
                  <w:vAlign w:val="center"/>
                </w:tcPr>
                <w:p w14:paraId="324F0A3E">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bCs/>
                      <w:color w:val="auto"/>
                      <w:kern w:val="2"/>
                      <w:sz w:val="21"/>
                      <w:szCs w:val="21"/>
                      <w:u w:val="none" w:color="auto"/>
                      <w:lang w:val="en-US" w:eastAsia="zh-CN" w:bidi="ar-SA"/>
                    </w:rPr>
                  </w:pPr>
                  <w:r>
                    <w:rPr>
                      <w:rFonts w:hint="default" w:ascii="Times New Roman" w:hAnsi="Times New Roman" w:eastAsia="宋体" w:cs="Times New Roman"/>
                      <w:b/>
                      <w:bCs/>
                      <w:color w:val="auto"/>
                      <w:kern w:val="2"/>
                      <w:sz w:val="21"/>
                      <w:szCs w:val="21"/>
                      <w:u w:val="none" w:color="auto"/>
                    </w:rPr>
                    <w:t>达标情况</w:t>
                  </w:r>
                </w:p>
              </w:tc>
            </w:tr>
            <w:bookmarkEnd w:id="19"/>
            <w:tr w14:paraId="5DBF38E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608" w:hRule="atLeast"/>
                <w:jc w:val="center"/>
              </w:trPr>
              <w:tc>
                <w:tcPr>
                  <w:tcW w:w="515" w:type="pct"/>
                  <w:tcBorders>
                    <w:top w:val="single" w:color="000000" w:sz="8" w:space="0"/>
                    <w:tl2br w:val="nil"/>
                    <w:tr2bl w:val="nil"/>
                  </w:tcBorders>
                  <w:noWrap w:val="0"/>
                  <w:tcMar>
                    <w:top w:w="0" w:type="dxa"/>
                    <w:left w:w="28" w:type="dxa"/>
                    <w:bottom w:w="0" w:type="dxa"/>
                    <w:right w:w="28" w:type="dxa"/>
                  </w:tcMar>
                  <w:vAlign w:val="center"/>
                </w:tcPr>
                <w:p w14:paraId="68442A26">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rPr>
                  </w:pPr>
                  <w:bookmarkStart w:id="20" w:name="OLE_LINK62" w:colFirst="2" w:colLast="3"/>
                  <w:bookmarkStart w:id="21" w:name="OLE_LINK178" w:colFirst="3" w:colLast="5"/>
                  <w:r>
                    <w:rPr>
                      <w:rFonts w:hint="default" w:ascii="Times New Roman" w:hAnsi="Times New Roman" w:eastAsia="宋体" w:cs="Times New Roman"/>
                      <w:b w:val="0"/>
                      <w:bCs/>
                      <w:color w:val="auto"/>
                      <w:kern w:val="2"/>
                      <w:sz w:val="21"/>
                      <w:szCs w:val="21"/>
                      <w:u w:val="none" w:color="auto"/>
                    </w:rPr>
                    <w:t>P</w:t>
                  </w:r>
                  <w:bookmarkStart w:id="22" w:name="OLE_LINK33"/>
                  <w:r>
                    <w:rPr>
                      <w:rFonts w:hint="default" w:ascii="Times New Roman" w:hAnsi="Times New Roman" w:eastAsia="宋体" w:cs="Times New Roman"/>
                      <w:b w:val="0"/>
                      <w:bCs/>
                      <w:color w:val="auto"/>
                      <w:kern w:val="2"/>
                      <w:sz w:val="21"/>
                      <w:szCs w:val="21"/>
                      <w:u w:val="none" w:color="auto"/>
                    </w:rPr>
                    <w:t>M</w:t>
                  </w:r>
                  <w:bookmarkEnd w:id="22"/>
                  <w:r>
                    <w:rPr>
                      <w:rFonts w:hint="default" w:ascii="Times New Roman" w:hAnsi="Times New Roman" w:eastAsia="宋体" w:cs="Times New Roman"/>
                      <w:b w:val="0"/>
                      <w:bCs/>
                      <w:color w:val="auto"/>
                      <w:kern w:val="2"/>
                      <w:sz w:val="21"/>
                      <w:szCs w:val="21"/>
                      <w:u w:val="none" w:color="auto"/>
                      <w:vertAlign w:val="subscript"/>
                    </w:rPr>
                    <w:t>10</w:t>
                  </w:r>
                </w:p>
              </w:tc>
              <w:tc>
                <w:tcPr>
                  <w:tcW w:w="1074" w:type="pct"/>
                  <w:tcBorders>
                    <w:top w:val="single" w:color="000000" w:sz="8" w:space="0"/>
                    <w:tl2br w:val="nil"/>
                    <w:tr2bl w:val="nil"/>
                  </w:tcBorders>
                  <w:noWrap w:val="0"/>
                  <w:tcMar>
                    <w:top w:w="0" w:type="dxa"/>
                    <w:left w:w="28" w:type="dxa"/>
                    <w:bottom w:w="0" w:type="dxa"/>
                    <w:right w:w="28" w:type="dxa"/>
                  </w:tcMar>
                  <w:vAlign w:val="center"/>
                </w:tcPr>
                <w:p w14:paraId="22EAF7DC">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年平均质量浓度</w:t>
                  </w:r>
                </w:p>
              </w:tc>
              <w:tc>
                <w:tcPr>
                  <w:tcW w:w="805" w:type="pct"/>
                  <w:tcBorders>
                    <w:top w:val="single" w:color="000000" w:sz="8" w:space="0"/>
                    <w:tl2br w:val="nil"/>
                    <w:tr2bl w:val="nil"/>
                  </w:tcBorders>
                  <w:noWrap w:val="0"/>
                  <w:tcMar>
                    <w:top w:w="0" w:type="dxa"/>
                    <w:left w:w="28" w:type="dxa"/>
                    <w:bottom w:w="0" w:type="dxa"/>
                    <w:right w:w="28" w:type="dxa"/>
                  </w:tcMar>
                  <w:vAlign w:val="center"/>
                </w:tcPr>
                <w:p w14:paraId="0DF8568A">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lang w:val="en-US" w:eastAsia="zh-CN"/>
                    </w:rPr>
                  </w:pPr>
                  <w:r>
                    <w:rPr>
                      <w:rFonts w:hint="default" w:ascii="Times New Roman" w:hAnsi="Times New Roman" w:eastAsia="宋体" w:cs="Times New Roman"/>
                      <w:b w:val="0"/>
                      <w:bCs/>
                      <w:color w:val="auto"/>
                      <w:kern w:val="2"/>
                      <w:sz w:val="21"/>
                      <w:szCs w:val="21"/>
                      <w:u w:val="none" w:color="auto"/>
                      <w:lang w:val="en-US" w:eastAsia="zh-CN"/>
                    </w:rPr>
                    <w:t>82</w:t>
                  </w:r>
                </w:p>
              </w:tc>
              <w:tc>
                <w:tcPr>
                  <w:tcW w:w="959" w:type="pct"/>
                  <w:tcBorders>
                    <w:top w:val="single" w:color="000000" w:sz="8" w:space="0"/>
                    <w:tl2br w:val="nil"/>
                    <w:tr2bl w:val="nil"/>
                  </w:tcBorders>
                  <w:noWrap w:val="0"/>
                  <w:tcMar>
                    <w:top w:w="0" w:type="dxa"/>
                    <w:left w:w="28" w:type="dxa"/>
                    <w:bottom w:w="0" w:type="dxa"/>
                    <w:right w:w="28" w:type="dxa"/>
                  </w:tcMar>
                  <w:vAlign w:val="center"/>
                </w:tcPr>
                <w:p w14:paraId="45A966A7">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lang w:val="en-US"/>
                    </w:rPr>
                  </w:pPr>
                  <w:r>
                    <w:rPr>
                      <w:rFonts w:hint="default" w:ascii="Times New Roman" w:hAnsi="Times New Roman" w:eastAsia="宋体" w:cs="Times New Roman"/>
                      <w:b w:val="0"/>
                      <w:bCs/>
                      <w:color w:val="auto"/>
                      <w:kern w:val="2"/>
                      <w:sz w:val="21"/>
                      <w:szCs w:val="21"/>
                      <w:u w:val="none" w:color="auto"/>
                      <w:lang w:val="en-US" w:eastAsia="zh-CN"/>
                    </w:rPr>
                    <w:t>60</w:t>
                  </w:r>
                </w:p>
              </w:tc>
              <w:tc>
                <w:tcPr>
                  <w:tcW w:w="771" w:type="pct"/>
                  <w:tcBorders>
                    <w:top w:val="single" w:color="000000" w:sz="8" w:space="0"/>
                    <w:tl2br w:val="nil"/>
                    <w:tr2bl w:val="nil"/>
                  </w:tcBorders>
                  <w:noWrap w:val="0"/>
                  <w:tcMar>
                    <w:top w:w="0" w:type="dxa"/>
                    <w:left w:w="28" w:type="dxa"/>
                    <w:bottom w:w="0" w:type="dxa"/>
                    <w:right w:w="28" w:type="dxa"/>
                  </w:tcMar>
                  <w:vAlign w:val="center"/>
                </w:tcPr>
                <w:p w14:paraId="77589F70">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lang w:val="en-US"/>
                    </w:rPr>
                  </w:pPr>
                  <w:r>
                    <w:rPr>
                      <w:rFonts w:hint="default" w:ascii="Times New Roman" w:hAnsi="Times New Roman" w:eastAsia="宋体" w:cs="Times New Roman"/>
                      <w:b w:val="0"/>
                      <w:bCs/>
                      <w:color w:val="auto"/>
                      <w:kern w:val="2"/>
                      <w:sz w:val="21"/>
                      <w:szCs w:val="21"/>
                      <w:u w:val="none" w:color="auto"/>
                      <w:lang w:val="en-US" w:eastAsia="zh-CN"/>
                    </w:rPr>
                    <w:t>13.6.7</w:t>
                  </w:r>
                </w:p>
              </w:tc>
              <w:tc>
                <w:tcPr>
                  <w:tcW w:w="873" w:type="pct"/>
                  <w:gridSpan w:val="2"/>
                  <w:tcBorders>
                    <w:top w:val="single" w:color="000000" w:sz="8" w:space="0"/>
                    <w:tl2br w:val="nil"/>
                    <w:tr2bl w:val="nil"/>
                  </w:tcBorders>
                  <w:noWrap w:val="0"/>
                  <w:tcMar>
                    <w:top w:w="0" w:type="dxa"/>
                    <w:left w:w="28" w:type="dxa"/>
                    <w:bottom w:w="0" w:type="dxa"/>
                    <w:right w:w="28" w:type="dxa"/>
                  </w:tcMar>
                  <w:vAlign w:val="center"/>
                </w:tcPr>
                <w:p w14:paraId="45C95FF1">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超标</w:t>
                  </w:r>
                </w:p>
              </w:tc>
            </w:tr>
            <w:tr w14:paraId="4BC6470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578" w:hRule="atLeast"/>
                <w:jc w:val="center"/>
              </w:trPr>
              <w:tc>
                <w:tcPr>
                  <w:tcW w:w="515" w:type="pct"/>
                  <w:tcBorders>
                    <w:tl2br w:val="nil"/>
                    <w:tr2bl w:val="nil"/>
                  </w:tcBorders>
                  <w:noWrap w:val="0"/>
                  <w:tcMar>
                    <w:top w:w="0" w:type="dxa"/>
                    <w:left w:w="28" w:type="dxa"/>
                    <w:bottom w:w="0" w:type="dxa"/>
                    <w:right w:w="28" w:type="dxa"/>
                  </w:tcMar>
                  <w:vAlign w:val="center"/>
                </w:tcPr>
                <w:p w14:paraId="2ECDB8A7">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PM</w:t>
                  </w:r>
                  <w:r>
                    <w:rPr>
                      <w:rFonts w:hint="default" w:ascii="Times New Roman" w:hAnsi="Times New Roman" w:eastAsia="宋体" w:cs="Times New Roman"/>
                      <w:b w:val="0"/>
                      <w:bCs/>
                      <w:color w:val="auto"/>
                      <w:kern w:val="2"/>
                      <w:sz w:val="21"/>
                      <w:szCs w:val="21"/>
                      <w:u w:val="none" w:color="auto"/>
                      <w:vertAlign w:val="subscript"/>
                      <w:lang w:val="en-US" w:eastAsia="zh-CN"/>
                    </w:rPr>
                    <w:t>2</w:t>
                  </w:r>
                  <w:r>
                    <w:rPr>
                      <w:rFonts w:hint="default" w:ascii="Times New Roman" w:hAnsi="Times New Roman" w:eastAsia="宋体" w:cs="Times New Roman"/>
                      <w:b w:val="0"/>
                      <w:bCs/>
                      <w:color w:val="auto"/>
                      <w:kern w:val="2"/>
                      <w:sz w:val="21"/>
                      <w:szCs w:val="21"/>
                      <w:u w:val="none" w:color="auto"/>
                      <w:vertAlign w:val="subscript"/>
                    </w:rPr>
                    <w:t>.5</w:t>
                  </w:r>
                </w:p>
              </w:tc>
              <w:tc>
                <w:tcPr>
                  <w:tcW w:w="1074" w:type="pct"/>
                  <w:tcBorders>
                    <w:tl2br w:val="nil"/>
                    <w:tr2bl w:val="nil"/>
                  </w:tcBorders>
                  <w:noWrap w:val="0"/>
                  <w:tcMar>
                    <w:top w:w="0" w:type="dxa"/>
                    <w:left w:w="28" w:type="dxa"/>
                    <w:bottom w:w="0" w:type="dxa"/>
                    <w:right w:w="28" w:type="dxa"/>
                  </w:tcMar>
                  <w:vAlign w:val="center"/>
                </w:tcPr>
                <w:p w14:paraId="0030F3EF">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年平均质量浓度</w:t>
                  </w:r>
                </w:p>
              </w:tc>
              <w:tc>
                <w:tcPr>
                  <w:tcW w:w="805" w:type="pct"/>
                  <w:tcBorders>
                    <w:tl2br w:val="nil"/>
                    <w:tr2bl w:val="nil"/>
                  </w:tcBorders>
                  <w:noWrap w:val="0"/>
                  <w:tcMar>
                    <w:top w:w="0" w:type="dxa"/>
                    <w:left w:w="28" w:type="dxa"/>
                    <w:bottom w:w="0" w:type="dxa"/>
                    <w:right w:w="28" w:type="dxa"/>
                  </w:tcMar>
                  <w:vAlign w:val="center"/>
                </w:tcPr>
                <w:p w14:paraId="4F010ED2">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lang w:val="en-US" w:eastAsia="zh-CN"/>
                    </w:rPr>
                  </w:pPr>
                  <w:r>
                    <w:rPr>
                      <w:rFonts w:hint="default" w:ascii="Times New Roman" w:hAnsi="Times New Roman" w:eastAsia="宋体" w:cs="Times New Roman"/>
                      <w:b w:val="0"/>
                      <w:bCs/>
                      <w:color w:val="auto"/>
                      <w:kern w:val="2"/>
                      <w:sz w:val="21"/>
                      <w:szCs w:val="21"/>
                      <w:u w:val="none" w:color="auto"/>
                      <w:lang w:val="en-US" w:eastAsia="zh-CN"/>
                    </w:rPr>
                    <w:t>49</w:t>
                  </w:r>
                </w:p>
              </w:tc>
              <w:tc>
                <w:tcPr>
                  <w:tcW w:w="959" w:type="pct"/>
                  <w:tcBorders>
                    <w:tl2br w:val="nil"/>
                    <w:tr2bl w:val="nil"/>
                  </w:tcBorders>
                  <w:noWrap w:val="0"/>
                  <w:tcMar>
                    <w:top w:w="0" w:type="dxa"/>
                    <w:left w:w="28" w:type="dxa"/>
                    <w:bottom w:w="0" w:type="dxa"/>
                    <w:right w:w="28" w:type="dxa"/>
                  </w:tcMar>
                  <w:vAlign w:val="center"/>
                </w:tcPr>
                <w:p w14:paraId="465D4FF3">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lang w:val="en-US"/>
                    </w:rPr>
                  </w:pPr>
                  <w:r>
                    <w:rPr>
                      <w:rFonts w:hint="default" w:ascii="Times New Roman" w:hAnsi="Times New Roman" w:eastAsia="宋体" w:cs="Times New Roman"/>
                      <w:b w:val="0"/>
                      <w:bCs/>
                      <w:color w:val="auto"/>
                      <w:kern w:val="2"/>
                      <w:sz w:val="21"/>
                      <w:szCs w:val="21"/>
                      <w:u w:val="none" w:color="auto"/>
                      <w:lang w:val="en-US" w:eastAsia="zh-CN"/>
                    </w:rPr>
                    <w:t>30</w:t>
                  </w:r>
                </w:p>
              </w:tc>
              <w:tc>
                <w:tcPr>
                  <w:tcW w:w="771" w:type="pct"/>
                  <w:tcBorders>
                    <w:tl2br w:val="nil"/>
                    <w:tr2bl w:val="nil"/>
                  </w:tcBorders>
                  <w:noWrap w:val="0"/>
                  <w:tcMar>
                    <w:top w:w="0" w:type="dxa"/>
                    <w:left w:w="28" w:type="dxa"/>
                    <w:bottom w:w="0" w:type="dxa"/>
                    <w:right w:w="28" w:type="dxa"/>
                  </w:tcMar>
                  <w:vAlign w:val="center"/>
                </w:tcPr>
                <w:p w14:paraId="6867F4B7">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lang w:val="en-US"/>
                    </w:rPr>
                  </w:pPr>
                  <w:r>
                    <w:rPr>
                      <w:rFonts w:hint="default" w:ascii="Times New Roman" w:hAnsi="Times New Roman" w:eastAsia="宋体" w:cs="Times New Roman"/>
                      <w:b w:val="0"/>
                      <w:bCs/>
                      <w:color w:val="auto"/>
                      <w:kern w:val="2"/>
                      <w:sz w:val="21"/>
                      <w:szCs w:val="21"/>
                      <w:u w:val="none" w:color="auto"/>
                      <w:lang w:val="en-US" w:eastAsia="zh-CN"/>
                    </w:rPr>
                    <w:t>163.3</w:t>
                  </w:r>
                </w:p>
              </w:tc>
              <w:tc>
                <w:tcPr>
                  <w:tcW w:w="873" w:type="pct"/>
                  <w:gridSpan w:val="2"/>
                  <w:tcBorders>
                    <w:tl2br w:val="nil"/>
                    <w:tr2bl w:val="nil"/>
                  </w:tcBorders>
                  <w:noWrap w:val="0"/>
                  <w:tcMar>
                    <w:top w:w="0" w:type="dxa"/>
                    <w:left w:w="28" w:type="dxa"/>
                    <w:bottom w:w="0" w:type="dxa"/>
                    <w:right w:w="28" w:type="dxa"/>
                  </w:tcMar>
                  <w:vAlign w:val="center"/>
                </w:tcPr>
                <w:p w14:paraId="555A7070">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超标</w:t>
                  </w:r>
                </w:p>
              </w:tc>
            </w:tr>
            <w:tr w14:paraId="23AB3D3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578" w:hRule="atLeast"/>
                <w:jc w:val="center"/>
              </w:trPr>
              <w:tc>
                <w:tcPr>
                  <w:tcW w:w="515" w:type="pct"/>
                  <w:tcBorders>
                    <w:tl2br w:val="nil"/>
                    <w:tr2bl w:val="nil"/>
                  </w:tcBorders>
                  <w:noWrap w:val="0"/>
                  <w:tcMar>
                    <w:top w:w="0" w:type="dxa"/>
                    <w:left w:w="28" w:type="dxa"/>
                    <w:bottom w:w="0" w:type="dxa"/>
                    <w:right w:w="28" w:type="dxa"/>
                  </w:tcMar>
                  <w:vAlign w:val="center"/>
                </w:tcPr>
                <w:p w14:paraId="78AE08F4">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SO</w:t>
                  </w:r>
                  <w:r>
                    <w:rPr>
                      <w:rFonts w:hint="default" w:ascii="Times New Roman" w:hAnsi="Times New Roman" w:eastAsia="宋体" w:cs="Times New Roman"/>
                      <w:b w:val="0"/>
                      <w:bCs/>
                      <w:color w:val="auto"/>
                      <w:kern w:val="2"/>
                      <w:sz w:val="21"/>
                      <w:szCs w:val="21"/>
                      <w:u w:val="none" w:color="auto"/>
                      <w:vertAlign w:val="subscript"/>
                    </w:rPr>
                    <w:t>2</w:t>
                  </w:r>
                </w:p>
              </w:tc>
              <w:tc>
                <w:tcPr>
                  <w:tcW w:w="1074" w:type="pct"/>
                  <w:tcBorders>
                    <w:tl2br w:val="nil"/>
                    <w:tr2bl w:val="nil"/>
                  </w:tcBorders>
                  <w:noWrap w:val="0"/>
                  <w:tcMar>
                    <w:top w:w="0" w:type="dxa"/>
                    <w:left w:w="28" w:type="dxa"/>
                    <w:bottom w:w="0" w:type="dxa"/>
                    <w:right w:w="28" w:type="dxa"/>
                  </w:tcMar>
                  <w:vAlign w:val="center"/>
                </w:tcPr>
                <w:p w14:paraId="0D1C852A">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年平均质量浓度</w:t>
                  </w:r>
                </w:p>
              </w:tc>
              <w:tc>
                <w:tcPr>
                  <w:tcW w:w="805" w:type="pct"/>
                  <w:tcBorders>
                    <w:tl2br w:val="nil"/>
                    <w:tr2bl w:val="nil"/>
                  </w:tcBorders>
                  <w:noWrap w:val="0"/>
                  <w:tcMar>
                    <w:top w:w="0" w:type="dxa"/>
                    <w:left w:w="28" w:type="dxa"/>
                    <w:bottom w:w="0" w:type="dxa"/>
                    <w:right w:w="28" w:type="dxa"/>
                  </w:tcMar>
                  <w:vAlign w:val="center"/>
                </w:tcPr>
                <w:p w14:paraId="060072D1">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lang w:val="en-US" w:eastAsia="zh-CN"/>
                    </w:rPr>
                  </w:pPr>
                  <w:r>
                    <w:rPr>
                      <w:rFonts w:hint="default" w:ascii="Times New Roman" w:hAnsi="Times New Roman" w:eastAsia="宋体" w:cs="Times New Roman"/>
                      <w:b w:val="0"/>
                      <w:bCs/>
                      <w:color w:val="auto"/>
                      <w:kern w:val="2"/>
                      <w:sz w:val="21"/>
                      <w:szCs w:val="21"/>
                      <w:u w:val="none" w:color="auto"/>
                      <w:lang w:val="en-US" w:eastAsia="zh-CN"/>
                    </w:rPr>
                    <w:t>8</w:t>
                  </w:r>
                </w:p>
              </w:tc>
              <w:tc>
                <w:tcPr>
                  <w:tcW w:w="959" w:type="pct"/>
                  <w:tcBorders>
                    <w:tl2br w:val="nil"/>
                    <w:tr2bl w:val="nil"/>
                  </w:tcBorders>
                  <w:noWrap w:val="0"/>
                  <w:tcMar>
                    <w:top w:w="0" w:type="dxa"/>
                    <w:left w:w="28" w:type="dxa"/>
                    <w:bottom w:w="0" w:type="dxa"/>
                    <w:right w:w="28" w:type="dxa"/>
                  </w:tcMar>
                  <w:vAlign w:val="center"/>
                </w:tcPr>
                <w:p w14:paraId="44061B3E">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lang w:val="en-US"/>
                    </w:rPr>
                  </w:pPr>
                  <w:r>
                    <w:rPr>
                      <w:rFonts w:hint="default" w:ascii="Times New Roman" w:hAnsi="Times New Roman" w:eastAsia="宋体" w:cs="Times New Roman"/>
                      <w:b w:val="0"/>
                      <w:bCs/>
                      <w:color w:val="auto"/>
                      <w:kern w:val="2"/>
                      <w:sz w:val="21"/>
                      <w:szCs w:val="21"/>
                      <w:u w:val="none" w:color="auto"/>
                      <w:lang w:val="en-US" w:eastAsia="zh-CN"/>
                    </w:rPr>
                    <w:t>60</w:t>
                  </w:r>
                </w:p>
              </w:tc>
              <w:tc>
                <w:tcPr>
                  <w:tcW w:w="771" w:type="pct"/>
                  <w:tcBorders>
                    <w:tl2br w:val="nil"/>
                    <w:tr2bl w:val="nil"/>
                  </w:tcBorders>
                  <w:noWrap w:val="0"/>
                  <w:tcMar>
                    <w:top w:w="0" w:type="dxa"/>
                    <w:left w:w="28" w:type="dxa"/>
                    <w:bottom w:w="0" w:type="dxa"/>
                    <w:right w:w="28" w:type="dxa"/>
                  </w:tcMar>
                  <w:vAlign w:val="center"/>
                </w:tcPr>
                <w:p w14:paraId="19B9B669">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lang w:val="en-US" w:eastAsia="zh-CN"/>
                    </w:rPr>
                    <w:t>13.3</w:t>
                  </w:r>
                </w:p>
              </w:tc>
              <w:tc>
                <w:tcPr>
                  <w:tcW w:w="873" w:type="pct"/>
                  <w:gridSpan w:val="2"/>
                  <w:tcBorders>
                    <w:tl2br w:val="nil"/>
                    <w:tr2bl w:val="nil"/>
                  </w:tcBorders>
                  <w:noWrap w:val="0"/>
                  <w:tcMar>
                    <w:top w:w="0" w:type="dxa"/>
                    <w:left w:w="28" w:type="dxa"/>
                    <w:bottom w:w="0" w:type="dxa"/>
                    <w:right w:w="28" w:type="dxa"/>
                  </w:tcMar>
                  <w:vAlign w:val="center"/>
                </w:tcPr>
                <w:p w14:paraId="1EB71561">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达标</w:t>
                  </w:r>
                </w:p>
              </w:tc>
            </w:tr>
            <w:tr w14:paraId="08DD429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578" w:hRule="atLeast"/>
                <w:jc w:val="center"/>
              </w:trPr>
              <w:tc>
                <w:tcPr>
                  <w:tcW w:w="515" w:type="pct"/>
                  <w:tcBorders>
                    <w:tl2br w:val="nil"/>
                    <w:tr2bl w:val="nil"/>
                  </w:tcBorders>
                  <w:noWrap w:val="0"/>
                  <w:tcMar>
                    <w:top w:w="0" w:type="dxa"/>
                    <w:left w:w="28" w:type="dxa"/>
                    <w:bottom w:w="0" w:type="dxa"/>
                    <w:right w:w="28" w:type="dxa"/>
                  </w:tcMar>
                  <w:vAlign w:val="center"/>
                </w:tcPr>
                <w:p w14:paraId="7706CFA4">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NO</w:t>
                  </w:r>
                  <w:r>
                    <w:rPr>
                      <w:rFonts w:hint="default" w:ascii="Times New Roman" w:hAnsi="Times New Roman" w:eastAsia="宋体" w:cs="Times New Roman"/>
                      <w:b w:val="0"/>
                      <w:bCs/>
                      <w:color w:val="auto"/>
                      <w:kern w:val="2"/>
                      <w:sz w:val="21"/>
                      <w:szCs w:val="21"/>
                      <w:u w:val="none" w:color="auto"/>
                      <w:vertAlign w:val="subscript"/>
                    </w:rPr>
                    <w:t>2</w:t>
                  </w:r>
                </w:p>
              </w:tc>
              <w:tc>
                <w:tcPr>
                  <w:tcW w:w="1074" w:type="pct"/>
                  <w:tcBorders>
                    <w:tl2br w:val="nil"/>
                    <w:tr2bl w:val="nil"/>
                  </w:tcBorders>
                  <w:noWrap w:val="0"/>
                  <w:tcMar>
                    <w:top w:w="0" w:type="dxa"/>
                    <w:left w:w="28" w:type="dxa"/>
                    <w:bottom w:w="0" w:type="dxa"/>
                    <w:right w:w="28" w:type="dxa"/>
                  </w:tcMar>
                  <w:vAlign w:val="center"/>
                </w:tcPr>
                <w:p w14:paraId="552788EE">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年平均质量浓度</w:t>
                  </w:r>
                </w:p>
              </w:tc>
              <w:tc>
                <w:tcPr>
                  <w:tcW w:w="805" w:type="pct"/>
                  <w:tcBorders>
                    <w:tl2br w:val="nil"/>
                    <w:tr2bl w:val="nil"/>
                  </w:tcBorders>
                  <w:noWrap w:val="0"/>
                  <w:tcMar>
                    <w:top w:w="0" w:type="dxa"/>
                    <w:left w:w="28" w:type="dxa"/>
                    <w:bottom w:w="0" w:type="dxa"/>
                    <w:right w:w="28" w:type="dxa"/>
                  </w:tcMar>
                  <w:vAlign w:val="center"/>
                </w:tcPr>
                <w:p w14:paraId="511D6606">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lang w:val="en-US" w:eastAsia="zh-CN"/>
                    </w:rPr>
                  </w:pPr>
                  <w:r>
                    <w:rPr>
                      <w:rFonts w:hint="default" w:ascii="Times New Roman" w:hAnsi="Times New Roman" w:eastAsia="宋体" w:cs="Times New Roman"/>
                      <w:b w:val="0"/>
                      <w:bCs/>
                      <w:color w:val="auto"/>
                      <w:kern w:val="2"/>
                      <w:sz w:val="21"/>
                      <w:szCs w:val="21"/>
                      <w:u w:val="none" w:color="auto"/>
                      <w:lang w:val="en-US" w:eastAsia="zh-CN"/>
                    </w:rPr>
                    <w:t>27</w:t>
                  </w:r>
                </w:p>
              </w:tc>
              <w:tc>
                <w:tcPr>
                  <w:tcW w:w="959" w:type="pct"/>
                  <w:tcBorders>
                    <w:tl2br w:val="nil"/>
                    <w:tr2bl w:val="nil"/>
                  </w:tcBorders>
                  <w:noWrap w:val="0"/>
                  <w:tcMar>
                    <w:top w:w="0" w:type="dxa"/>
                    <w:left w:w="28" w:type="dxa"/>
                    <w:bottom w:w="0" w:type="dxa"/>
                    <w:right w:w="28" w:type="dxa"/>
                  </w:tcMar>
                  <w:vAlign w:val="center"/>
                </w:tcPr>
                <w:p w14:paraId="64A5380B">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lang w:val="en-US"/>
                    </w:rPr>
                  </w:pPr>
                  <w:r>
                    <w:rPr>
                      <w:rFonts w:hint="default" w:ascii="Times New Roman" w:hAnsi="Times New Roman" w:eastAsia="宋体" w:cs="Times New Roman"/>
                      <w:b w:val="0"/>
                      <w:bCs/>
                      <w:color w:val="auto"/>
                      <w:kern w:val="2"/>
                      <w:sz w:val="21"/>
                      <w:szCs w:val="21"/>
                      <w:u w:val="none" w:color="auto"/>
                      <w:lang w:val="en-US" w:eastAsia="zh-CN"/>
                    </w:rPr>
                    <w:t>40</w:t>
                  </w:r>
                </w:p>
              </w:tc>
              <w:tc>
                <w:tcPr>
                  <w:tcW w:w="771" w:type="pct"/>
                  <w:tcBorders>
                    <w:tl2br w:val="nil"/>
                    <w:tr2bl w:val="nil"/>
                  </w:tcBorders>
                  <w:noWrap w:val="0"/>
                  <w:tcMar>
                    <w:top w:w="0" w:type="dxa"/>
                    <w:left w:w="28" w:type="dxa"/>
                    <w:bottom w:w="0" w:type="dxa"/>
                    <w:right w:w="28" w:type="dxa"/>
                  </w:tcMar>
                  <w:vAlign w:val="center"/>
                </w:tcPr>
                <w:p w14:paraId="203E0C1F">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lang w:val="en-US" w:eastAsia="zh-CN"/>
                    </w:rPr>
                    <w:t xml:space="preserve">90.0 </w:t>
                  </w:r>
                </w:p>
              </w:tc>
              <w:tc>
                <w:tcPr>
                  <w:tcW w:w="873" w:type="pct"/>
                  <w:gridSpan w:val="2"/>
                  <w:tcBorders>
                    <w:tl2br w:val="nil"/>
                    <w:tr2bl w:val="nil"/>
                  </w:tcBorders>
                  <w:noWrap w:val="0"/>
                  <w:tcMar>
                    <w:top w:w="0" w:type="dxa"/>
                    <w:left w:w="28" w:type="dxa"/>
                    <w:bottom w:w="0" w:type="dxa"/>
                    <w:right w:w="28" w:type="dxa"/>
                  </w:tcMar>
                  <w:vAlign w:val="center"/>
                </w:tcPr>
                <w:p w14:paraId="6DD35DD7">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达标</w:t>
                  </w:r>
                </w:p>
              </w:tc>
            </w:tr>
            <w:tr w14:paraId="0B520ED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578" w:hRule="atLeast"/>
                <w:jc w:val="center"/>
              </w:trPr>
              <w:tc>
                <w:tcPr>
                  <w:tcW w:w="515" w:type="pct"/>
                  <w:tcBorders>
                    <w:tl2br w:val="nil"/>
                    <w:tr2bl w:val="nil"/>
                  </w:tcBorders>
                  <w:noWrap w:val="0"/>
                  <w:tcMar>
                    <w:top w:w="0" w:type="dxa"/>
                    <w:left w:w="28" w:type="dxa"/>
                    <w:bottom w:w="0" w:type="dxa"/>
                    <w:right w:w="28" w:type="dxa"/>
                  </w:tcMar>
                  <w:vAlign w:val="center"/>
                </w:tcPr>
                <w:p w14:paraId="0FBA93F1">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CO</w:t>
                  </w:r>
                </w:p>
              </w:tc>
              <w:tc>
                <w:tcPr>
                  <w:tcW w:w="1074" w:type="pct"/>
                  <w:tcBorders>
                    <w:tl2br w:val="nil"/>
                    <w:tr2bl w:val="nil"/>
                  </w:tcBorders>
                  <w:noWrap w:val="0"/>
                  <w:tcMar>
                    <w:top w:w="0" w:type="dxa"/>
                    <w:left w:w="28" w:type="dxa"/>
                    <w:bottom w:w="0" w:type="dxa"/>
                    <w:right w:w="28" w:type="dxa"/>
                  </w:tcMar>
                  <w:vAlign w:val="center"/>
                </w:tcPr>
                <w:p w14:paraId="7EC54A6F">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第95百分位浓度</w:t>
                  </w:r>
                </w:p>
              </w:tc>
              <w:tc>
                <w:tcPr>
                  <w:tcW w:w="805" w:type="pct"/>
                  <w:tcBorders>
                    <w:tl2br w:val="nil"/>
                    <w:tr2bl w:val="nil"/>
                  </w:tcBorders>
                  <w:noWrap w:val="0"/>
                  <w:tcMar>
                    <w:top w:w="0" w:type="dxa"/>
                    <w:left w:w="28" w:type="dxa"/>
                    <w:bottom w:w="0" w:type="dxa"/>
                    <w:right w:w="28" w:type="dxa"/>
                  </w:tcMar>
                  <w:vAlign w:val="center"/>
                </w:tcPr>
                <w:p w14:paraId="1D9018FC">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lang w:val="en-US" w:eastAsia="zh-CN"/>
                    </w:rPr>
                  </w:pPr>
                  <w:r>
                    <w:rPr>
                      <w:rFonts w:hint="default" w:ascii="Times New Roman" w:hAnsi="Times New Roman" w:eastAsia="宋体" w:cs="Times New Roman"/>
                      <w:b w:val="0"/>
                      <w:bCs/>
                      <w:color w:val="auto"/>
                      <w:kern w:val="2"/>
                      <w:sz w:val="21"/>
                      <w:szCs w:val="21"/>
                      <w:u w:val="none" w:color="auto"/>
                      <w:lang w:val="en-US" w:eastAsia="zh-CN"/>
                    </w:rPr>
                    <w:t>1.3mg/</w:t>
                  </w:r>
                  <w:bookmarkStart w:id="23" w:name="OLE_LINK179"/>
                  <w:r>
                    <w:rPr>
                      <w:rFonts w:hint="default" w:ascii="Times New Roman" w:hAnsi="Times New Roman" w:eastAsia="宋体" w:cs="Times New Roman"/>
                      <w:b w:val="0"/>
                      <w:bCs/>
                      <w:color w:val="auto"/>
                      <w:kern w:val="2"/>
                      <w:sz w:val="21"/>
                      <w:szCs w:val="21"/>
                      <w:u w:val="none" w:color="auto"/>
                      <w:lang w:val="en-US" w:eastAsia="zh-CN"/>
                    </w:rPr>
                    <w:t>m³</w:t>
                  </w:r>
                  <w:bookmarkEnd w:id="23"/>
                </w:p>
              </w:tc>
              <w:tc>
                <w:tcPr>
                  <w:tcW w:w="959" w:type="pct"/>
                  <w:tcBorders>
                    <w:tl2br w:val="nil"/>
                    <w:tr2bl w:val="nil"/>
                  </w:tcBorders>
                  <w:noWrap w:val="0"/>
                  <w:tcMar>
                    <w:top w:w="0" w:type="dxa"/>
                    <w:left w:w="28" w:type="dxa"/>
                    <w:bottom w:w="0" w:type="dxa"/>
                    <w:right w:w="28" w:type="dxa"/>
                  </w:tcMar>
                  <w:vAlign w:val="center"/>
                </w:tcPr>
                <w:p w14:paraId="27851A31">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lang w:val="en-US" w:eastAsia="zh-CN"/>
                    </w:rPr>
                    <w:t>4mg/m³</w:t>
                  </w:r>
                </w:p>
              </w:tc>
              <w:tc>
                <w:tcPr>
                  <w:tcW w:w="771" w:type="pct"/>
                  <w:tcBorders>
                    <w:tl2br w:val="nil"/>
                    <w:tr2bl w:val="nil"/>
                  </w:tcBorders>
                  <w:noWrap w:val="0"/>
                  <w:tcMar>
                    <w:top w:w="0" w:type="dxa"/>
                    <w:left w:w="28" w:type="dxa"/>
                    <w:bottom w:w="0" w:type="dxa"/>
                    <w:right w:w="28" w:type="dxa"/>
                  </w:tcMar>
                  <w:vAlign w:val="center"/>
                </w:tcPr>
                <w:p w14:paraId="7D04EB42">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lang w:val="en-US" w:eastAsia="zh-CN"/>
                    </w:rPr>
                    <w:t xml:space="preserve">32.5 </w:t>
                  </w:r>
                </w:p>
              </w:tc>
              <w:tc>
                <w:tcPr>
                  <w:tcW w:w="873" w:type="pct"/>
                  <w:gridSpan w:val="2"/>
                  <w:tcBorders>
                    <w:tl2br w:val="nil"/>
                    <w:tr2bl w:val="nil"/>
                  </w:tcBorders>
                  <w:noWrap w:val="0"/>
                  <w:tcMar>
                    <w:top w:w="0" w:type="dxa"/>
                    <w:left w:w="28" w:type="dxa"/>
                    <w:bottom w:w="0" w:type="dxa"/>
                    <w:right w:w="28" w:type="dxa"/>
                  </w:tcMar>
                  <w:vAlign w:val="center"/>
                </w:tcPr>
                <w:p w14:paraId="4ABFE0EF">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达标</w:t>
                  </w:r>
                </w:p>
              </w:tc>
            </w:tr>
            <w:tr w14:paraId="55E9211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638" w:hRule="atLeast"/>
                <w:jc w:val="center"/>
              </w:trPr>
              <w:tc>
                <w:tcPr>
                  <w:tcW w:w="515" w:type="pct"/>
                  <w:tcBorders>
                    <w:tl2br w:val="nil"/>
                    <w:tr2bl w:val="nil"/>
                  </w:tcBorders>
                  <w:noWrap w:val="0"/>
                  <w:tcMar>
                    <w:top w:w="0" w:type="dxa"/>
                    <w:left w:w="28" w:type="dxa"/>
                    <w:bottom w:w="0" w:type="dxa"/>
                    <w:right w:w="28" w:type="dxa"/>
                  </w:tcMar>
                  <w:vAlign w:val="center"/>
                </w:tcPr>
                <w:p w14:paraId="1F22F845">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O</w:t>
                  </w:r>
                  <w:r>
                    <w:rPr>
                      <w:rFonts w:hint="default" w:ascii="Times New Roman" w:hAnsi="Times New Roman" w:eastAsia="宋体" w:cs="Times New Roman"/>
                      <w:b w:val="0"/>
                      <w:bCs/>
                      <w:color w:val="auto"/>
                      <w:kern w:val="2"/>
                      <w:sz w:val="21"/>
                      <w:szCs w:val="21"/>
                      <w:u w:val="none" w:color="auto"/>
                      <w:vertAlign w:val="subscript"/>
                    </w:rPr>
                    <w:t>3</w:t>
                  </w:r>
                </w:p>
              </w:tc>
              <w:tc>
                <w:tcPr>
                  <w:tcW w:w="1074" w:type="pct"/>
                  <w:tcBorders>
                    <w:tl2br w:val="nil"/>
                    <w:tr2bl w:val="nil"/>
                  </w:tcBorders>
                  <w:noWrap w:val="0"/>
                  <w:tcMar>
                    <w:top w:w="0" w:type="dxa"/>
                    <w:left w:w="28" w:type="dxa"/>
                    <w:bottom w:w="0" w:type="dxa"/>
                    <w:right w:w="28" w:type="dxa"/>
                  </w:tcMar>
                  <w:vAlign w:val="center"/>
                </w:tcPr>
                <w:p w14:paraId="2304105F">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第90百分位浓度</w:t>
                  </w:r>
                </w:p>
              </w:tc>
              <w:tc>
                <w:tcPr>
                  <w:tcW w:w="805" w:type="pct"/>
                  <w:tcBorders>
                    <w:tl2br w:val="nil"/>
                    <w:tr2bl w:val="nil"/>
                  </w:tcBorders>
                  <w:noWrap w:val="0"/>
                  <w:tcMar>
                    <w:top w:w="0" w:type="dxa"/>
                    <w:left w:w="28" w:type="dxa"/>
                    <w:bottom w:w="0" w:type="dxa"/>
                    <w:right w:w="28" w:type="dxa"/>
                  </w:tcMar>
                  <w:vAlign w:val="center"/>
                </w:tcPr>
                <w:p w14:paraId="700C7AC5">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1"/>
                      <w:u w:val="none" w:color="auto"/>
                      <w:lang w:val="en-US" w:eastAsia="zh-CN"/>
                    </w:rPr>
                  </w:pPr>
                  <w:r>
                    <w:rPr>
                      <w:rFonts w:hint="default" w:ascii="Times New Roman" w:hAnsi="Times New Roman" w:eastAsia="宋体" w:cs="Times New Roman"/>
                      <w:b w:val="0"/>
                      <w:bCs/>
                      <w:color w:val="auto"/>
                      <w:kern w:val="2"/>
                      <w:sz w:val="21"/>
                      <w:szCs w:val="21"/>
                      <w:u w:val="none" w:color="auto"/>
                      <w:lang w:val="en-US" w:eastAsia="zh-CN"/>
                    </w:rPr>
                    <w:t>183</w:t>
                  </w:r>
                </w:p>
              </w:tc>
              <w:tc>
                <w:tcPr>
                  <w:tcW w:w="959" w:type="pct"/>
                  <w:tcBorders>
                    <w:tl2br w:val="nil"/>
                    <w:tr2bl w:val="nil"/>
                  </w:tcBorders>
                  <w:noWrap w:val="0"/>
                  <w:tcMar>
                    <w:top w:w="0" w:type="dxa"/>
                    <w:left w:w="28" w:type="dxa"/>
                    <w:bottom w:w="0" w:type="dxa"/>
                    <w:right w:w="28" w:type="dxa"/>
                  </w:tcMar>
                  <w:vAlign w:val="center"/>
                </w:tcPr>
                <w:p w14:paraId="28C959C8">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lang w:val="en-US" w:eastAsia="zh-CN"/>
                    </w:rPr>
                    <w:t>160</w:t>
                  </w:r>
                </w:p>
              </w:tc>
              <w:tc>
                <w:tcPr>
                  <w:tcW w:w="771" w:type="pct"/>
                  <w:tcBorders>
                    <w:tl2br w:val="nil"/>
                    <w:tr2bl w:val="nil"/>
                  </w:tcBorders>
                  <w:noWrap w:val="0"/>
                  <w:tcMar>
                    <w:top w:w="0" w:type="dxa"/>
                    <w:left w:w="28" w:type="dxa"/>
                    <w:bottom w:w="0" w:type="dxa"/>
                    <w:right w:w="28" w:type="dxa"/>
                  </w:tcMar>
                  <w:vAlign w:val="center"/>
                </w:tcPr>
                <w:p w14:paraId="48039460">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lang w:val="en-US" w:eastAsia="zh-CN"/>
                    </w:rPr>
                    <w:t xml:space="preserve">114.4 </w:t>
                  </w:r>
                </w:p>
              </w:tc>
              <w:tc>
                <w:tcPr>
                  <w:tcW w:w="873" w:type="pct"/>
                  <w:gridSpan w:val="2"/>
                  <w:tcBorders>
                    <w:tl2br w:val="nil"/>
                    <w:tr2bl w:val="nil"/>
                  </w:tcBorders>
                  <w:noWrap w:val="0"/>
                  <w:tcMar>
                    <w:top w:w="0" w:type="dxa"/>
                    <w:left w:w="28" w:type="dxa"/>
                    <w:bottom w:w="0" w:type="dxa"/>
                    <w:right w:w="28" w:type="dxa"/>
                  </w:tcMar>
                  <w:vAlign w:val="center"/>
                </w:tcPr>
                <w:p w14:paraId="4804102A">
                  <w:pPr>
                    <w:pStyle w:val="51"/>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 w:val="0"/>
                      <w:bCs/>
                      <w:color w:val="auto"/>
                      <w:kern w:val="2"/>
                      <w:sz w:val="21"/>
                      <w:szCs w:val="21"/>
                      <w:u w:val="none" w:color="auto"/>
                    </w:rPr>
                  </w:pPr>
                  <w:r>
                    <w:rPr>
                      <w:rFonts w:hint="default" w:ascii="Times New Roman" w:hAnsi="Times New Roman" w:eastAsia="宋体" w:cs="Times New Roman"/>
                      <w:b w:val="0"/>
                      <w:bCs/>
                      <w:color w:val="auto"/>
                      <w:kern w:val="2"/>
                      <w:sz w:val="21"/>
                      <w:szCs w:val="21"/>
                      <w:u w:val="none" w:color="auto"/>
                    </w:rPr>
                    <w:t>超标</w:t>
                  </w:r>
                </w:p>
              </w:tc>
            </w:tr>
            <w:bookmarkEnd w:id="20"/>
            <w:bookmarkEnd w:id="21"/>
          </w:tbl>
          <w:p w14:paraId="017291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Times New Roman" w:hAnsi="Times New Roman" w:eastAsia="宋体" w:cs="Times New Roman"/>
                <w:b w:val="0"/>
                <w:bCs/>
                <w:sz w:val="24"/>
                <w:u w:val="none" w:color="auto"/>
              </w:rPr>
            </w:pPr>
            <w:bookmarkStart w:id="24" w:name="_Toc17670"/>
            <w:bookmarkStart w:id="25" w:name="_Toc21923"/>
            <w:bookmarkStart w:id="26" w:name="_Toc21280"/>
            <w:r>
              <w:rPr>
                <w:rFonts w:hint="eastAsia" w:ascii="Times New Roman" w:hAnsi="Times New Roman" w:eastAsia="宋体" w:cs="Times New Roman"/>
                <w:b w:val="0"/>
                <w:bCs/>
                <w:sz w:val="24"/>
                <w:u w:val="none" w:color="auto"/>
              </w:rPr>
              <w:t>由上表可知，</w:t>
            </w:r>
            <w:bookmarkStart w:id="27" w:name="OLE_LINK194"/>
            <w:r>
              <w:rPr>
                <w:rFonts w:hint="eastAsia" w:ascii="Times New Roman" w:hAnsi="Times New Roman" w:eastAsia="宋体" w:cs="Times New Roman"/>
                <w:b w:val="0"/>
                <w:bCs/>
                <w:sz w:val="24"/>
                <w:u w:val="none" w:color="auto"/>
                <w:lang w:val="en-US" w:eastAsia="zh-CN"/>
              </w:rPr>
              <w:t>2024年</w:t>
            </w:r>
            <w:r>
              <w:rPr>
                <w:rFonts w:hint="eastAsia" w:ascii="Times New Roman" w:hAnsi="Times New Roman" w:eastAsia="宋体" w:cs="Times New Roman"/>
                <w:b w:val="0"/>
                <w:bCs/>
                <w:sz w:val="24"/>
                <w:u w:val="none" w:color="auto"/>
              </w:rPr>
              <w:t>新乡市空气质量中P</w:t>
            </w:r>
            <w:bookmarkStart w:id="28" w:name="OLE_LINK34"/>
            <w:r>
              <w:rPr>
                <w:rFonts w:hint="eastAsia" w:ascii="Times New Roman" w:hAnsi="Times New Roman" w:eastAsia="宋体" w:cs="Times New Roman"/>
                <w:b w:val="0"/>
                <w:bCs/>
                <w:sz w:val="24"/>
                <w:u w:val="none" w:color="auto"/>
              </w:rPr>
              <w:t>M</w:t>
            </w:r>
            <w:bookmarkEnd w:id="28"/>
            <w:r>
              <w:rPr>
                <w:rFonts w:hint="eastAsia" w:ascii="Times New Roman" w:hAnsi="Times New Roman" w:eastAsia="宋体" w:cs="Times New Roman"/>
                <w:b w:val="0"/>
                <w:bCs/>
                <w:sz w:val="24"/>
                <w:u w:val="none" w:color="auto"/>
                <w:vertAlign w:val="subscript"/>
              </w:rPr>
              <w:t>10</w:t>
            </w:r>
            <w:r>
              <w:rPr>
                <w:rFonts w:hint="eastAsia" w:ascii="Times New Roman" w:hAnsi="Times New Roman" w:eastAsia="宋体" w:cs="Times New Roman"/>
                <w:b w:val="0"/>
                <w:bCs/>
                <w:sz w:val="24"/>
                <w:u w:val="none" w:color="auto"/>
              </w:rPr>
              <w:t>、PM</w:t>
            </w:r>
            <w:r>
              <w:rPr>
                <w:rFonts w:hint="eastAsia" w:ascii="Times New Roman" w:hAnsi="Times New Roman" w:eastAsia="宋体" w:cs="Times New Roman"/>
                <w:b w:val="0"/>
                <w:bCs/>
                <w:sz w:val="24"/>
                <w:u w:val="none" w:color="auto"/>
                <w:vertAlign w:val="subscript"/>
                <w:lang w:val="en-US" w:eastAsia="zh-CN"/>
              </w:rPr>
              <w:t>2</w:t>
            </w:r>
            <w:r>
              <w:rPr>
                <w:rFonts w:hint="eastAsia" w:ascii="Times New Roman" w:hAnsi="Times New Roman" w:eastAsia="宋体" w:cs="Times New Roman"/>
                <w:b w:val="0"/>
                <w:bCs/>
                <w:sz w:val="24"/>
                <w:u w:val="none" w:color="auto"/>
                <w:vertAlign w:val="subscript"/>
              </w:rPr>
              <w:t>.5</w:t>
            </w:r>
            <w:r>
              <w:rPr>
                <w:rFonts w:hint="eastAsia" w:ascii="Times New Roman" w:hAnsi="Times New Roman" w:eastAsia="宋体" w:cs="Times New Roman"/>
                <w:b w:val="0"/>
                <w:bCs/>
                <w:sz w:val="24"/>
                <w:u w:val="none" w:color="auto"/>
              </w:rPr>
              <w:t>、O</w:t>
            </w:r>
            <w:r>
              <w:rPr>
                <w:rFonts w:hint="eastAsia" w:ascii="Times New Roman" w:hAnsi="Times New Roman" w:eastAsia="宋体" w:cs="Times New Roman"/>
                <w:b w:val="0"/>
                <w:bCs/>
                <w:sz w:val="24"/>
                <w:u w:val="none" w:color="auto"/>
                <w:vertAlign w:val="subscript"/>
              </w:rPr>
              <w:t>3</w:t>
            </w:r>
            <w:r>
              <w:rPr>
                <w:rFonts w:hint="eastAsia" w:ascii="Times New Roman" w:hAnsi="Times New Roman" w:eastAsia="宋体" w:cs="Times New Roman"/>
                <w:b w:val="0"/>
                <w:bCs/>
                <w:sz w:val="24"/>
                <w:u w:val="none" w:color="auto"/>
              </w:rPr>
              <w:t>均</w:t>
            </w:r>
            <w:bookmarkStart w:id="29" w:name="OLE_LINK192"/>
            <w:r>
              <w:rPr>
                <w:rFonts w:hint="eastAsia" w:ascii="Times New Roman" w:hAnsi="Times New Roman" w:eastAsia="宋体" w:cs="Times New Roman"/>
                <w:b w:val="0"/>
                <w:bCs/>
                <w:sz w:val="24"/>
                <w:u w:val="none" w:color="auto"/>
                <w:lang w:val="en-US" w:eastAsia="zh-CN"/>
              </w:rPr>
              <w:t>未达到</w:t>
            </w:r>
            <w:r>
              <w:rPr>
                <w:rFonts w:hint="eastAsia" w:ascii="Times New Roman" w:hAnsi="Times New Roman" w:eastAsia="宋体" w:cs="Times New Roman"/>
                <w:b w:val="0"/>
                <w:bCs/>
                <w:sz w:val="24"/>
                <w:u w:val="none" w:color="auto"/>
              </w:rPr>
              <w:t>《环境空气质量标准》（GB3095-</w:t>
            </w:r>
            <w:r>
              <w:rPr>
                <w:rFonts w:hint="eastAsia" w:cs="Times New Roman"/>
                <w:b w:val="0"/>
                <w:bCs/>
                <w:sz w:val="24"/>
                <w:u w:val="none" w:color="auto"/>
                <w:lang w:val="en-US" w:eastAsia="zh-CN"/>
              </w:rPr>
              <w:t>2026</w:t>
            </w:r>
            <w:r>
              <w:rPr>
                <w:rFonts w:hint="eastAsia" w:ascii="Times New Roman" w:hAnsi="Times New Roman" w:eastAsia="宋体" w:cs="Times New Roman"/>
                <w:b w:val="0"/>
                <w:bCs/>
                <w:sz w:val="24"/>
                <w:u w:val="none" w:color="auto"/>
              </w:rPr>
              <w:t>）</w:t>
            </w:r>
            <w:bookmarkEnd w:id="29"/>
            <w:r>
              <w:rPr>
                <w:rFonts w:hint="eastAsia" w:ascii="Times New Roman" w:hAnsi="Times New Roman" w:eastAsia="宋体" w:cs="Times New Roman"/>
                <w:b w:val="0"/>
                <w:bCs/>
                <w:sz w:val="24"/>
                <w:u w:val="none" w:color="auto"/>
              </w:rPr>
              <w:t>二级标准</w:t>
            </w:r>
            <w:r>
              <w:rPr>
                <w:rFonts w:hint="eastAsia" w:ascii="Times New Roman" w:hAnsi="Times New Roman" w:eastAsia="宋体" w:cs="Times New Roman"/>
                <w:b w:val="0"/>
                <w:bCs/>
                <w:sz w:val="24"/>
                <w:u w:val="none" w:color="auto"/>
                <w:lang w:eastAsia="zh-CN"/>
              </w:rPr>
              <w:t>，</w:t>
            </w:r>
            <w:bookmarkEnd w:id="27"/>
            <w:r>
              <w:rPr>
                <w:rFonts w:hint="eastAsia" w:ascii="Times New Roman" w:hAnsi="Times New Roman" w:eastAsia="宋体" w:cs="Times New Roman"/>
                <w:b w:val="0"/>
                <w:bCs/>
                <w:sz w:val="24"/>
                <w:u w:val="none" w:color="auto"/>
              </w:rPr>
              <w:t>目前，新乡市正在实施新乡市生态环境保护委员会办公室关于印发</w:t>
            </w:r>
            <w:r>
              <w:rPr>
                <w:rFonts w:hint="eastAsia" w:ascii="Times New Roman" w:hAnsi="Times New Roman" w:eastAsia="宋体" w:cs="Times New Roman"/>
                <w:b w:val="0"/>
                <w:bCs/>
                <w:sz w:val="24"/>
                <w:u w:val="none" w:color="auto"/>
                <w:lang w:eastAsia="zh-CN"/>
              </w:rPr>
              <w:t>《</w:t>
            </w:r>
            <w:r>
              <w:rPr>
                <w:rFonts w:hint="eastAsia" w:ascii="Times New Roman" w:hAnsi="Times New Roman" w:eastAsia="宋体" w:cs="Times New Roman"/>
                <w:b w:val="0"/>
                <w:bCs/>
                <w:sz w:val="24"/>
                <w:u w:val="none" w:color="auto"/>
              </w:rPr>
              <w:t>新乡市</w:t>
            </w:r>
            <w:r>
              <w:rPr>
                <w:rFonts w:hint="eastAsia" w:cs="Times New Roman"/>
                <w:b w:val="0"/>
                <w:bCs/>
                <w:sz w:val="24"/>
                <w:u w:val="none" w:color="auto"/>
                <w:lang w:val="en-US" w:eastAsia="zh-CN"/>
              </w:rPr>
              <w:t>2026</w:t>
            </w:r>
            <w:r>
              <w:rPr>
                <w:rFonts w:hint="eastAsia" w:ascii="Times New Roman" w:hAnsi="Times New Roman" w:eastAsia="宋体" w:cs="Times New Roman"/>
                <w:b w:val="0"/>
                <w:bCs/>
                <w:sz w:val="24"/>
                <w:u w:val="none" w:color="auto"/>
              </w:rPr>
              <w:t>年蓝天保卫战实施方案》的通知等一系列措施，实施这些方案将不断改善区域大气环境质量。</w:t>
            </w:r>
          </w:p>
          <w:p w14:paraId="79162334">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Times New Roman" w:hAnsi="Times New Roman" w:eastAsia="宋体" w:cs="Times New Roman"/>
                <w:b/>
                <w:bCs/>
                <w:sz w:val="24"/>
                <w:u w:val="none" w:color="auto"/>
                <w:lang w:val="en-US" w:eastAsia="zh-CN"/>
              </w:rPr>
            </w:pPr>
            <w:r>
              <w:rPr>
                <w:rFonts w:hint="eastAsia" w:cs="Times New Roman"/>
                <w:b/>
                <w:bCs/>
                <w:sz w:val="24"/>
                <w:u w:val="none" w:color="auto"/>
                <w:lang w:val="en-US" w:eastAsia="zh-CN"/>
              </w:rPr>
              <w:t>2</w:t>
            </w:r>
            <w:r>
              <w:rPr>
                <w:rFonts w:hint="eastAsia" w:ascii="Times New Roman" w:hAnsi="Times New Roman" w:eastAsia="宋体" w:cs="Times New Roman"/>
                <w:b/>
                <w:bCs/>
                <w:sz w:val="24"/>
                <w:u w:val="none" w:color="auto"/>
              </w:rPr>
              <w:t>、地表水</w:t>
            </w:r>
            <w:bookmarkEnd w:id="24"/>
            <w:bookmarkEnd w:id="25"/>
            <w:r>
              <w:rPr>
                <w:rFonts w:hint="eastAsia" w:ascii="Times New Roman" w:hAnsi="Times New Roman" w:eastAsia="宋体" w:cs="Times New Roman"/>
                <w:b/>
                <w:bCs/>
                <w:sz w:val="24"/>
                <w:u w:val="none" w:color="auto"/>
              </w:rPr>
              <w:t>环境</w:t>
            </w:r>
            <w:bookmarkEnd w:id="26"/>
            <w:r>
              <w:rPr>
                <w:rFonts w:hint="eastAsia" w:ascii="Times New Roman" w:hAnsi="Times New Roman" w:eastAsia="宋体" w:cs="Times New Roman"/>
                <w:b/>
                <w:bCs/>
                <w:sz w:val="24"/>
                <w:u w:val="none" w:color="auto"/>
                <w:lang w:val="en-US" w:eastAsia="zh-CN"/>
              </w:rPr>
              <w:t>现状</w:t>
            </w:r>
          </w:p>
          <w:p w14:paraId="4C446C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color w:val="0000FF"/>
                <w:sz w:val="24"/>
                <w:highlight w:val="none"/>
                <w:u w:val="none" w:color="auto"/>
              </w:rPr>
            </w:pPr>
            <w:r>
              <w:rPr>
                <w:rFonts w:hint="eastAsia"/>
                <w:color w:val="000000"/>
                <w:sz w:val="24"/>
                <w:u w:val="none" w:color="auto"/>
              </w:rPr>
              <w:t>本项目</w:t>
            </w:r>
            <w:r>
              <w:rPr>
                <w:rFonts w:hint="eastAsia"/>
                <w:color w:val="000000"/>
                <w:sz w:val="24"/>
                <w:u w:val="none" w:color="auto"/>
                <w:lang w:val="en-US" w:eastAsia="zh-CN"/>
              </w:rPr>
              <w:t>纳污水体为东孟姜女河。根据</w:t>
            </w:r>
            <w:r>
              <w:rPr>
                <w:rFonts w:hint="eastAsia"/>
                <w:color w:val="000000"/>
                <w:sz w:val="24"/>
                <w:u w:val="none" w:color="auto"/>
                <w:lang w:eastAsia="zh-CN"/>
              </w:rPr>
              <w:t>《新乡市生态环境局关于印发2025年地表水环境质量目标的函》，</w:t>
            </w:r>
            <w:r>
              <w:rPr>
                <w:rFonts w:hint="eastAsia"/>
                <w:color w:val="000000"/>
                <w:sz w:val="24"/>
                <w:u w:val="none" w:color="auto"/>
                <w:lang w:val="en-US" w:eastAsia="zh-CN"/>
              </w:rPr>
              <w:t>东</w:t>
            </w:r>
            <w:r>
              <w:rPr>
                <w:rFonts w:hint="eastAsia"/>
                <w:color w:val="000000"/>
                <w:sz w:val="24"/>
                <w:u w:val="none" w:color="auto"/>
                <w:lang w:eastAsia="zh-CN"/>
              </w:rPr>
              <w:t>孟姜女河2025年</w:t>
            </w:r>
            <w:r>
              <w:rPr>
                <w:rFonts w:hint="eastAsia"/>
                <w:color w:val="000000"/>
                <w:sz w:val="24"/>
                <w:u w:val="none" w:color="auto"/>
                <w:lang w:val="en-US" w:eastAsia="zh-CN"/>
              </w:rPr>
              <w:t>地表水环境质量目标为</w:t>
            </w:r>
            <w:r>
              <w:rPr>
                <w:rFonts w:hint="default" w:ascii="Times New Roman" w:hAnsi="Times New Roman" w:cs="Times New Roman"/>
                <w:color w:val="000000"/>
                <w:sz w:val="24"/>
                <w:u w:val="none" w:color="auto"/>
                <w:lang w:eastAsia="zh-CN"/>
              </w:rPr>
              <w:t>Ⅲ</w:t>
            </w:r>
            <w:r>
              <w:rPr>
                <w:rFonts w:hint="eastAsia"/>
                <w:color w:val="000000"/>
                <w:sz w:val="24"/>
                <w:u w:val="none" w:color="auto"/>
                <w:lang w:eastAsia="zh-CN"/>
              </w:rPr>
              <w:t>类，</w:t>
            </w:r>
            <w:r>
              <w:rPr>
                <w:rFonts w:hint="eastAsia"/>
                <w:color w:val="000000"/>
                <w:sz w:val="24"/>
                <w:u w:val="none" w:color="auto"/>
                <w:lang w:val="en-US" w:eastAsia="zh-CN"/>
              </w:rPr>
              <w:t>本评价引用</w:t>
            </w:r>
            <w:r>
              <w:rPr>
                <w:rFonts w:hint="eastAsia"/>
                <w:color w:val="auto"/>
                <w:sz w:val="24"/>
                <w:highlight w:val="none"/>
                <w:u w:val="none" w:color="auto"/>
              </w:rPr>
              <w:t>新乡市环境监测站对</w:t>
            </w:r>
            <w:r>
              <w:rPr>
                <w:rFonts w:hint="eastAsia"/>
                <w:color w:val="auto"/>
                <w:sz w:val="24"/>
                <w:highlight w:val="none"/>
                <w:u w:val="none" w:color="auto"/>
                <w:lang w:val="en-US" w:eastAsia="zh-CN"/>
              </w:rPr>
              <w:t>东孟姜女河南环桥</w:t>
            </w:r>
            <w:r>
              <w:rPr>
                <w:rFonts w:hint="eastAsia"/>
                <w:color w:val="auto"/>
                <w:sz w:val="24"/>
                <w:highlight w:val="none"/>
                <w:u w:val="none" w:color="auto"/>
              </w:rPr>
              <w:t>断面202</w:t>
            </w:r>
            <w:r>
              <w:rPr>
                <w:rFonts w:hint="eastAsia"/>
                <w:color w:val="auto"/>
                <w:sz w:val="24"/>
                <w:highlight w:val="none"/>
                <w:u w:val="none" w:color="auto"/>
                <w:lang w:val="en-US" w:eastAsia="zh-CN"/>
              </w:rPr>
              <w:t>5</w:t>
            </w:r>
            <w:r>
              <w:rPr>
                <w:rFonts w:hint="eastAsia"/>
                <w:color w:val="auto"/>
                <w:sz w:val="24"/>
                <w:highlight w:val="none"/>
                <w:u w:val="none" w:color="auto"/>
              </w:rPr>
              <w:t>年</w:t>
            </w:r>
            <w:r>
              <w:rPr>
                <w:rFonts w:hint="eastAsia"/>
                <w:color w:val="auto"/>
                <w:sz w:val="24"/>
                <w:highlight w:val="none"/>
                <w:u w:val="none" w:color="auto"/>
                <w:lang w:val="en-US" w:eastAsia="zh-CN"/>
              </w:rPr>
              <w:t>1-12</w:t>
            </w:r>
            <w:r>
              <w:rPr>
                <w:rFonts w:hint="eastAsia"/>
                <w:color w:val="auto"/>
                <w:sz w:val="24"/>
                <w:highlight w:val="none"/>
                <w:u w:val="none" w:color="auto"/>
              </w:rPr>
              <w:t>月的监测数据</w:t>
            </w:r>
            <w:r>
              <w:rPr>
                <w:rFonts w:hint="eastAsia"/>
                <w:color w:val="auto"/>
                <w:sz w:val="24"/>
                <w:highlight w:val="none"/>
                <w:u w:val="none" w:color="auto"/>
                <w:lang w:val="en-US" w:eastAsia="zh-CN"/>
              </w:rPr>
              <w:t>均值，</w:t>
            </w:r>
            <w:r>
              <w:rPr>
                <w:rFonts w:hint="eastAsia"/>
                <w:color w:val="auto"/>
                <w:sz w:val="24"/>
                <w:highlight w:val="none"/>
                <w:u w:val="none" w:color="auto"/>
              </w:rPr>
              <w:t>数据见下表。</w:t>
            </w:r>
          </w:p>
          <w:p w14:paraId="6482D8E6">
            <w:pPr>
              <w:keepNext w:val="0"/>
              <w:keepLines w:val="0"/>
              <w:suppressLineNumbers w:val="0"/>
              <w:adjustRightInd w:val="0"/>
              <w:snapToGrid w:val="0"/>
              <w:spacing w:before="0" w:beforeAutospacing="0" w:after="0" w:afterAutospacing="0" w:line="440" w:lineRule="exact"/>
              <w:ind w:right="0"/>
              <w:jc w:val="left"/>
              <w:rPr>
                <w:rFonts w:hint="eastAsia"/>
                <w:b/>
                <w:bCs/>
                <w:color w:val="auto"/>
                <w:sz w:val="24"/>
                <w:highlight w:val="none"/>
                <w:u w:val="none" w:color="auto"/>
                <w:lang w:val="en-US" w:eastAsia="zh-CN"/>
              </w:rPr>
            </w:pPr>
            <w:r>
              <w:rPr>
                <w:rFonts w:hint="eastAsia" w:ascii="Times New Roman" w:hAnsi="宋体" w:eastAsia="宋体" w:cs="Times New Roman"/>
                <w:b/>
                <w:sz w:val="24"/>
                <w:u w:val="none" w:color="auto"/>
                <w:lang w:val="en-US" w:eastAsia="zh-CN"/>
              </w:rPr>
              <w:t xml:space="preserve">表3-2  </w:t>
            </w:r>
            <w:r>
              <w:rPr>
                <w:rFonts w:hint="eastAsia"/>
                <w:b/>
                <w:bCs w:val="0"/>
                <w:color w:val="auto"/>
                <w:sz w:val="24"/>
                <w:highlight w:val="none"/>
                <w:u w:val="none" w:color="auto"/>
                <w:lang w:val="en-US" w:eastAsia="zh-CN"/>
              </w:rPr>
              <w:t>东孟姜女河南环桥</w:t>
            </w:r>
            <w:r>
              <w:rPr>
                <w:rFonts w:hint="eastAsia" w:ascii="宋体" w:hAnsi="宋体"/>
                <w:b/>
                <w:bCs w:val="0"/>
                <w:color w:val="auto"/>
                <w:sz w:val="24"/>
                <w:highlight w:val="none"/>
                <w:u w:val="none" w:color="auto"/>
                <w:lang w:val="en-US" w:eastAsia="zh-CN"/>
              </w:rPr>
              <w:t>断面监测</w:t>
            </w:r>
            <w:r>
              <w:rPr>
                <w:rFonts w:hint="eastAsia" w:ascii="宋体" w:hAnsi="宋体"/>
                <w:b/>
                <w:bCs/>
                <w:color w:val="auto"/>
                <w:sz w:val="24"/>
                <w:highlight w:val="none"/>
                <w:u w:val="none" w:color="auto"/>
                <w:lang w:val="en-US" w:eastAsia="zh-CN"/>
              </w:rPr>
              <w:t>数据</w:t>
            </w:r>
            <w:r>
              <w:rPr>
                <w:rFonts w:hint="eastAsia"/>
                <w:b/>
                <w:bCs/>
                <w:color w:val="auto"/>
                <w:sz w:val="24"/>
                <w:highlight w:val="none"/>
                <w:u w:val="none" w:color="auto"/>
                <w:lang w:val="en-US" w:eastAsia="zh-CN"/>
              </w:rPr>
              <w:t>（2025年1-12月均值） 单位（mg/L）</w:t>
            </w:r>
          </w:p>
          <w:tbl>
            <w:tblPr>
              <w:tblStyle w:val="32"/>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11"/>
              <w:gridCol w:w="2040"/>
              <w:gridCol w:w="2075"/>
              <w:gridCol w:w="1968"/>
            </w:tblGrid>
            <w:tr w14:paraId="7BDA5EC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1" w:type="dxa"/>
                  <w:tcBorders>
                    <w:bottom w:val="single" w:color="000000" w:sz="8" w:space="0"/>
                    <w:tl2br w:val="nil"/>
                    <w:tr2bl w:val="nil"/>
                  </w:tcBorders>
                  <w:noWrap/>
                  <w:vAlign w:val="center"/>
                </w:tcPr>
                <w:p w14:paraId="581C68F4">
                  <w:pPr>
                    <w:adjustRightInd w:val="0"/>
                    <w:snapToGrid w:val="0"/>
                    <w:jc w:val="center"/>
                    <w:rPr>
                      <w:rFonts w:hint="default" w:ascii="Times New Roman" w:hAnsi="Times New Roman" w:eastAsia="宋体" w:cs="Times New Roman"/>
                      <w:b/>
                      <w:color w:val="000000" w:themeColor="text1"/>
                      <w:szCs w:val="21"/>
                      <w:u w:val="none" w:color="auto"/>
                      <w14:textFill>
                        <w14:solidFill>
                          <w14:schemeClr w14:val="tx1"/>
                        </w14:solidFill>
                      </w14:textFill>
                    </w:rPr>
                  </w:pPr>
                  <w:r>
                    <w:rPr>
                      <w:rFonts w:hint="default" w:ascii="Times New Roman" w:hAnsi="Times New Roman" w:eastAsia="宋体" w:cs="Times New Roman"/>
                      <w:b/>
                      <w:color w:val="000000" w:themeColor="text1"/>
                      <w:szCs w:val="21"/>
                      <w:u w:val="none" w:color="auto"/>
                      <w14:textFill>
                        <w14:solidFill>
                          <w14:schemeClr w14:val="tx1"/>
                        </w14:solidFill>
                      </w14:textFill>
                    </w:rPr>
                    <w:t>监测因子</w:t>
                  </w:r>
                </w:p>
              </w:tc>
              <w:tc>
                <w:tcPr>
                  <w:tcW w:w="2040" w:type="dxa"/>
                  <w:tcBorders>
                    <w:bottom w:val="single" w:color="000000" w:sz="8" w:space="0"/>
                    <w:tl2br w:val="nil"/>
                    <w:tr2bl w:val="nil"/>
                  </w:tcBorders>
                  <w:noWrap/>
                  <w:vAlign w:val="center"/>
                </w:tcPr>
                <w:p w14:paraId="6CF38594">
                  <w:pPr>
                    <w:adjustRightInd w:val="0"/>
                    <w:snapToGrid w:val="0"/>
                    <w:jc w:val="center"/>
                    <w:rPr>
                      <w:rFonts w:hint="default" w:ascii="Times New Roman" w:hAnsi="Times New Roman" w:eastAsia="宋体" w:cs="Times New Roman"/>
                      <w:b/>
                      <w:color w:val="000000" w:themeColor="text1"/>
                      <w:szCs w:val="21"/>
                      <w:u w:val="none" w:color="auto"/>
                      <w14:textFill>
                        <w14:solidFill>
                          <w14:schemeClr w14:val="tx1"/>
                        </w14:solidFill>
                      </w14:textFill>
                    </w:rPr>
                  </w:pPr>
                  <w:r>
                    <w:rPr>
                      <w:rFonts w:hint="default" w:ascii="Times New Roman" w:hAnsi="Times New Roman" w:eastAsia="宋体" w:cs="Times New Roman"/>
                      <w:b/>
                      <w:color w:val="000000" w:themeColor="text1"/>
                      <w:szCs w:val="21"/>
                      <w:u w:val="none" w:color="auto"/>
                      <w14:textFill>
                        <w14:solidFill>
                          <w14:schemeClr w14:val="tx1"/>
                        </w14:solidFill>
                      </w14:textFill>
                    </w:rPr>
                    <w:t>COD</w:t>
                  </w:r>
                </w:p>
              </w:tc>
              <w:tc>
                <w:tcPr>
                  <w:tcW w:w="2075" w:type="dxa"/>
                  <w:tcBorders>
                    <w:bottom w:val="single" w:color="000000" w:sz="8" w:space="0"/>
                    <w:tl2br w:val="nil"/>
                    <w:tr2bl w:val="nil"/>
                  </w:tcBorders>
                  <w:vAlign w:val="center"/>
                </w:tcPr>
                <w:p w14:paraId="43A8ECD8">
                  <w:pPr>
                    <w:adjustRightInd w:val="0"/>
                    <w:snapToGrid w:val="0"/>
                    <w:jc w:val="center"/>
                    <w:rPr>
                      <w:rFonts w:hint="default" w:ascii="Times New Roman" w:hAnsi="Times New Roman" w:eastAsia="宋体" w:cs="Times New Roman"/>
                      <w:b/>
                      <w:color w:val="000000" w:themeColor="text1"/>
                      <w:szCs w:val="21"/>
                      <w:u w:val="none" w:color="auto"/>
                      <w14:textFill>
                        <w14:solidFill>
                          <w14:schemeClr w14:val="tx1"/>
                        </w14:solidFill>
                      </w14:textFill>
                    </w:rPr>
                  </w:pPr>
                  <w:r>
                    <w:rPr>
                      <w:rFonts w:hint="default" w:ascii="Times New Roman" w:hAnsi="Times New Roman" w:eastAsia="宋体" w:cs="Times New Roman"/>
                      <w:b/>
                      <w:color w:val="000000" w:themeColor="text1"/>
                      <w:szCs w:val="21"/>
                      <w:u w:val="none" w:color="auto"/>
                      <w14:textFill>
                        <w14:solidFill>
                          <w14:schemeClr w14:val="tx1"/>
                        </w14:solidFill>
                      </w14:textFill>
                    </w:rPr>
                    <w:t>NH</w:t>
                  </w:r>
                  <w:r>
                    <w:rPr>
                      <w:rFonts w:hint="default" w:ascii="Times New Roman" w:hAnsi="Times New Roman" w:eastAsia="宋体" w:cs="Times New Roman"/>
                      <w:b/>
                      <w:color w:val="000000" w:themeColor="text1"/>
                      <w:szCs w:val="21"/>
                      <w:u w:val="none" w:color="auto"/>
                      <w:vertAlign w:val="subscript"/>
                      <w14:textFill>
                        <w14:solidFill>
                          <w14:schemeClr w14:val="tx1"/>
                        </w14:solidFill>
                      </w14:textFill>
                    </w:rPr>
                    <w:t>3</w:t>
                  </w:r>
                  <w:r>
                    <w:rPr>
                      <w:rFonts w:hint="default" w:ascii="Times New Roman" w:hAnsi="Times New Roman" w:eastAsia="宋体" w:cs="Times New Roman"/>
                      <w:b/>
                      <w:color w:val="000000" w:themeColor="text1"/>
                      <w:szCs w:val="21"/>
                      <w:u w:val="none" w:color="auto"/>
                      <w14:textFill>
                        <w14:solidFill>
                          <w14:schemeClr w14:val="tx1"/>
                        </w14:solidFill>
                      </w14:textFill>
                    </w:rPr>
                    <w:t>-N</w:t>
                  </w:r>
                </w:p>
              </w:tc>
              <w:tc>
                <w:tcPr>
                  <w:tcW w:w="1968" w:type="dxa"/>
                  <w:tcBorders>
                    <w:bottom w:val="single" w:color="000000" w:sz="8" w:space="0"/>
                    <w:tl2br w:val="nil"/>
                    <w:tr2bl w:val="nil"/>
                  </w:tcBorders>
                  <w:vAlign w:val="center"/>
                </w:tcPr>
                <w:p w14:paraId="6A9E29F7">
                  <w:pPr>
                    <w:adjustRightInd w:val="0"/>
                    <w:snapToGrid w:val="0"/>
                    <w:jc w:val="center"/>
                    <w:rPr>
                      <w:rFonts w:hint="default" w:ascii="Times New Roman" w:hAnsi="Times New Roman" w:eastAsia="宋体" w:cs="Times New Roman"/>
                      <w:b/>
                      <w:color w:val="000000" w:themeColor="text1"/>
                      <w:szCs w:val="21"/>
                      <w:u w:val="none" w:color="auto"/>
                      <w14:textFill>
                        <w14:solidFill>
                          <w14:schemeClr w14:val="tx1"/>
                        </w14:solidFill>
                      </w14:textFill>
                    </w:rPr>
                  </w:pPr>
                  <w:r>
                    <w:rPr>
                      <w:rFonts w:hint="default" w:ascii="Times New Roman" w:hAnsi="Times New Roman" w:eastAsia="宋体" w:cs="Times New Roman"/>
                      <w:b/>
                      <w:color w:val="000000" w:themeColor="text1"/>
                      <w:szCs w:val="21"/>
                      <w:u w:val="none" w:color="auto"/>
                      <w14:textFill>
                        <w14:solidFill>
                          <w14:schemeClr w14:val="tx1"/>
                        </w14:solidFill>
                      </w14:textFill>
                    </w:rPr>
                    <w:t>TP</w:t>
                  </w:r>
                </w:p>
              </w:tc>
            </w:tr>
            <w:tr w14:paraId="6D19F95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1" w:type="dxa"/>
                  <w:tcBorders>
                    <w:top w:val="single" w:color="000000" w:sz="8" w:space="0"/>
                    <w:tl2br w:val="nil"/>
                    <w:tr2bl w:val="nil"/>
                  </w:tcBorders>
                  <w:noWrap/>
                  <w:vAlign w:val="center"/>
                </w:tcPr>
                <w:p w14:paraId="17D884C7">
                  <w:pPr>
                    <w:adjustRightInd w:val="0"/>
                    <w:snapToGrid w:val="0"/>
                    <w:jc w:val="center"/>
                    <w:rPr>
                      <w:rFonts w:hint="default" w:ascii="Times New Roman" w:hAnsi="Times New Roman" w:eastAsia="宋体" w:cs="Times New Roman"/>
                      <w:color w:val="000000" w:themeColor="text1"/>
                      <w:szCs w:val="21"/>
                      <w:u w:val="none" w:color="auto"/>
                      <w14:textFill>
                        <w14:solidFill>
                          <w14:schemeClr w14:val="tx1"/>
                        </w14:solidFill>
                      </w14:textFill>
                    </w:rPr>
                  </w:pPr>
                  <w:r>
                    <w:rPr>
                      <w:rFonts w:hint="default" w:ascii="Times New Roman" w:hAnsi="Times New Roman" w:eastAsia="宋体" w:cs="Times New Roman"/>
                      <w:color w:val="000000" w:themeColor="text1"/>
                      <w:szCs w:val="21"/>
                      <w:u w:val="none" w:color="auto"/>
                      <w14:textFill>
                        <w14:solidFill>
                          <w14:schemeClr w14:val="tx1"/>
                        </w14:solidFill>
                      </w14:textFill>
                    </w:rPr>
                    <w:t>监测数据（年均）</w:t>
                  </w:r>
                </w:p>
              </w:tc>
              <w:tc>
                <w:tcPr>
                  <w:tcW w:w="2040" w:type="dxa"/>
                  <w:tcBorders>
                    <w:top w:val="single" w:color="000000" w:sz="8" w:space="0"/>
                    <w:tl2br w:val="nil"/>
                    <w:tr2bl w:val="nil"/>
                  </w:tcBorders>
                  <w:noWrap/>
                  <w:vAlign w:val="center"/>
                </w:tcPr>
                <w:p w14:paraId="38353FFF">
                  <w:pPr>
                    <w:jc w:val="center"/>
                    <w:rPr>
                      <w:rFonts w:hint="default" w:ascii="Times New Roman" w:hAnsi="Times New Roman" w:eastAsia="宋体" w:cs="Times New Roman"/>
                      <w:sz w:val="22"/>
                      <w:szCs w:val="22"/>
                      <w:u w:val="none" w:color="auto"/>
                      <w:lang w:val="en-US" w:eastAsia="zh-CN"/>
                    </w:rPr>
                  </w:pPr>
                  <w:r>
                    <w:rPr>
                      <w:rFonts w:hint="eastAsia" w:cs="Times New Roman"/>
                      <w:sz w:val="22"/>
                      <w:szCs w:val="22"/>
                      <w:u w:val="none" w:color="auto"/>
                      <w:lang w:val="en-US" w:eastAsia="zh-CN"/>
                    </w:rPr>
                    <w:t>25.6</w:t>
                  </w:r>
                </w:p>
              </w:tc>
              <w:tc>
                <w:tcPr>
                  <w:tcW w:w="2075" w:type="dxa"/>
                  <w:tcBorders>
                    <w:top w:val="single" w:color="000000" w:sz="8" w:space="0"/>
                    <w:tl2br w:val="nil"/>
                    <w:tr2bl w:val="nil"/>
                  </w:tcBorders>
                  <w:vAlign w:val="center"/>
                </w:tcPr>
                <w:p w14:paraId="71A7B5BA">
                  <w:pPr>
                    <w:jc w:val="center"/>
                    <w:rPr>
                      <w:rFonts w:hint="default" w:ascii="Times New Roman" w:hAnsi="Times New Roman" w:eastAsia="宋体" w:cs="Times New Roman"/>
                      <w:sz w:val="22"/>
                      <w:szCs w:val="22"/>
                      <w:u w:val="none" w:color="auto"/>
                      <w:lang w:val="en-US" w:eastAsia="zh-CN"/>
                    </w:rPr>
                  </w:pPr>
                  <w:r>
                    <w:rPr>
                      <w:rFonts w:hint="eastAsia" w:cs="Times New Roman"/>
                      <w:sz w:val="22"/>
                      <w:szCs w:val="22"/>
                      <w:u w:val="none" w:color="auto"/>
                      <w:lang w:val="en-US" w:eastAsia="zh-CN"/>
                    </w:rPr>
                    <w:t>0.62</w:t>
                  </w:r>
                </w:p>
              </w:tc>
              <w:tc>
                <w:tcPr>
                  <w:tcW w:w="1968" w:type="dxa"/>
                  <w:tcBorders>
                    <w:top w:val="single" w:color="000000" w:sz="8" w:space="0"/>
                    <w:tl2br w:val="nil"/>
                    <w:tr2bl w:val="nil"/>
                  </w:tcBorders>
                  <w:vAlign w:val="center"/>
                </w:tcPr>
                <w:p w14:paraId="06E97D37">
                  <w:pPr>
                    <w:jc w:val="center"/>
                    <w:rPr>
                      <w:rFonts w:hint="default" w:ascii="Times New Roman" w:hAnsi="Times New Roman" w:eastAsia="宋体" w:cs="Times New Roman"/>
                      <w:sz w:val="22"/>
                      <w:szCs w:val="22"/>
                      <w:u w:val="none" w:color="auto"/>
                      <w:lang w:val="en-US" w:eastAsia="zh-CN"/>
                    </w:rPr>
                  </w:pPr>
                  <w:r>
                    <w:rPr>
                      <w:rFonts w:hint="eastAsia" w:cs="Times New Roman"/>
                      <w:sz w:val="22"/>
                      <w:szCs w:val="22"/>
                      <w:u w:val="none" w:color="auto"/>
                      <w:lang w:val="en-US" w:eastAsia="zh-CN"/>
                    </w:rPr>
                    <w:t>0.104</w:t>
                  </w:r>
                </w:p>
              </w:tc>
            </w:tr>
            <w:tr w14:paraId="543D483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1" w:type="dxa"/>
                  <w:tcBorders>
                    <w:tl2br w:val="nil"/>
                    <w:tr2bl w:val="nil"/>
                  </w:tcBorders>
                  <w:noWrap/>
                  <w:vAlign w:val="center"/>
                </w:tcPr>
                <w:p w14:paraId="7B256D48">
                  <w:pPr>
                    <w:adjustRightInd w:val="0"/>
                    <w:snapToGrid w:val="0"/>
                    <w:jc w:val="center"/>
                    <w:rPr>
                      <w:rFonts w:hint="default" w:ascii="Times New Roman" w:hAnsi="Times New Roman" w:eastAsia="宋体" w:cs="Times New Roman"/>
                      <w:color w:val="000000" w:themeColor="text1"/>
                      <w:szCs w:val="21"/>
                      <w:u w:val="none" w:color="auto"/>
                      <w14:textFill>
                        <w14:solidFill>
                          <w14:schemeClr w14:val="tx1"/>
                        </w14:solidFill>
                      </w14:textFill>
                    </w:rPr>
                  </w:pPr>
                  <w:r>
                    <w:rPr>
                      <w:rFonts w:hint="default" w:ascii="Times New Roman" w:hAnsi="Times New Roman" w:eastAsia="宋体" w:cs="Times New Roman"/>
                      <w:color w:val="000000" w:themeColor="text1"/>
                      <w:szCs w:val="21"/>
                      <w:u w:val="none" w:color="auto"/>
                      <w14:textFill>
                        <w14:solidFill>
                          <w14:schemeClr w14:val="tx1"/>
                        </w14:solidFill>
                      </w14:textFill>
                    </w:rPr>
                    <w:t>执行标准</w:t>
                  </w:r>
                </w:p>
              </w:tc>
              <w:tc>
                <w:tcPr>
                  <w:tcW w:w="2040" w:type="dxa"/>
                  <w:tcBorders>
                    <w:tl2br w:val="nil"/>
                    <w:tr2bl w:val="nil"/>
                  </w:tcBorders>
                  <w:noWrap/>
                  <w:vAlign w:val="center"/>
                </w:tcPr>
                <w:p w14:paraId="72E31CE8">
                  <w:pPr>
                    <w:adjustRightInd w:val="0"/>
                    <w:snapToGrid w:val="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20</w:t>
                  </w:r>
                </w:p>
              </w:tc>
              <w:tc>
                <w:tcPr>
                  <w:tcW w:w="2075" w:type="dxa"/>
                  <w:tcBorders>
                    <w:tl2br w:val="nil"/>
                    <w:tr2bl w:val="nil"/>
                  </w:tcBorders>
                  <w:noWrap/>
                  <w:vAlign w:val="center"/>
                </w:tcPr>
                <w:p w14:paraId="74761701">
                  <w:pPr>
                    <w:adjustRightInd w:val="0"/>
                    <w:snapToGrid w:val="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1.0</w:t>
                  </w:r>
                </w:p>
              </w:tc>
              <w:tc>
                <w:tcPr>
                  <w:tcW w:w="1968" w:type="dxa"/>
                  <w:tcBorders>
                    <w:tl2br w:val="nil"/>
                    <w:tr2bl w:val="nil"/>
                  </w:tcBorders>
                  <w:noWrap/>
                  <w:vAlign w:val="center"/>
                </w:tcPr>
                <w:p w14:paraId="0B215B5A">
                  <w:pPr>
                    <w:adjustRightInd w:val="0"/>
                    <w:snapToGrid w:val="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0.2</w:t>
                  </w:r>
                </w:p>
              </w:tc>
            </w:tr>
            <w:tr w14:paraId="3582B19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1" w:type="dxa"/>
                  <w:tcBorders>
                    <w:tl2br w:val="nil"/>
                    <w:tr2bl w:val="nil"/>
                  </w:tcBorders>
                  <w:noWrap/>
                  <w:vAlign w:val="center"/>
                </w:tcPr>
                <w:p w14:paraId="7C98B36B">
                  <w:pPr>
                    <w:adjustRightInd w:val="0"/>
                    <w:snapToGrid w:val="0"/>
                    <w:jc w:val="center"/>
                    <w:rPr>
                      <w:rFonts w:hint="default" w:ascii="Times New Roman" w:hAnsi="Times New Roman" w:eastAsia="宋体" w:cs="Times New Roman"/>
                      <w:color w:val="000000" w:themeColor="text1"/>
                      <w:szCs w:val="21"/>
                      <w:u w:val="none" w:color="auto"/>
                      <w14:textFill>
                        <w14:solidFill>
                          <w14:schemeClr w14:val="tx1"/>
                        </w14:solidFill>
                      </w14:textFill>
                    </w:rPr>
                  </w:pPr>
                  <w:r>
                    <w:rPr>
                      <w:rFonts w:hint="default" w:ascii="Times New Roman" w:hAnsi="Times New Roman" w:eastAsia="宋体" w:cs="Times New Roman"/>
                      <w:color w:val="000000" w:themeColor="text1"/>
                      <w:szCs w:val="21"/>
                      <w:u w:val="none" w:color="auto"/>
                      <w14:textFill>
                        <w14:solidFill>
                          <w14:schemeClr w14:val="tx1"/>
                        </w14:solidFill>
                      </w14:textFill>
                    </w:rPr>
                    <w:t>达标情况</w:t>
                  </w:r>
                </w:p>
              </w:tc>
              <w:tc>
                <w:tcPr>
                  <w:tcW w:w="2040" w:type="dxa"/>
                  <w:tcBorders>
                    <w:tl2br w:val="nil"/>
                    <w:tr2bl w:val="nil"/>
                  </w:tcBorders>
                  <w:noWrap/>
                  <w:vAlign w:val="center"/>
                </w:tcPr>
                <w:p w14:paraId="7E9B714D">
                  <w:pPr>
                    <w:adjustRightInd w:val="0"/>
                    <w:snapToGrid w:val="0"/>
                    <w:jc w:val="center"/>
                    <w:rPr>
                      <w:rFonts w:hint="default" w:ascii="Times New Roman" w:hAnsi="Times New Roman" w:eastAsia="宋体" w:cs="Times New Roman"/>
                      <w:color w:val="000000" w:themeColor="text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不</w:t>
                  </w:r>
                  <w:r>
                    <w:rPr>
                      <w:rFonts w:hint="default" w:ascii="Times New Roman" w:hAnsi="Times New Roman" w:eastAsia="宋体" w:cs="Times New Roman"/>
                      <w:color w:val="000000" w:themeColor="text1"/>
                      <w:u w:val="none" w:color="auto"/>
                      <w14:textFill>
                        <w14:solidFill>
                          <w14:schemeClr w14:val="tx1"/>
                        </w14:solidFill>
                      </w14:textFill>
                    </w:rPr>
                    <w:t>达标</w:t>
                  </w:r>
                </w:p>
              </w:tc>
              <w:tc>
                <w:tcPr>
                  <w:tcW w:w="2075" w:type="dxa"/>
                  <w:tcBorders>
                    <w:tl2br w:val="nil"/>
                    <w:tr2bl w:val="nil"/>
                  </w:tcBorders>
                  <w:noWrap/>
                  <w:vAlign w:val="center"/>
                </w:tcPr>
                <w:p w14:paraId="26080B44">
                  <w:pPr>
                    <w:adjustRightInd w:val="0"/>
                    <w:snapToGrid w:val="0"/>
                    <w:jc w:val="center"/>
                    <w:rPr>
                      <w:rFonts w:hint="default" w:ascii="Times New Roman" w:hAnsi="Times New Roman" w:eastAsia="宋体" w:cs="Times New Roman"/>
                      <w:color w:val="000000" w:themeColor="text1"/>
                      <w:u w:val="none" w:color="auto"/>
                      <w14:textFill>
                        <w14:solidFill>
                          <w14:schemeClr w14:val="tx1"/>
                        </w14:solidFill>
                      </w14:textFill>
                    </w:rPr>
                  </w:pPr>
                  <w:r>
                    <w:rPr>
                      <w:rFonts w:hint="default" w:ascii="Times New Roman" w:hAnsi="Times New Roman" w:eastAsia="宋体" w:cs="Times New Roman"/>
                      <w:color w:val="000000" w:themeColor="text1"/>
                      <w:u w:val="none" w:color="auto"/>
                      <w14:textFill>
                        <w14:solidFill>
                          <w14:schemeClr w14:val="tx1"/>
                        </w14:solidFill>
                      </w14:textFill>
                    </w:rPr>
                    <w:t>达标</w:t>
                  </w:r>
                </w:p>
              </w:tc>
              <w:tc>
                <w:tcPr>
                  <w:tcW w:w="1968" w:type="dxa"/>
                  <w:tcBorders>
                    <w:tl2br w:val="nil"/>
                    <w:tr2bl w:val="nil"/>
                  </w:tcBorders>
                  <w:noWrap/>
                  <w:vAlign w:val="center"/>
                </w:tcPr>
                <w:p w14:paraId="5B931C39">
                  <w:pPr>
                    <w:adjustRightInd w:val="0"/>
                    <w:snapToGrid w:val="0"/>
                    <w:jc w:val="center"/>
                    <w:rPr>
                      <w:rFonts w:hint="default" w:ascii="Times New Roman" w:hAnsi="Times New Roman" w:eastAsia="宋体" w:cs="Times New Roman"/>
                      <w:color w:val="000000" w:themeColor="text1"/>
                      <w:u w:val="none" w:color="auto"/>
                      <w14:textFill>
                        <w14:solidFill>
                          <w14:schemeClr w14:val="tx1"/>
                        </w14:solidFill>
                      </w14:textFill>
                    </w:rPr>
                  </w:pPr>
                  <w:r>
                    <w:rPr>
                      <w:rFonts w:hint="default" w:ascii="Times New Roman" w:hAnsi="Times New Roman" w:eastAsia="宋体" w:cs="Times New Roman"/>
                      <w:color w:val="000000" w:themeColor="text1"/>
                      <w:u w:val="none" w:color="auto"/>
                      <w14:textFill>
                        <w14:solidFill>
                          <w14:schemeClr w14:val="tx1"/>
                        </w14:solidFill>
                      </w14:textFill>
                    </w:rPr>
                    <w:t>达标</w:t>
                  </w:r>
                </w:p>
              </w:tc>
            </w:tr>
          </w:tbl>
          <w:p w14:paraId="10BE2396">
            <w:pPr>
              <w:spacing w:line="440" w:lineRule="exact"/>
              <w:ind w:firstLine="480" w:firstLineChars="200"/>
              <w:rPr>
                <w:rFonts w:hint="default" w:ascii="Times New Roman" w:hAnsi="Times New Roman" w:eastAsia="宋体" w:cs="Times New Roman"/>
                <w:bCs/>
                <w:color w:val="000000" w:themeColor="text1"/>
                <w:sz w:val="24"/>
                <w:u w:val="none" w:color="auto"/>
                <w14:textFill>
                  <w14:solidFill>
                    <w14:schemeClr w14:val="tx1"/>
                  </w14:solidFill>
                </w14:textFill>
              </w:rPr>
            </w:pPr>
            <w:r>
              <w:rPr>
                <w:rFonts w:hint="eastAsia"/>
                <w:color w:val="000000"/>
                <w:sz w:val="24"/>
                <w:u w:val="none" w:color="auto"/>
                <w:lang w:val="en-US" w:eastAsia="zh-CN"/>
              </w:rPr>
              <w:t>由上表可知，2025年1月~12月份东孟姜女河南环桥断面</w:t>
            </w:r>
            <w:r>
              <w:rPr>
                <w:bCs/>
                <w:color w:val="000000" w:themeColor="text1"/>
                <w:sz w:val="24"/>
                <w:u w:val="none" w:color="auto"/>
                <w14:textFill>
                  <w14:solidFill>
                    <w14:schemeClr w14:val="tx1"/>
                  </w14:solidFill>
                </w14:textFill>
              </w:rPr>
              <w:t>COD</w:t>
            </w:r>
            <w:r>
              <w:rPr>
                <w:rFonts w:hint="eastAsia"/>
                <w:bCs/>
                <w:color w:val="000000" w:themeColor="text1"/>
                <w:sz w:val="24"/>
                <w:u w:val="none" w:color="auto"/>
                <w:lang w:val="en-US" w:eastAsia="zh-CN"/>
                <w14:textFill>
                  <w14:solidFill>
                    <w14:schemeClr w14:val="tx1"/>
                  </w14:solidFill>
                </w14:textFill>
              </w:rPr>
              <w:t>不达标</w:t>
            </w:r>
            <w:r>
              <w:rPr>
                <w:bCs/>
                <w:color w:val="000000" w:themeColor="text1"/>
                <w:sz w:val="24"/>
                <w:u w:val="none" w:color="auto"/>
                <w14:textFill>
                  <w14:solidFill>
                    <w14:schemeClr w14:val="tx1"/>
                  </w14:solidFill>
                </w14:textFill>
              </w:rPr>
              <w:t>、</w:t>
            </w:r>
            <w:r>
              <w:rPr>
                <w:color w:val="000000" w:themeColor="text1"/>
                <w:sz w:val="24"/>
                <w:u w:val="none" w:color="auto"/>
                <w14:textFill>
                  <w14:solidFill>
                    <w14:schemeClr w14:val="tx1"/>
                  </w14:solidFill>
                </w14:textFill>
              </w:rPr>
              <w:t>NH</w:t>
            </w:r>
            <w:r>
              <w:rPr>
                <w:color w:val="000000" w:themeColor="text1"/>
                <w:sz w:val="24"/>
                <w:u w:val="none" w:color="auto"/>
                <w:vertAlign w:val="subscript"/>
                <w14:textFill>
                  <w14:solidFill>
                    <w14:schemeClr w14:val="tx1"/>
                  </w14:solidFill>
                </w14:textFill>
              </w:rPr>
              <w:t>3</w:t>
            </w:r>
            <w:r>
              <w:rPr>
                <w:color w:val="000000" w:themeColor="text1"/>
                <w:sz w:val="24"/>
                <w:u w:val="none" w:color="auto"/>
                <w14:textFill>
                  <w14:solidFill>
                    <w14:schemeClr w14:val="tx1"/>
                  </w14:solidFill>
                </w14:textFill>
              </w:rPr>
              <w:t>-N</w:t>
            </w:r>
            <w:r>
              <w:rPr>
                <w:rFonts w:hint="eastAsia"/>
                <w:color w:val="000000" w:themeColor="text1"/>
                <w:sz w:val="24"/>
                <w:u w:val="none" w:color="auto"/>
                <w:lang w:val="en-US" w:eastAsia="zh-CN"/>
                <w14:textFill>
                  <w14:solidFill>
                    <w14:schemeClr w14:val="tx1"/>
                  </w14:solidFill>
                </w14:textFill>
              </w:rPr>
              <w:t>达标和TP达标。</w:t>
            </w:r>
            <w:r>
              <w:rPr>
                <w:rFonts w:hint="eastAsia"/>
                <w:color w:val="000000"/>
                <w:sz w:val="24"/>
                <w:u w:val="none" w:color="auto"/>
                <w:lang w:eastAsia="zh-CN"/>
              </w:rPr>
              <w:t>目前新乡市正在实施《新乡市</w:t>
            </w:r>
            <w:r>
              <w:rPr>
                <w:rFonts w:hint="eastAsia"/>
                <w:color w:val="000000"/>
                <w:sz w:val="24"/>
                <w:u w:val="none" w:color="auto"/>
                <w:lang w:val="en-US" w:eastAsia="zh-CN"/>
              </w:rPr>
              <w:t>2026</w:t>
            </w:r>
            <w:r>
              <w:rPr>
                <w:rFonts w:hint="eastAsia"/>
                <w:color w:val="000000"/>
                <w:sz w:val="24"/>
                <w:u w:val="none" w:color="auto"/>
                <w:lang w:eastAsia="zh-CN"/>
              </w:rPr>
              <w:t>年碧水保卫战实施方案的通知》（新环委办〔</w:t>
            </w:r>
            <w:r>
              <w:rPr>
                <w:rFonts w:hint="eastAsia"/>
                <w:color w:val="000000"/>
                <w:sz w:val="24"/>
                <w:u w:val="none" w:color="auto"/>
                <w:lang w:val="en-US" w:eastAsia="zh-CN"/>
              </w:rPr>
              <w:t>2026</w:t>
            </w:r>
            <w:r>
              <w:rPr>
                <w:rFonts w:hint="eastAsia"/>
                <w:color w:val="000000"/>
                <w:sz w:val="24"/>
                <w:u w:val="none" w:color="auto"/>
                <w:lang w:eastAsia="zh-CN"/>
              </w:rPr>
              <w:t>〕</w:t>
            </w:r>
            <w:r>
              <w:rPr>
                <w:rFonts w:hint="eastAsia"/>
                <w:color w:val="000000"/>
                <w:sz w:val="24"/>
                <w:u w:val="none" w:color="auto"/>
                <w:lang w:val="en-US" w:eastAsia="zh-CN"/>
              </w:rPr>
              <w:t>20</w:t>
            </w:r>
            <w:r>
              <w:rPr>
                <w:rFonts w:hint="eastAsia"/>
                <w:color w:val="000000"/>
                <w:sz w:val="24"/>
                <w:u w:val="none" w:color="auto"/>
                <w:lang w:eastAsia="zh-CN"/>
              </w:rPr>
              <w:t>号），将不断改善区域水环境质量。</w:t>
            </w:r>
          </w:p>
          <w:p w14:paraId="23C76821">
            <w:pPr>
              <w:keepNext w:val="0"/>
              <w:keepLines w:val="0"/>
              <w:pageBreakBefore w:val="0"/>
              <w:kinsoku/>
              <w:wordWrap/>
              <w:overflowPunct/>
              <w:topLinePunct w:val="0"/>
              <w:autoSpaceDE/>
              <w:autoSpaceDN/>
              <w:bidi w:val="0"/>
              <w:adjustRightInd w:val="0"/>
              <w:snapToGrid w:val="0"/>
              <w:spacing w:line="440" w:lineRule="exact"/>
              <w:ind w:firstLine="482" w:firstLineChars="200"/>
              <w:textAlignment w:val="auto"/>
              <w:outlineLvl w:val="0"/>
              <w:rPr>
                <w:rFonts w:hint="default" w:eastAsia="宋体"/>
                <w:b/>
                <w:bCs/>
                <w:sz w:val="24"/>
                <w:u w:val="none" w:color="auto"/>
                <w:lang w:val="en-US" w:eastAsia="zh-CN"/>
              </w:rPr>
            </w:pPr>
            <w:bookmarkStart w:id="30" w:name="_Toc22955"/>
            <w:r>
              <w:rPr>
                <w:rFonts w:hint="eastAsia"/>
                <w:b/>
                <w:bCs/>
                <w:sz w:val="24"/>
                <w:u w:val="none" w:color="auto"/>
                <w:lang w:val="en-US" w:eastAsia="zh-CN"/>
              </w:rPr>
              <w:t>3</w:t>
            </w:r>
            <w:r>
              <w:rPr>
                <w:rFonts w:hint="eastAsia"/>
                <w:b/>
                <w:bCs/>
                <w:sz w:val="24"/>
                <w:u w:val="none" w:color="auto"/>
              </w:rPr>
              <w:t>、声环境</w:t>
            </w:r>
            <w:bookmarkEnd w:id="30"/>
            <w:r>
              <w:rPr>
                <w:rFonts w:hint="eastAsia"/>
                <w:b/>
                <w:bCs/>
                <w:sz w:val="24"/>
                <w:u w:val="none" w:color="auto"/>
                <w:lang w:val="en-US" w:eastAsia="zh-CN"/>
              </w:rPr>
              <w:t>质量现状</w:t>
            </w:r>
          </w:p>
          <w:p w14:paraId="17BF8080">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b/>
                <w:bCs/>
                <w:sz w:val="24"/>
                <w:u w:val="none" w:color="auto"/>
              </w:rPr>
            </w:pPr>
            <w:r>
              <w:rPr>
                <w:rFonts w:hint="eastAsia" w:ascii="宋体" w:hAnsi="宋体" w:cs="宋体"/>
                <w:color w:val="000000"/>
                <w:kern w:val="0"/>
                <w:sz w:val="24"/>
                <w:u w:val="none" w:color="auto"/>
                <w:lang w:bidi="ar"/>
              </w:rPr>
              <w:t>根据《建设项目环境影响报告表编制技术指南（污染影响类）（试行）》，本项目厂界外周边</w:t>
            </w:r>
            <w:r>
              <w:rPr>
                <w:color w:val="000000"/>
                <w:kern w:val="0"/>
                <w:sz w:val="24"/>
                <w:u w:val="none" w:color="auto"/>
                <w:lang w:bidi="ar"/>
              </w:rPr>
              <w:t>50m</w:t>
            </w:r>
            <w:r>
              <w:rPr>
                <w:rFonts w:hint="eastAsia" w:ascii="宋体" w:hAnsi="宋体" w:cs="宋体"/>
                <w:color w:val="000000"/>
                <w:kern w:val="0"/>
                <w:sz w:val="24"/>
                <w:u w:val="none" w:color="auto"/>
                <w:lang w:bidi="ar"/>
              </w:rPr>
              <w:t>范围内不存在声环境保护目标，因此本项目不进行声环境质量现状调查。</w:t>
            </w:r>
          </w:p>
          <w:p w14:paraId="282F7469">
            <w:pPr>
              <w:keepNext w:val="0"/>
              <w:keepLines w:val="0"/>
              <w:pageBreakBefore w:val="0"/>
              <w:numPr>
                <w:ilvl w:val="0"/>
                <w:numId w:val="18"/>
              </w:numPr>
              <w:kinsoku/>
              <w:wordWrap/>
              <w:overflowPunct/>
              <w:topLinePunct w:val="0"/>
              <w:autoSpaceDE/>
              <w:autoSpaceDN/>
              <w:bidi w:val="0"/>
              <w:adjustRightInd w:val="0"/>
              <w:snapToGrid w:val="0"/>
              <w:spacing w:line="440" w:lineRule="exact"/>
              <w:ind w:firstLine="482" w:firstLineChars="200"/>
              <w:textAlignment w:val="auto"/>
              <w:rPr>
                <w:rFonts w:hint="eastAsia"/>
                <w:b/>
                <w:bCs/>
                <w:sz w:val="24"/>
                <w:u w:val="none" w:color="auto"/>
                <w:lang w:val="en-US" w:eastAsia="zh-CN"/>
              </w:rPr>
            </w:pPr>
            <w:r>
              <w:rPr>
                <w:rFonts w:hint="eastAsia"/>
                <w:b/>
                <w:bCs/>
                <w:sz w:val="24"/>
                <w:u w:val="none" w:color="auto"/>
                <w:lang w:val="en-US" w:eastAsia="zh-CN"/>
              </w:rPr>
              <w:t>生态环境质量现状</w:t>
            </w:r>
          </w:p>
          <w:p w14:paraId="55F57965">
            <w:pPr>
              <w:keepNext w:val="0"/>
              <w:keepLines w:val="0"/>
              <w:pageBreakBefore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default"/>
                <w:b w:val="0"/>
                <w:bCs w:val="0"/>
                <w:sz w:val="24"/>
                <w:u w:val="none" w:color="auto"/>
                <w:lang w:val="en-US" w:eastAsia="zh-CN"/>
              </w:rPr>
            </w:pPr>
            <w:r>
              <w:rPr>
                <w:rFonts w:hint="default"/>
                <w:b w:val="0"/>
                <w:bCs w:val="0"/>
                <w:sz w:val="24"/>
                <w:u w:val="none" w:color="auto"/>
                <w:lang w:val="en-US" w:eastAsia="zh-CN"/>
              </w:rPr>
              <w:t>本项目位于</w:t>
            </w:r>
            <w:r>
              <w:rPr>
                <w:rFonts w:hint="eastAsia" w:ascii="宋体" w:hAnsi="宋体" w:cs="宋体"/>
                <w:sz w:val="24"/>
                <w:szCs w:val="24"/>
                <w:u w:val="none" w:color="auto"/>
                <w:lang w:val="en-US" w:eastAsia="zh-CN"/>
              </w:rPr>
              <w:t>河南省新乡市新乡高新技术产业开发区新中大道与德源路交叉口西南角</w:t>
            </w:r>
            <w:r>
              <w:rPr>
                <w:rFonts w:hint="default"/>
                <w:b w:val="0"/>
                <w:bCs w:val="0"/>
                <w:sz w:val="24"/>
                <w:u w:val="none" w:color="auto"/>
                <w:lang w:val="en-US" w:eastAsia="zh-CN"/>
              </w:rPr>
              <w:t>，占地范围内无生态环境保护目标，无需进行生态环境现状调查。</w:t>
            </w:r>
          </w:p>
          <w:p w14:paraId="5E7966C9">
            <w:pPr>
              <w:keepNext w:val="0"/>
              <w:keepLines w:val="0"/>
              <w:pageBreakBefore w:val="0"/>
              <w:numPr>
                <w:ilvl w:val="0"/>
                <w:numId w:val="18"/>
              </w:numPr>
              <w:kinsoku/>
              <w:wordWrap/>
              <w:overflowPunct/>
              <w:topLinePunct w:val="0"/>
              <w:autoSpaceDE/>
              <w:autoSpaceDN/>
              <w:bidi w:val="0"/>
              <w:adjustRightInd w:val="0"/>
              <w:snapToGrid w:val="0"/>
              <w:spacing w:line="440" w:lineRule="exact"/>
              <w:ind w:left="0" w:leftChars="0" w:firstLine="482" w:firstLineChars="200"/>
              <w:textAlignment w:val="auto"/>
              <w:rPr>
                <w:rFonts w:hint="eastAsia"/>
                <w:b/>
                <w:color w:val="auto"/>
                <w:sz w:val="24"/>
                <w:u w:val="none" w:color="auto"/>
              </w:rPr>
            </w:pPr>
            <w:r>
              <w:rPr>
                <w:rFonts w:hint="eastAsia"/>
                <w:b/>
                <w:color w:val="auto"/>
                <w:sz w:val="24"/>
                <w:u w:val="none" w:color="auto"/>
              </w:rPr>
              <w:t>电磁辐射质量现状</w:t>
            </w:r>
          </w:p>
          <w:p w14:paraId="784213DE">
            <w:pPr>
              <w:keepNext w:val="0"/>
              <w:keepLines w:val="0"/>
              <w:pageBreakBefore w:val="0"/>
              <w:numPr>
                <w:ilvl w:val="0"/>
                <w:numId w:val="0"/>
              </w:numPr>
              <w:kinsoku/>
              <w:wordWrap/>
              <w:overflowPunct/>
              <w:topLinePunct w:val="0"/>
              <w:autoSpaceDE/>
              <w:autoSpaceDN/>
              <w:bidi w:val="0"/>
              <w:adjustRightInd w:val="0"/>
              <w:snapToGrid w:val="0"/>
              <w:spacing w:line="440" w:lineRule="exact"/>
              <w:ind w:leftChars="200"/>
              <w:textAlignment w:val="auto"/>
              <w:rPr>
                <w:rFonts w:hint="eastAsia"/>
                <w:b w:val="0"/>
                <w:bCs/>
                <w:color w:val="auto"/>
                <w:sz w:val="24"/>
                <w:u w:val="none" w:color="auto"/>
                <w:lang w:val="en-US" w:eastAsia="zh-CN"/>
              </w:rPr>
            </w:pPr>
            <w:r>
              <w:rPr>
                <w:rFonts w:hint="eastAsia"/>
                <w:b w:val="0"/>
                <w:bCs/>
                <w:color w:val="auto"/>
                <w:sz w:val="24"/>
                <w:u w:val="none" w:color="auto"/>
                <w:lang w:val="en-US" w:eastAsia="zh-CN"/>
              </w:rPr>
              <w:t>本项目不涉及电磁辐射，因此不进行电磁辐射现状调查。</w:t>
            </w:r>
          </w:p>
          <w:p w14:paraId="315193B3">
            <w:pPr>
              <w:keepNext w:val="0"/>
              <w:keepLines w:val="0"/>
              <w:pageBreakBefore w:val="0"/>
              <w:kinsoku/>
              <w:wordWrap/>
              <w:overflowPunct/>
              <w:topLinePunct w:val="0"/>
              <w:autoSpaceDE/>
              <w:autoSpaceDN/>
              <w:bidi w:val="0"/>
              <w:adjustRightInd w:val="0"/>
              <w:snapToGrid w:val="0"/>
              <w:spacing w:line="440" w:lineRule="exact"/>
              <w:ind w:firstLine="482" w:firstLineChars="200"/>
              <w:textAlignment w:val="auto"/>
              <w:rPr>
                <w:rFonts w:hint="default" w:eastAsia="宋体"/>
                <w:b/>
                <w:bCs/>
                <w:sz w:val="24"/>
                <w:u w:val="none" w:color="auto"/>
                <w:lang w:val="en-US" w:eastAsia="zh-CN"/>
              </w:rPr>
            </w:pPr>
            <w:r>
              <w:rPr>
                <w:rFonts w:hint="eastAsia"/>
                <w:b/>
                <w:bCs/>
                <w:sz w:val="24"/>
                <w:u w:val="none" w:color="auto"/>
                <w:lang w:val="en-US" w:eastAsia="zh-CN"/>
              </w:rPr>
              <w:t>6、</w:t>
            </w:r>
            <w:r>
              <w:rPr>
                <w:rFonts w:hint="eastAsia"/>
                <w:b/>
                <w:bCs/>
                <w:sz w:val="24"/>
                <w:u w:val="none" w:color="auto"/>
              </w:rPr>
              <w:t>地下水、</w:t>
            </w:r>
            <w:r>
              <w:rPr>
                <w:b/>
                <w:bCs/>
                <w:sz w:val="24"/>
                <w:u w:val="none" w:color="auto"/>
              </w:rPr>
              <w:t>土壤</w:t>
            </w:r>
            <w:r>
              <w:rPr>
                <w:rFonts w:hint="eastAsia"/>
                <w:b/>
                <w:bCs/>
                <w:sz w:val="24"/>
                <w:u w:val="none" w:color="auto"/>
              </w:rPr>
              <w:t>环境</w:t>
            </w:r>
            <w:r>
              <w:rPr>
                <w:rFonts w:hint="eastAsia"/>
                <w:b/>
                <w:bCs/>
                <w:sz w:val="24"/>
                <w:u w:val="none" w:color="auto"/>
                <w:lang w:val="en-US" w:eastAsia="zh-CN"/>
              </w:rPr>
              <w:t>质量现状</w:t>
            </w:r>
          </w:p>
          <w:p w14:paraId="3CE9DCBD">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u w:val="none" w:color="auto"/>
              </w:rPr>
            </w:pPr>
            <w:r>
              <w:rPr>
                <w:sz w:val="24"/>
                <w:u w:val="none" w:color="auto"/>
              </w:rPr>
              <w:t>根据《建设项目环境影响报告表编制技术指南（污染影响类）（试行）》，原则上不开展</w:t>
            </w:r>
            <w:r>
              <w:rPr>
                <w:rFonts w:hint="eastAsia"/>
                <w:sz w:val="24"/>
                <w:u w:val="none" w:color="auto"/>
              </w:rPr>
              <w:t>地下水</w:t>
            </w:r>
            <w:r>
              <w:rPr>
                <w:sz w:val="24"/>
                <w:u w:val="none" w:color="auto"/>
              </w:rPr>
              <w:t>环境质量现状调查，</w:t>
            </w:r>
            <w:r>
              <w:rPr>
                <w:rFonts w:hint="eastAsia"/>
                <w:sz w:val="24"/>
                <w:u w:val="none" w:color="auto"/>
              </w:rPr>
              <w:t>且本项目不存在地下水污染途径，</w:t>
            </w:r>
            <w:r>
              <w:rPr>
                <w:sz w:val="24"/>
                <w:u w:val="none" w:color="auto"/>
              </w:rPr>
              <w:t>因此不进行</w:t>
            </w:r>
            <w:r>
              <w:rPr>
                <w:rFonts w:hint="eastAsia"/>
                <w:sz w:val="24"/>
                <w:u w:val="none" w:color="auto"/>
              </w:rPr>
              <w:t>地下水环境</w:t>
            </w:r>
            <w:r>
              <w:rPr>
                <w:sz w:val="24"/>
                <w:u w:val="none" w:color="auto"/>
              </w:rPr>
              <w:t>质量现状调查</w:t>
            </w:r>
            <w:r>
              <w:rPr>
                <w:rFonts w:hint="eastAsia"/>
                <w:sz w:val="24"/>
                <w:u w:val="none" w:color="auto"/>
              </w:rPr>
              <w:t>。</w:t>
            </w:r>
          </w:p>
        </w:tc>
      </w:tr>
      <w:tr w14:paraId="17DA0F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18" w:hRule="atLeast"/>
          <w:jc w:val="center"/>
        </w:trPr>
        <w:tc>
          <w:tcPr>
            <w:tcW w:w="422" w:type="dxa"/>
            <w:noWrap w:val="0"/>
            <w:vAlign w:val="center"/>
          </w:tcPr>
          <w:p w14:paraId="5180A018">
            <w:pPr>
              <w:adjustRightInd w:val="0"/>
              <w:snapToGrid w:val="0"/>
              <w:jc w:val="center"/>
              <w:rPr>
                <w:kern w:val="0"/>
                <w:szCs w:val="21"/>
                <w:u w:val="none" w:color="auto"/>
              </w:rPr>
            </w:pPr>
            <w:r>
              <w:rPr>
                <w:kern w:val="0"/>
                <w:szCs w:val="21"/>
                <w:u w:val="none" w:color="auto"/>
              </w:rPr>
              <w:t>环境</w:t>
            </w:r>
          </w:p>
          <w:p w14:paraId="0EF06C1C">
            <w:pPr>
              <w:adjustRightInd w:val="0"/>
              <w:snapToGrid w:val="0"/>
              <w:jc w:val="center"/>
              <w:rPr>
                <w:kern w:val="0"/>
                <w:szCs w:val="21"/>
                <w:u w:val="none" w:color="auto"/>
              </w:rPr>
            </w:pPr>
            <w:r>
              <w:rPr>
                <w:kern w:val="0"/>
                <w:szCs w:val="21"/>
                <w:u w:val="none" w:color="auto"/>
              </w:rPr>
              <w:t>保护</w:t>
            </w:r>
          </w:p>
          <w:p w14:paraId="3092C56E">
            <w:pPr>
              <w:adjustRightInd w:val="0"/>
              <w:snapToGrid w:val="0"/>
              <w:jc w:val="center"/>
              <w:rPr>
                <w:kern w:val="0"/>
                <w:szCs w:val="21"/>
                <w:u w:val="none" w:color="auto"/>
              </w:rPr>
            </w:pPr>
            <w:r>
              <w:rPr>
                <w:kern w:val="0"/>
                <w:szCs w:val="21"/>
                <w:u w:val="none" w:color="auto"/>
              </w:rPr>
              <w:t>目标</w:t>
            </w:r>
          </w:p>
        </w:tc>
        <w:tc>
          <w:tcPr>
            <w:tcW w:w="8095" w:type="dxa"/>
            <w:noWrap w:val="0"/>
            <w:vAlign w:val="center"/>
          </w:tcPr>
          <w:p w14:paraId="08809596">
            <w:pPr>
              <w:adjustRightInd w:val="0"/>
              <w:snapToGrid w:val="0"/>
              <w:spacing w:line="360" w:lineRule="auto"/>
              <w:ind w:firstLine="480" w:firstLineChars="200"/>
              <w:outlineLvl w:val="0"/>
              <w:rPr>
                <w:rFonts w:hint="default" w:eastAsia="宋体"/>
                <w:b w:val="0"/>
                <w:bCs w:val="0"/>
                <w:sz w:val="24"/>
                <w:u w:val="none" w:color="auto"/>
                <w:lang w:val="en-US" w:eastAsia="zh-CN"/>
              </w:rPr>
            </w:pPr>
            <w:bookmarkStart w:id="31" w:name="_Toc15192"/>
            <w:bookmarkStart w:id="32" w:name="_Toc23189"/>
            <w:bookmarkStart w:id="33" w:name="_Toc1875"/>
            <w:r>
              <w:rPr>
                <w:rFonts w:hint="eastAsia"/>
                <w:b w:val="0"/>
                <w:bCs w:val="0"/>
                <w:sz w:val="24"/>
                <w:u w:val="none" w:color="auto"/>
                <w:lang w:val="en-US" w:eastAsia="zh-CN"/>
              </w:rPr>
              <w:t>本项目周围主要环境保护目标见下表。</w:t>
            </w:r>
          </w:p>
          <w:bookmarkEnd w:id="31"/>
          <w:bookmarkEnd w:id="32"/>
          <w:bookmarkEnd w:id="33"/>
          <w:p w14:paraId="149CC51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b/>
                <w:sz w:val="24"/>
                <w:u w:val="none" w:color="auto"/>
                <w:lang w:val="en-US" w:eastAsia="zh-CN"/>
              </w:rPr>
            </w:pPr>
            <w:r>
              <w:rPr>
                <w:rFonts w:hint="eastAsia" w:hAnsi="宋体"/>
                <w:b/>
                <w:sz w:val="24"/>
                <w:u w:val="none" w:color="auto"/>
              </w:rPr>
              <w:t xml:space="preserve">表3-3  </w:t>
            </w:r>
            <w:r>
              <w:rPr>
                <w:rFonts w:hint="eastAsia"/>
                <w:b/>
                <w:sz w:val="24"/>
                <w:u w:val="none" w:color="auto"/>
                <w:lang w:val="en-US" w:eastAsia="zh-CN"/>
              </w:rPr>
              <w:t>本项目周围环境保护目标概况</w:t>
            </w:r>
          </w:p>
          <w:tbl>
            <w:tblPr>
              <w:tblStyle w:val="32"/>
              <w:tblW w:w="7974" w:type="dxa"/>
              <w:tblInd w:w="5"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2037"/>
              <w:gridCol w:w="1137"/>
              <w:gridCol w:w="1460"/>
              <w:gridCol w:w="2228"/>
            </w:tblGrid>
            <w:tr w14:paraId="5DF4FC5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2" w:type="dxa"/>
                  <w:tcBorders>
                    <w:bottom w:val="single" w:color="000000" w:sz="8" w:space="0"/>
                    <w:tl2br w:val="nil"/>
                    <w:tr2bl w:val="nil"/>
                  </w:tcBorders>
                  <w:noWrap w:val="0"/>
                  <w:vAlign w:val="center"/>
                </w:tcPr>
                <w:p w14:paraId="1049A892">
                  <w:pPr>
                    <w:autoSpaceDE w:val="0"/>
                    <w:autoSpaceDN w:val="0"/>
                    <w:adjustRightInd w:val="0"/>
                    <w:snapToGrid w:val="0"/>
                    <w:jc w:val="center"/>
                    <w:rPr>
                      <w:rFonts w:hint="default" w:eastAsia="宋体"/>
                      <w:bCs/>
                      <w:sz w:val="21"/>
                      <w:szCs w:val="21"/>
                      <w:u w:val="none" w:color="auto"/>
                      <w:lang w:val="en-US" w:eastAsia="zh-CN"/>
                    </w:rPr>
                  </w:pPr>
                  <w:r>
                    <w:rPr>
                      <w:rFonts w:hint="eastAsia"/>
                      <w:bCs/>
                      <w:sz w:val="21"/>
                      <w:szCs w:val="21"/>
                      <w:u w:val="none" w:color="auto"/>
                      <w:lang w:val="en-US" w:eastAsia="zh-CN"/>
                    </w:rPr>
                    <w:t>环境要素</w:t>
                  </w:r>
                </w:p>
              </w:tc>
              <w:tc>
                <w:tcPr>
                  <w:tcW w:w="2037" w:type="dxa"/>
                  <w:tcBorders>
                    <w:bottom w:val="single" w:color="000000" w:sz="8" w:space="0"/>
                    <w:tl2br w:val="nil"/>
                    <w:tr2bl w:val="nil"/>
                  </w:tcBorders>
                  <w:noWrap w:val="0"/>
                  <w:vAlign w:val="center"/>
                </w:tcPr>
                <w:p w14:paraId="775B3548">
                  <w:pPr>
                    <w:autoSpaceDE w:val="0"/>
                    <w:autoSpaceDN w:val="0"/>
                    <w:adjustRightInd w:val="0"/>
                    <w:snapToGrid w:val="0"/>
                    <w:jc w:val="center"/>
                    <w:rPr>
                      <w:bCs/>
                      <w:sz w:val="21"/>
                      <w:szCs w:val="21"/>
                      <w:u w:val="none" w:color="auto"/>
                    </w:rPr>
                  </w:pPr>
                  <w:r>
                    <w:rPr>
                      <w:rFonts w:hint="eastAsia"/>
                      <w:bCs/>
                      <w:sz w:val="21"/>
                      <w:szCs w:val="21"/>
                      <w:u w:val="none" w:color="auto"/>
                    </w:rPr>
                    <w:t>名称</w:t>
                  </w:r>
                </w:p>
              </w:tc>
              <w:tc>
                <w:tcPr>
                  <w:tcW w:w="1137" w:type="dxa"/>
                  <w:tcBorders>
                    <w:bottom w:val="single" w:color="000000" w:sz="8" w:space="0"/>
                    <w:tl2br w:val="nil"/>
                    <w:tr2bl w:val="nil"/>
                  </w:tcBorders>
                  <w:noWrap w:val="0"/>
                  <w:vAlign w:val="center"/>
                </w:tcPr>
                <w:p w14:paraId="35BD0F01">
                  <w:pPr>
                    <w:autoSpaceDE w:val="0"/>
                    <w:autoSpaceDN w:val="0"/>
                    <w:adjustRightInd w:val="0"/>
                    <w:snapToGrid w:val="0"/>
                    <w:jc w:val="center"/>
                    <w:rPr>
                      <w:bCs/>
                      <w:sz w:val="21"/>
                      <w:szCs w:val="21"/>
                      <w:u w:val="none" w:color="auto"/>
                    </w:rPr>
                  </w:pPr>
                  <w:r>
                    <w:rPr>
                      <w:rFonts w:hint="eastAsia"/>
                      <w:bCs/>
                      <w:sz w:val="21"/>
                      <w:szCs w:val="21"/>
                      <w:u w:val="none" w:color="auto"/>
                    </w:rPr>
                    <w:t>方位</w:t>
                  </w:r>
                </w:p>
              </w:tc>
              <w:tc>
                <w:tcPr>
                  <w:tcW w:w="1460" w:type="dxa"/>
                  <w:tcBorders>
                    <w:bottom w:val="single" w:color="000000" w:sz="8" w:space="0"/>
                    <w:tl2br w:val="nil"/>
                    <w:tr2bl w:val="nil"/>
                  </w:tcBorders>
                  <w:noWrap w:val="0"/>
                  <w:vAlign w:val="center"/>
                </w:tcPr>
                <w:p w14:paraId="54599FC4">
                  <w:pPr>
                    <w:autoSpaceDE w:val="0"/>
                    <w:autoSpaceDN w:val="0"/>
                    <w:adjustRightInd w:val="0"/>
                    <w:snapToGrid w:val="0"/>
                    <w:jc w:val="center"/>
                    <w:rPr>
                      <w:bCs/>
                      <w:sz w:val="21"/>
                      <w:szCs w:val="21"/>
                      <w:u w:val="none" w:color="auto"/>
                    </w:rPr>
                  </w:pPr>
                  <w:r>
                    <w:rPr>
                      <w:rFonts w:hint="eastAsia"/>
                      <w:bCs/>
                      <w:sz w:val="21"/>
                      <w:szCs w:val="21"/>
                      <w:u w:val="none" w:color="auto"/>
                    </w:rPr>
                    <w:t>距离（m）</w:t>
                  </w:r>
                </w:p>
              </w:tc>
              <w:tc>
                <w:tcPr>
                  <w:tcW w:w="2228" w:type="dxa"/>
                  <w:tcBorders>
                    <w:bottom w:val="single" w:color="000000" w:sz="8" w:space="0"/>
                    <w:tl2br w:val="nil"/>
                    <w:tr2bl w:val="nil"/>
                  </w:tcBorders>
                  <w:noWrap w:val="0"/>
                  <w:vAlign w:val="center"/>
                </w:tcPr>
                <w:p w14:paraId="612DA3BA">
                  <w:pPr>
                    <w:autoSpaceDE w:val="0"/>
                    <w:autoSpaceDN w:val="0"/>
                    <w:adjustRightInd w:val="0"/>
                    <w:snapToGrid w:val="0"/>
                    <w:jc w:val="center"/>
                    <w:rPr>
                      <w:bCs/>
                      <w:sz w:val="21"/>
                      <w:szCs w:val="21"/>
                      <w:u w:val="none" w:color="auto"/>
                    </w:rPr>
                  </w:pPr>
                  <w:r>
                    <w:rPr>
                      <w:rFonts w:hint="eastAsia"/>
                      <w:bCs/>
                      <w:sz w:val="21"/>
                      <w:szCs w:val="21"/>
                      <w:u w:val="none" w:color="auto"/>
                    </w:rPr>
                    <w:t>保护级别</w:t>
                  </w:r>
                </w:p>
              </w:tc>
            </w:tr>
            <w:tr w14:paraId="7710B5B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2" w:type="dxa"/>
                  <w:tcBorders>
                    <w:top w:val="single" w:color="000000" w:sz="8" w:space="0"/>
                    <w:tl2br w:val="nil"/>
                    <w:tr2bl w:val="nil"/>
                  </w:tcBorders>
                  <w:noWrap w:val="0"/>
                  <w:vAlign w:val="center"/>
                </w:tcPr>
                <w:p w14:paraId="4CEBD22C">
                  <w:pPr>
                    <w:autoSpaceDE w:val="0"/>
                    <w:autoSpaceDN w:val="0"/>
                    <w:adjustRightInd w:val="0"/>
                    <w:snapToGrid w:val="0"/>
                    <w:jc w:val="center"/>
                    <w:rPr>
                      <w:rFonts w:hint="default" w:eastAsia="宋体"/>
                      <w:bCs/>
                      <w:sz w:val="21"/>
                      <w:szCs w:val="21"/>
                      <w:u w:val="none" w:color="auto"/>
                      <w:lang w:val="en-US" w:eastAsia="zh-CN"/>
                    </w:rPr>
                  </w:pPr>
                  <w:r>
                    <w:rPr>
                      <w:rFonts w:hint="eastAsia"/>
                      <w:bCs/>
                      <w:sz w:val="21"/>
                      <w:szCs w:val="21"/>
                      <w:u w:val="none" w:color="auto"/>
                      <w:lang w:val="en-US" w:eastAsia="zh-CN"/>
                    </w:rPr>
                    <w:t>环境空气</w:t>
                  </w:r>
                </w:p>
              </w:tc>
              <w:tc>
                <w:tcPr>
                  <w:tcW w:w="2037" w:type="dxa"/>
                  <w:tcBorders>
                    <w:top w:val="single" w:color="000000" w:sz="8" w:space="0"/>
                    <w:tl2br w:val="nil"/>
                    <w:tr2bl w:val="nil"/>
                  </w:tcBorders>
                  <w:noWrap w:val="0"/>
                  <w:vAlign w:val="center"/>
                </w:tcPr>
                <w:p w14:paraId="3C30EA91">
                  <w:pPr>
                    <w:autoSpaceDE w:val="0"/>
                    <w:autoSpaceDN w:val="0"/>
                    <w:adjustRightInd w:val="0"/>
                    <w:snapToGrid w:val="0"/>
                    <w:jc w:val="center"/>
                    <w:rPr>
                      <w:rFonts w:hint="default" w:eastAsia="宋体"/>
                      <w:bCs/>
                      <w:sz w:val="21"/>
                      <w:szCs w:val="21"/>
                      <w:u w:val="none" w:color="auto"/>
                      <w:lang w:val="en-US" w:eastAsia="zh-CN"/>
                    </w:rPr>
                  </w:pPr>
                  <w:r>
                    <w:rPr>
                      <w:rFonts w:hint="eastAsia"/>
                      <w:bCs/>
                      <w:sz w:val="21"/>
                      <w:szCs w:val="21"/>
                      <w:u w:val="none" w:color="auto"/>
                      <w:lang w:val="en-US" w:eastAsia="zh-CN"/>
                    </w:rPr>
                    <w:t>刘堤村</w:t>
                  </w:r>
                </w:p>
              </w:tc>
              <w:tc>
                <w:tcPr>
                  <w:tcW w:w="1137" w:type="dxa"/>
                  <w:tcBorders>
                    <w:top w:val="single" w:color="000000" w:sz="8" w:space="0"/>
                    <w:tl2br w:val="nil"/>
                    <w:tr2bl w:val="nil"/>
                  </w:tcBorders>
                  <w:noWrap w:val="0"/>
                  <w:vAlign w:val="center"/>
                </w:tcPr>
                <w:p w14:paraId="46069D07">
                  <w:pPr>
                    <w:autoSpaceDE w:val="0"/>
                    <w:autoSpaceDN w:val="0"/>
                    <w:adjustRightInd w:val="0"/>
                    <w:snapToGrid w:val="0"/>
                    <w:jc w:val="center"/>
                    <w:rPr>
                      <w:rFonts w:hint="default" w:eastAsia="宋体"/>
                      <w:bCs/>
                      <w:sz w:val="21"/>
                      <w:szCs w:val="21"/>
                      <w:u w:val="none" w:color="auto"/>
                      <w:lang w:val="en-US" w:eastAsia="zh-CN"/>
                    </w:rPr>
                  </w:pPr>
                  <w:r>
                    <w:rPr>
                      <w:rFonts w:hint="eastAsia"/>
                      <w:bCs/>
                      <w:sz w:val="21"/>
                      <w:szCs w:val="21"/>
                      <w:u w:val="none" w:color="auto"/>
                      <w:lang w:val="en-US" w:eastAsia="zh-CN"/>
                    </w:rPr>
                    <w:t>东南</w:t>
                  </w:r>
                </w:p>
              </w:tc>
              <w:tc>
                <w:tcPr>
                  <w:tcW w:w="1460" w:type="dxa"/>
                  <w:tcBorders>
                    <w:top w:val="single" w:color="000000" w:sz="8" w:space="0"/>
                    <w:tl2br w:val="nil"/>
                    <w:tr2bl w:val="nil"/>
                  </w:tcBorders>
                  <w:noWrap w:val="0"/>
                  <w:vAlign w:val="center"/>
                </w:tcPr>
                <w:p w14:paraId="055F5D29">
                  <w:pPr>
                    <w:autoSpaceDE w:val="0"/>
                    <w:autoSpaceDN w:val="0"/>
                    <w:adjustRightInd w:val="0"/>
                    <w:snapToGrid w:val="0"/>
                    <w:jc w:val="center"/>
                    <w:rPr>
                      <w:rFonts w:hint="default" w:eastAsia="宋体"/>
                      <w:bCs/>
                      <w:sz w:val="21"/>
                      <w:szCs w:val="21"/>
                      <w:u w:val="none" w:color="auto"/>
                      <w:lang w:val="en-US" w:eastAsia="zh-CN"/>
                    </w:rPr>
                  </w:pPr>
                  <w:r>
                    <w:rPr>
                      <w:rFonts w:hint="eastAsia"/>
                      <w:bCs/>
                      <w:sz w:val="21"/>
                      <w:szCs w:val="21"/>
                      <w:u w:val="none" w:color="auto"/>
                      <w:lang w:val="en-US" w:eastAsia="zh-CN"/>
                    </w:rPr>
                    <w:t>280</w:t>
                  </w:r>
                </w:p>
              </w:tc>
              <w:tc>
                <w:tcPr>
                  <w:tcW w:w="2228" w:type="dxa"/>
                  <w:tcBorders>
                    <w:top w:val="single" w:color="000000" w:sz="8" w:space="0"/>
                    <w:tl2br w:val="nil"/>
                    <w:tr2bl w:val="nil"/>
                  </w:tcBorders>
                  <w:noWrap w:val="0"/>
                  <w:vAlign w:val="center"/>
                </w:tcPr>
                <w:p w14:paraId="37F4C040">
                  <w:pPr>
                    <w:autoSpaceDE w:val="0"/>
                    <w:autoSpaceDN w:val="0"/>
                    <w:adjustRightInd w:val="0"/>
                    <w:snapToGrid w:val="0"/>
                    <w:jc w:val="center"/>
                    <w:rPr>
                      <w:rFonts w:hint="eastAsia" w:eastAsia="宋体"/>
                      <w:bCs/>
                      <w:sz w:val="21"/>
                      <w:szCs w:val="21"/>
                      <w:u w:val="none" w:color="auto"/>
                      <w:lang w:eastAsia="zh-CN"/>
                    </w:rPr>
                  </w:pPr>
                  <w:r>
                    <w:rPr>
                      <w:szCs w:val="21"/>
                      <w:u w:val="none" w:color="auto"/>
                    </w:rPr>
                    <w:t>《环境空气质量标准》（GB3095-</w:t>
                  </w:r>
                  <w:r>
                    <w:rPr>
                      <w:rFonts w:hint="eastAsia"/>
                      <w:szCs w:val="21"/>
                      <w:u w:val="none" w:color="auto"/>
                      <w:lang w:val="en-US" w:eastAsia="zh-CN"/>
                    </w:rPr>
                    <w:t>2026</w:t>
                  </w:r>
                  <w:r>
                    <w:rPr>
                      <w:szCs w:val="21"/>
                      <w:u w:val="none" w:color="auto"/>
                    </w:rPr>
                    <w:t>）</w:t>
                  </w:r>
                  <w:r>
                    <w:rPr>
                      <w:rFonts w:hint="eastAsia"/>
                      <w:szCs w:val="21"/>
                      <w:u w:val="none" w:color="auto"/>
                    </w:rPr>
                    <w:t>二级</w:t>
                  </w:r>
                </w:p>
              </w:tc>
            </w:tr>
            <w:tr w14:paraId="65F7A3A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2" w:type="dxa"/>
                  <w:tcBorders>
                    <w:tl2br w:val="nil"/>
                    <w:tr2bl w:val="nil"/>
                  </w:tcBorders>
                  <w:noWrap w:val="0"/>
                  <w:vAlign w:val="center"/>
                </w:tcPr>
                <w:p w14:paraId="1F703AC3">
                  <w:pPr>
                    <w:autoSpaceDE w:val="0"/>
                    <w:autoSpaceDN w:val="0"/>
                    <w:adjustRightInd w:val="0"/>
                    <w:snapToGrid w:val="0"/>
                    <w:jc w:val="center"/>
                    <w:rPr>
                      <w:rFonts w:hint="eastAsia" w:eastAsia="宋体"/>
                      <w:bCs/>
                      <w:sz w:val="21"/>
                      <w:szCs w:val="21"/>
                      <w:u w:val="none" w:color="auto"/>
                      <w:lang w:val="en-US" w:eastAsia="zh-CN"/>
                    </w:rPr>
                  </w:pPr>
                  <w:r>
                    <w:rPr>
                      <w:rFonts w:hint="eastAsia"/>
                      <w:bCs/>
                      <w:sz w:val="21"/>
                      <w:szCs w:val="21"/>
                      <w:u w:val="none" w:color="auto"/>
                      <w:lang w:val="en-US" w:eastAsia="zh-CN"/>
                    </w:rPr>
                    <w:t>环境噪声</w:t>
                  </w:r>
                </w:p>
              </w:tc>
              <w:tc>
                <w:tcPr>
                  <w:tcW w:w="4634" w:type="dxa"/>
                  <w:gridSpan w:val="3"/>
                  <w:tcBorders>
                    <w:tl2br w:val="nil"/>
                    <w:tr2bl w:val="nil"/>
                  </w:tcBorders>
                  <w:noWrap w:val="0"/>
                  <w:vAlign w:val="center"/>
                </w:tcPr>
                <w:p w14:paraId="31718DF9">
                  <w:pPr>
                    <w:autoSpaceDE w:val="0"/>
                    <w:autoSpaceDN w:val="0"/>
                    <w:adjustRightInd w:val="0"/>
                    <w:snapToGrid w:val="0"/>
                    <w:jc w:val="center"/>
                    <w:rPr>
                      <w:rFonts w:hint="default" w:eastAsia="宋体"/>
                      <w:bCs/>
                      <w:sz w:val="21"/>
                      <w:szCs w:val="21"/>
                      <w:u w:val="none" w:color="auto"/>
                      <w:lang w:val="en-US" w:eastAsia="zh-CN"/>
                    </w:rPr>
                  </w:pPr>
                  <w:r>
                    <w:rPr>
                      <w:rFonts w:hint="eastAsia" w:eastAsia="宋体"/>
                      <w:bCs/>
                      <w:sz w:val="21"/>
                      <w:szCs w:val="21"/>
                      <w:u w:val="none" w:color="auto"/>
                      <w:lang w:val="en-US" w:eastAsia="zh-CN"/>
                    </w:rPr>
                    <w:t>本项目周边50米范围内无声环境保护目标</w:t>
                  </w:r>
                </w:p>
              </w:tc>
              <w:tc>
                <w:tcPr>
                  <w:tcW w:w="2228" w:type="dxa"/>
                  <w:tcBorders>
                    <w:tl2br w:val="nil"/>
                    <w:tr2bl w:val="nil"/>
                  </w:tcBorders>
                  <w:noWrap w:val="0"/>
                  <w:vAlign w:val="center"/>
                </w:tcPr>
                <w:p w14:paraId="59318116">
                  <w:pPr>
                    <w:autoSpaceDE w:val="0"/>
                    <w:autoSpaceDN w:val="0"/>
                    <w:adjustRightInd w:val="0"/>
                    <w:snapToGrid w:val="0"/>
                    <w:jc w:val="center"/>
                    <w:rPr>
                      <w:rFonts w:hint="eastAsia" w:eastAsia="宋体"/>
                      <w:sz w:val="21"/>
                      <w:szCs w:val="21"/>
                      <w:u w:val="none" w:color="auto"/>
                      <w:lang w:val="en-US" w:eastAsia="zh-CN"/>
                    </w:rPr>
                  </w:pPr>
                  <w:r>
                    <w:rPr>
                      <w:rFonts w:hint="eastAsia"/>
                      <w:sz w:val="21"/>
                      <w:szCs w:val="21"/>
                      <w:u w:val="none" w:color="auto"/>
                      <w:lang w:val="en-US" w:eastAsia="zh-CN"/>
                    </w:rPr>
                    <w:t>/</w:t>
                  </w:r>
                </w:p>
              </w:tc>
            </w:tr>
            <w:tr w14:paraId="2827632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2" w:type="dxa"/>
                  <w:tcBorders>
                    <w:tl2br w:val="nil"/>
                    <w:tr2bl w:val="nil"/>
                  </w:tcBorders>
                  <w:noWrap w:val="0"/>
                  <w:vAlign w:val="center"/>
                </w:tcPr>
                <w:p w14:paraId="06F77597">
                  <w:pPr>
                    <w:autoSpaceDE w:val="0"/>
                    <w:autoSpaceDN w:val="0"/>
                    <w:adjustRightInd w:val="0"/>
                    <w:snapToGrid w:val="0"/>
                    <w:jc w:val="center"/>
                    <w:rPr>
                      <w:rFonts w:hint="default" w:eastAsia="宋体"/>
                      <w:bCs/>
                      <w:sz w:val="21"/>
                      <w:szCs w:val="21"/>
                      <w:u w:val="none" w:color="auto"/>
                      <w:lang w:val="en-US" w:eastAsia="zh-CN"/>
                    </w:rPr>
                  </w:pPr>
                  <w:r>
                    <w:rPr>
                      <w:rFonts w:hint="eastAsia"/>
                      <w:bCs/>
                      <w:sz w:val="21"/>
                      <w:szCs w:val="21"/>
                      <w:u w:val="none" w:color="auto"/>
                      <w:lang w:val="en-US" w:eastAsia="zh-CN"/>
                    </w:rPr>
                    <w:t>生态环境</w:t>
                  </w:r>
                </w:p>
              </w:tc>
              <w:tc>
                <w:tcPr>
                  <w:tcW w:w="4634" w:type="dxa"/>
                  <w:gridSpan w:val="3"/>
                  <w:tcBorders>
                    <w:tl2br w:val="nil"/>
                    <w:tr2bl w:val="nil"/>
                  </w:tcBorders>
                  <w:noWrap w:val="0"/>
                  <w:vAlign w:val="center"/>
                </w:tcPr>
                <w:p w14:paraId="37FF0744">
                  <w:pPr>
                    <w:autoSpaceDE w:val="0"/>
                    <w:autoSpaceDN w:val="0"/>
                    <w:adjustRightInd w:val="0"/>
                    <w:snapToGrid w:val="0"/>
                    <w:jc w:val="center"/>
                    <w:rPr>
                      <w:rFonts w:hint="default" w:eastAsia="宋体"/>
                      <w:bCs/>
                      <w:sz w:val="21"/>
                      <w:szCs w:val="21"/>
                      <w:u w:val="none" w:color="auto"/>
                      <w:lang w:val="en-US" w:eastAsia="zh-CN"/>
                    </w:rPr>
                  </w:pPr>
                  <w:r>
                    <w:rPr>
                      <w:rFonts w:hint="eastAsia" w:eastAsia="宋体"/>
                      <w:bCs/>
                      <w:sz w:val="21"/>
                      <w:szCs w:val="21"/>
                      <w:u w:val="none" w:color="auto"/>
                      <w:lang w:val="en-US" w:eastAsia="zh-CN"/>
                    </w:rPr>
                    <w:t>本项目周边500米范围内无生态环境保护目标</w:t>
                  </w:r>
                </w:p>
              </w:tc>
              <w:tc>
                <w:tcPr>
                  <w:tcW w:w="2228" w:type="dxa"/>
                  <w:tcBorders>
                    <w:tl2br w:val="nil"/>
                    <w:tr2bl w:val="nil"/>
                  </w:tcBorders>
                  <w:noWrap w:val="0"/>
                  <w:vAlign w:val="center"/>
                </w:tcPr>
                <w:p w14:paraId="31677754">
                  <w:pPr>
                    <w:autoSpaceDE w:val="0"/>
                    <w:autoSpaceDN w:val="0"/>
                    <w:adjustRightInd w:val="0"/>
                    <w:snapToGrid w:val="0"/>
                    <w:jc w:val="center"/>
                    <w:rPr>
                      <w:rFonts w:hint="default" w:eastAsia="宋体"/>
                      <w:sz w:val="21"/>
                      <w:szCs w:val="21"/>
                      <w:u w:val="none" w:color="auto"/>
                      <w:lang w:val="en-US" w:eastAsia="zh-CN"/>
                    </w:rPr>
                  </w:pPr>
                  <w:r>
                    <w:rPr>
                      <w:rFonts w:hint="eastAsia"/>
                      <w:sz w:val="21"/>
                      <w:szCs w:val="21"/>
                      <w:u w:val="none" w:color="auto"/>
                      <w:lang w:val="en-US" w:eastAsia="zh-CN"/>
                    </w:rPr>
                    <w:t>/</w:t>
                  </w:r>
                </w:p>
              </w:tc>
            </w:tr>
            <w:tr w14:paraId="0526B2B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2" w:type="dxa"/>
                  <w:tcBorders>
                    <w:tl2br w:val="nil"/>
                    <w:tr2bl w:val="nil"/>
                  </w:tcBorders>
                  <w:noWrap w:val="0"/>
                  <w:vAlign w:val="center"/>
                </w:tcPr>
                <w:p w14:paraId="67691DC6">
                  <w:pPr>
                    <w:autoSpaceDE w:val="0"/>
                    <w:autoSpaceDN w:val="0"/>
                    <w:adjustRightInd w:val="0"/>
                    <w:snapToGrid w:val="0"/>
                    <w:jc w:val="center"/>
                    <w:rPr>
                      <w:rFonts w:hint="default" w:eastAsia="宋体"/>
                      <w:bCs/>
                      <w:sz w:val="21"/>
                      <w:szCs w:val="21"/>
                      <w:u w:val="none" w:color="auto"/>
                      <w:lang w:val="en-US" w:eastAsia="zh-CN"/>
                    </w:rPr>
                  </w:pPr>
                  <w:r>
                    <w:rPr>
                      <w:rFonts w:hint="eastAsia"/>
                      <w:bCs/>
                      <w:sz w:val="21"/>
                      <w:szCs w:val="21"/>
                      <w:u w:val="none" w:color="auto"/>
                      <w:lang w:val="en-US" w:eastAsia="zh-CN"/>
                    </w:rPr>
                    <w:t>地下水环境</w:t>
                  </w:r>
                </w:p>
              </w:tc>
              <w:tc>
                <w:tcPr>
                  <w:tcW w:w="4634" w:type="dxa"/>
                  <w:gridSpan w:val="3"/>
                  <w:tcBorders>
                    <w:tl2br w:val="nil"/>
                    <w:tr2bl w:val="nil"/>
                  </w:tcBorders>
                  <w:noWrap w:val="0"/>
                  <w:vAlign w:val="center"/>
                </w:tcPr>
                <w:p w14:paraId="012E21E5">
                  <w:pPr>
                    <w:autoSpaceDE w:val="0"/>
                    <w:autoSpaceDN w:val="0"/>
                    <w:adjustRightInd w:val="0"/>
                    <w:snapToGrid w:val="0"/>
                    <w:jc w:val="center"/>
                    <w:rPr>
                      <w:rFonts w:hint="default" w:eastAsia="宋体"/>
                      <w:bCs/>
                      <w:sz w:val="21"/>
                      <w:szCs w:val="21"/>
                      <w:u w:val="none" w:color="auto"/>
                      <w:lang w:val="en-US" w:eastAsia="zh-CN"/>
                    </w:rPr>
                  </w:pPr>
                  <w:r>
                    <w:rPr>
                      <w:rFonts w:hint="eastAsia" w:eastAsia="宋体"/>
                      <w:bCs/>
                      <w:sz w:val="21"/>
                      <w:szCs w:val="21"/>
                      <w:u w:val="none" w:color="auto"/>
                      <w:lang w:val="en-US" w:eastAsia="zh-CN"/>
                    </w:rPr>
                    <w:t>本项目周边500米范围内没有地下水集中式饮用水水源和热水、矿泉水、温泉等特殊地下水资源。</w:t>
                  </w:r>
                </w:p>
              </w:tc>
              <w:tc>
                <w:tcPr>
                  <w:tcW w:w="2228" w:type="dxa"/>
                  <w:tcBorders>
                    <w:tl2br w:val="nil"/>
                    <w:tr2bl w:val="nil"/>
                  </w:tcBorders>
                  <w:noWrap w:val="0"/>
                  <w:vAlign w:val="center"/>
                </w:tcPr>
                <w:p w14:paraId="56827014">
                  <w:pPr>
                    <w:autoSpaceDE w:val="0"/>
                    <w:autoSpaceDN w:val="0"/>
                    <w:adjustRightInd w:val="0"/>
                    <w:snapToGrid w:val="0"/>
                    <w:jc w:val="center"/>
                    <w:rPr>
                      <w:rFonts w:hint="eastAsia" w:eastAsia="宋体"/>
                      <w:sz w:val="21"/>
                      <w:szCs w:val="21"/>
                      <w:u w:val="none" w:color="auto"/>
                      <w:lang w:val="en-US" w:eastAsia="zh-CN"/>
                    </w:rPr>
                  </w:pPr>
                  <w:r>
                    <w:rPr>
                      <w:rFonts w:hint="eastAsia"/>
                      <w:sz w:val="21"/>
                      <w:szCs w:val="21"/>
                      <w:u w:val="none" w:color="auto"/>
                      <w:lang w:val="en-US" w:eastAsia="zh-CN"/>
                    </w:rPr>
                    <w:t>/</w:t>
                  </w:r>
                </w:p>
              </w:tc>
            </w:tr>
          </w:tbl>
          <w:p w14:paraId="00299176">
            <w:pPr>
              <w:adjustRightInd w:val="0"/>
              <w:snapToGrid w:val="0"/>
              <w:spacing w:line="360" w:lineRule="auto"/>
              <w:ind w:firstLine="420" w:firstLineChars="200"/>
              <w:jc w:val="left"/>
              <w:rPr>
                <w:color w:val="000000"/>
                <w:kern w:val="0"/>
                <w:szCs w:val="21"/>
                <w:u w:val="none" w:color="auto"/>
              </w:rPr>
            </w:pPr>
          </w:p>
        </w:tc>
      </w:tr>
      <w:tr w14:paraId="51A31D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422" w:type="dxa"/>
            <w:noWrap w:val="0"/>
            <w:vAlign w:val="center"/>
          </w:tcPr>
          <w:p w14:paraId="6CC82A6F">
            <w:pPr>
              <w:adjustRightInd w:val="0"/>
              <w:snapToGrid w:val="0"/>
              <w:jc w:val="center"/>
              <w:rPr>
                <w:kern w:val="0"/>
                <w:szCs w:val="21"/>
                <w:u w:val="none" w:color="auto"/>
              </w:rPr>
            </w:pPr>
            <w:r>
              <w:rPr>
                <w:kern w:val="0"/>
                <w:szCs w:val="21"/>
                <w:u w:val="none" w:color="auto"/>
              </w:rPr>
              <w:t>污染</w:t>
            </w:r>
          </w:p>
          <w:p w14:paraId="43CAED99">
            <w:pPr>
              <w:adjustRightInd w:val="0"/>
              <w:snapToGrid w:val="0"/>
              <w:jc w:val="center"/>
              <w:rPr>
                <w:kern w:val="0"/>
                <w:szCs w:val="21"/>
                <w:u w:val="none" w:color="auto"/>
              </w:rPr>
            </w:pPr>
            <w:r>
              <w:rPr>
                <w:kern w:val="0"/>
                <w:szCs w:val="21"/>
                <w:u w:val="none" w:color="auto"/>
              </w:rPr>
              <w:t>物排</w:t>
            </w:r>
          </w:p>
          <w:p w14:paraId="0B494F88">
            <w:pPr>
              <w:adjustRightInd w:val="0"/>
              <w:snapToGrid w:val="0"/>
              <w:jc w:val="center"/>
              <w:rPr>
                <w:kern w:val="0"/>
                <w:szCs w:val="21"/>
                <w:u w:val="none" w:color="auto"/>
              </w:rPr>
            </w:pPr>
            <w:r>
              <w:rPr>
                <w:kern w:val="0"/>
                <w:szCs w:val="21"/>
                <w:u w:val="none" w:color="auto"/>
              </w:rPr>
              <w:t>放控</w:t>
            </w:r>
          </w:p>
          <w:p w14:paraId="78BEB5C8">
            <w:pPr>
              <w:adjustRightInd w:val="0"/>
              <w:snapToGrid w:val="0"/>
              <w:jc w:val="center"/>
              <w:rPr>
                <w:kern w:val="0"/>
                <w:szCs w:val="21"/>
                <w:u w:val="none" w:color="auto"/>
              </w:rPr>
            </w:pPr>
            <w:r>
              <w:rPr>
                <w:kern w:val="0"/>
                <w:szCs w:val="21"/>
                <w:u w:val="none" w:color="auto"/>
              </w:rPr>
              <w:t>制标</w:t>
            </w:r>
          </w:p>
          <w:p w14:paraId="60D77A34">
            <w:pPr>
              <w:adjustRightInd w:val="0"/>
              <w:snapToGrid w:val="0"/>
              <w:jc w:val="center"/>
              <w:rPr>
                <w:kern w:val="0"/>
                <w:szCs w:val="21"/>
                <w:u w:val="none" w:color="auto"/>
              </w:rPr>
            </w:pPr>
            <w:r>
              <w:rPr>
                <w:kern w:val="0"/>
                <w:szCs w:val="21"/>
                <w:u w:val="none" w:color="auto"/>
              </w:rPr>
              <w:t>准</w:t>
            </w:r>
          </w:p>
        </w:tc>
        <w:tc>
          <w:tcPr>
            <w:tcW w:w="8095" w:type="dxa"/>
            <w:noWrap w:val="0"/>
            <w:vAlign w:val="center"/>
          </w:tcPr>
          <w:p w14:paraId="7A7987F4">
            <w:pPr>
              <w:autoSpaceDE w:val="0"/>
              <w:autoSpaceDN w:val="0"/>
              <w:adjustRightInd w:val="0"/>
              <w:snapToGrid w:val="0"/>
              <w:ind w:firstLine="482" w:firstLineChars="200"/>
              <w:jc w:val="left"/>
              <w:rPr>
                <w:rFonts w:hint="eastAsia" w:hAnsi="宋体"/>
                <w:b/>
                <w:color w:val="000000"/>
                <w:sz w:val="24"/>
                <w:u w:val="none" w:color="auto"/>
                <w:lang w:val="en-US" w:eastAsia="zh-CN"/>
              </w:rPr>
            </w:pPr>
          </w:p>
          <w:p w14:paraId="65985A5B">
            <w:pPr>
              <w:autoSpaceDE w:val="0"/>
              <w:autoSpaceDN w:val="0"/>
              <w:adjustRightInd w:val="0"/>
              <w:snapToGrid w:val="0"/>
              <w:ind w:firstLine="482" w:firstLineChars="200"/>
              <w:jc w:val="left"/>
              <w:rPr>
                <w:rFonts w:hint="eastAsia" w:hAnsi="宋体"/>
                <w:b/>
                <w:color w:val="000000"/>
                <w:sz w:val="24"/>
                <w:u w:val="none" w:color="auto"/>
                <w:lang w:val="en-US" w:eastAsia="zh-CN"/>
              </w:rPr>
            </w:pPr>
          </w:p>
          <w:p w14:paraId="02E017EF">
            <w:pPr>
              <w:autoSpaceDE w:val="0"/>
              <w:autoSpaceDN w:val="0"/>
              <w:adjustRightInd w:val="0"/>
              <w:snapToGrid w:val="0"/>
              <w:ind w:firstLine="482" w:firstLineChars="200"/>
              <w:jc w:val="left"/>
              <w:rPr>
                <w:rFonts w:hint="eastAsia" w:hAnsi="宋体"/>
                <w:b/>
                <w:color w:val="000000"/>
                <w:sz w:val="24"/>
                <w:u w:val="none" w:color="auto"/>
                <w:lang w:val="en-US" w:eastAsia="zh-CN"/>
              </w:rPr>
            </w:pPr>
          </w:p>
          <w:p w14:paraId="5E51999E">
            <w:pPr>
              <w:autoSpaceDE w:val="0"/>
              <w:autoSpaceDN w:val="0"/>
              <w:adjustRightInd w:val="0"/>
              <w:snapToGrid w:val="0"/>
              <w:ind w:firstLine="482" w:firstLineChars="200"/>
              <w:jc w:val="left"/>
              <w:rPr>
                <w:rFonts w:hint="eastAsia" w:hAnsi="宋体"/>
                <w:b/>
                <w:color w:val="000000"/>
                <w:sz w:val="24"/>
                <w:u w:val="none" w:color="auto"/>
                <w:lang w:val="en-US" w:eastAsia="zh-CN"/>
              </w:rPr>
            </w:pPr>
          </w:p>
          <w:p w14:paraId="09519051">
            <w:pPr>
              <w:autoSpaceDE w:val="0"/>
              <w:autoSpaceDN w:val="0"/>
              <w:adjustRightInd w:val="0"/>
              <w:snapToGrid w:val="0"/>
              <w:ind w:firstLine="482" w:firstLineChars="200"/>
              <w:jc w:val="left"/>
              <w:rPr>
                <w:rFonts w:hint="eastAsia" w:hAnsi="宋体"/>
                <w:b/>
                <w:color w:val="000000"/>
                <w:sz w:val="24"/>
                <w:u w:val="none" w:color="auto"/>
                <w:lang w:val="en-US" w:eastAsia="zh-CN"/>
              </w:rPr>
            </w:pPr>
          </w:p>
          <w:p w14:paraId="5031B681">
            <w:pPr>
              <w:autoSpaceDE w:val="0"/>
              <w:autoSpaceDN w:val="0"/>
              <w:adjustRightInd w:val="0"/>
              <w:snapToGrid w:val="0"/>
              <w:ind w:firstLine="482" w:firstLineChars="200"/>
              <w:jc w:val="left"/>
              <w:rPr>
                <w:rFonts w:hint="eastAsia" w:hAnsi="宋体"/>
                <w:b/>
                <w:color w:val="000000"/>
                <w:sz w:val="24"/>
                <w:u w:val="none" w:color="auto"/>
                <w:lang w:val="en-US" w:eastAsia="zh-CN"/>
              </w:rPr>
            </w:pPr>
          </w:p>
          <w:p w14:paraId="5A921E92">
            <w:pPr>
              <w:autoSpaceDE w:val="0"/>
              <w:autoSpaceDN w:val="0"/>
              <w:adjustRightInd w:val="0"/>
              <w:snapToGrid w:val="0"/>
              <w:ind w:firstLine="482" w:firstLineChars="200"/>
              <w:jc w:val="left"/>
              <w:rPr>
                <w:rFonts w:hint="default" w:hAnsi="宋体" w:eastAsia="宋体"/>
                <w:b/>
                <w:color w:val="000000"/>
                <w:sz w:val="24"/>
                <w:u w:val="none" w:color="auto"/>
                <w:lang w:val="en-US" w:eastAsia="zh-CN"/>
              </w:rPr>
            </w:pPr>
            <w:r>
              <w:rPr>
                <w:rFonts w:hint="eastAsia" w:hAnsi="宋体"/>
                <w:b/>
                <w:color w:val="000000"/>
                <w:sz w:val="24"/>
                <w:u w:val="none" w:color="auto"/>
                <w:lang w:val="en-US" w:eastAsia="zh-CN"/>
              </w:rPr>
              <w:t>1、废气</w:t>
            </w:r>
          </w:p>
          <w:p w14:paraId="59A482D0">
            <w:pPr>
              <w:autoSpaceDE w:val="0"/>
              <w:autoSpaceDN w:val="0"/>
              <w:adjustRightInd w:val="0"/>
              <w:snapToGrid w:val="0"/>
              <w:ind w:firstLine="482" w:firstLineChars="200"/>
              <w:jc w:val="center"/>
              <w:rPr>
                <w:rFonts w:hint="eastAsia" w:hAnsi="宋体"/>
                <w:b/>
                <w:color w:val="000000"/>
                <w:sz w:val="24"/>
                <w:u w:val="none" w:color="auto"/>
                <w:lang w:val="en-US" w:eastAsia="zh-CN"/>
              </w:rPr>
            </w:pPr>
            <w:r>
              <w:rPr>
                <w:rFonts w:hint="eastAsia" w:hAnsi="宋体"/>
                <w:b/>
                <w:color w:val="000000"/>
                <w:sz w:val="24"/>
                <w:u w:val="none" w:color="auto"/>
              </w:rPr>
              <w:t>表3-</w:t>
            </w:r>
            <w:r>
              <w:rPr>
                <w:rFonts w:hint="eastAsia" w:hAnsi="宋体"/>
                <w:b/>
                <w:color w:val="000000"/>
                <w:sz w:val="24"/>
                <w:u w:val="none" w:color="auto"/>
                <w:lang w:val="en-US" w:eastAsia="zh-CN"/>
              </w:rPr>
              <w:t>4</w:t>
            </w:r>
            <w:r>
              <w:rPr>
                <w:rFonts w:hint="eastAsia" w:hAnsi="宋体"/>
                <w:b/>
                <w:color w:val="000000"/>
                <w:sz w:val="24"/>
                <w:u w:val="none" w:color="auto"/>
              </w:rPr>
              <w:t xml:space="preserve"> </w:t>
            </w:r>
            <w:r>
              <w:rPr>
                <w:rFonts w:hint="eastAsia" w:hAnsi="宋体"/>
                <w:b/>
                <w:color w:val="000000"/>
                <w:sz w:val="24"/>
                <w:u w:val="none" w:color="auto"/>
                <w:lang w:val="en-US" w:eastAsia="zh-CN"/>
              </w:rPr>
              <w:t xml:space="preserve">  </w:t>
            </w:r>
            <w:r>
              <w:rPr>
                <w:rFonts w:hint="eastAsia" w:hAnsi="宋体"/>
                <w:b/>
                <w:color w:val="000000"/>
                <w:sz w:val="24"/>
                <w:u w:val="none" w:color="auto"/>
              </w:rPr>
              <w:t xml:space="preserve"> </w:t>
            </w:r>
            <w:r>
              <w:rPr>
                <w:rFonts w:hint="eastAsia" w:hAnsi="宋体"/>
                <w:b/>
                <w:color w:val="000000"/>
                <w:sz w:val="24"/>
                <w:u w:val="none" w:color="auto"/>
                <w:lang w:val="en-US" w:eastAsia="zh-CN"/>
              </w:rPr>
              <w:t>废气排放限值一览表</w:t>
            </w:r>
          </w:p>
          <w:tbl>
            <w:tblPr>
              <w:tblStyle w:val="32"/>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0"/>
              <w:gridCol w:w="3175"/>
              <w:gridCol w:w="867"/>
              <w:gridCol w:w="3197"/>
            </w:tblGrid>
            <w:tr w14:paraId="1413761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0" w:type="dxa"/>
                  <w:tcBorders>
                    <w:bottom w:val="single" w:color="auto" w:sz="8" w:space="0"/>
                  </w:tcBorders>
                  <w:noWrap w:val="0"/>
                  <w:vAlign w:val="center"/>
                </w:tcPr>
                <w:p w14:paraId="697E5DEA">
                  <w:pPr>
                    <w:keepNext w:val="0"/>
                    <w:keepLines w:val="0"/>
                    <w:suppressLineNumbers w:val="0"/>
                    <w:adjustRightInd w:val="0"/>
                    <w:snapToGrid w:val="0"/>
                    <w:spacing w:before="0" w:beforeAutospacing="0" w:after="0" w:afterAutospacing="0"/>
                    <w:ind w:left="0" w:right="0"/>
                    <w:jc w:val="center"/>
                    <w:rPr>
                      <w:rFonts w:hint="default"/>
                      <w:b/>
                      <w:color w:val="auto"/>
                      <w:sz w:val="21"/>
                      <w:szCs w:val="21"/>
                      <w:u w:val="none" w:color="auto"/>
                    </w:rPr>
                  </w:pPr>
                  <w:r>
                    <w:rPr>
                      <w:rFonts w:hint="default" w:hAnsi="宋体"/>
                      <w:b/>
                      <w:color w:val="auto"/>
                      <w:sz w:val="21"/>
                      <w:szCs w:val="21"/>
                      <w:u w:val="none" w:color="auto"/>
                    </w:rPr>
                    <w:t>污染类别</w:t>
                  </w:r>
                </w:p>
              </w:tc>
              <w:tc>
                <w:tcPr>
                  <w:tcW w:w="3175" w:type="dxa"/>
                  <w:tcBorders>
                    <w:bottom w:val="single" w:color="auto" w:sz="8" w:space="0"/>
                  </w:tcBorders>
                  <w:noWrap w:val="0"/>
                  <w:vAlign w:val="center"/>
                </w:tcPr>
                <w:p w14:paraId="0F7ACDB5">
                  <w:pPr>
                    <w:keepNext w:val="0"/>
                    <w:keepLines w:val="0"/>
                    <w:suppressLineNumbers w:val="0"/>
                    <w:adjustRightInd w:val="0"/>
                    <w:snapToGrid w:val="0"/>
                    <w:spacing w:before="0" w:beforeAutospacing="0" w:after="0" w:afterAutospacing="0"/>
                    <w:ind w:left="0" w:right="0"/>
                    <w:jc w:val="center"/>
                    <w:rPr>
                      <w:rFonts w:hint="default"/>
                      <w:b/>
                      <w:color w:val="auto"/>
                      <w:sz w:val="21"/>
                      <w:szCs w:val="21"/>
                      <w:u w:val="none" w:color="auto"/>
                    </w:rPr>
                  </w:pPr>
                  <w:r>
                    <w:rPr>
                      <w:rFonts w:hint="default" w:hAnsi="宋体"/>
                      <w:b/>
                      <w:color w:val="auto"/>
                      <w:sz w:val="21"/>
                      <w:szCs w:val="21"/>
                      <w:u w:val="none" w:color="auto"/>
                    </w:rPr>
                    <w:t>标准名称及级（类）别</w:t>
                  </w:r>
                </w:p>
              </w:tc>
              <w:tc>
                <w:tcPr>
                  <w:tcW w:w="867" w:type="dxa"/>
                  <w:tcBorders>
                    <w:bottom w:val="single" w:color="auto" w:sz="8" w:space="0"/>
                  </w:tcBorders>
                  <w:noWrap w:val="0"/>
                  <w:vAlign w:val="center"/>
                </w:tcPr>
                <w:p w14:paraId="52C7D0E1">
                  <w:pPr>
                    <w:keepNext w:val="0"/>
                    <w:keepLines w:val="0"/>
                    <w:suppressLineNumbers w:val="0"/>
                    <w:adjustRightInd w:val="0"/>
                    <w:snapToGrid w:val="0"/>
                    <w:spacing w:before="0" w:beforeAutospacing="0" w:after="0" w:afterAutospacing="0"/>
                    <w:ind w:left="0" w:right="0"/>
                    <w:jc w:val="center"/>
                    <w:rPr>
                      <w:rFonts w:hint="default" w:hAnsi="宋体"/>
                      <w:b/>
                      <w:color w:val="auto"/>
                      <w:sz w:val="21"/>
                      <w:szCs w:val="21"/>
                      <w:u w:val="none" w:color="auto"/>
                    </w:rPr>
                  </w:pPr>
                  <w:r>
                    <w:rPr>
                      <w:rFonts w:hint="default" w:hAnsi="宋体"/>
                      <w:b/>
                      <w:color w:val="auto"/>
                      <w:sz w:val="21"/>
                      <w:szCs w:val="21"/>
                      <w:u w:val="none" w:color="auto"/>
                    </w:rPr>
                    <w:t>污染</w:t>
                  </w:r>
                </w:p>
                <w:p w14:paraId="63BB57C3">
                  <w:pPr>
                    <w:keepNext w:val="0"/>
                    <w:keepLines w:val="0"/>
                    <w:suppressLineNumbers w:val="0"/>
                    <w:adjustRightInd w:val="0"/>
                    <w:snapToGrid w:val="0"/>
                    <w:spacing w:before="0" w:beforeAutospacing="0" w:after="0" w:afterAutospacing="0"/>
                    <w:ind w:left="0" w:right="0"/>
                    <w:jc w:val="center"/>
                    <w:rPr>
                      <w:rFonts w:hint="default"/>
                      <w:b/>
                      <w:color w:val="auto"/>
                      <w:sz w:val="21"/>
                      <w:szCs w:val="21"/>
                      <w:u w:val="none" w:color="auto"/>
                    </w:rPr>
                  </w:pPr>
                  <w:r>
                    <w:rPr>
                      <w:rFonts w:hint="default" w:hAnsi="宋体"/>
                      <w:b/>
                      <w:color w:val="auto"/>
                      <w:sz w:val="21"/>
                      <w:szCs w:val="21"/>
                      <w:u w:val="none" w:color="auto"/>
                    </w:rPr>
                    <w:t>因子</w:t>
                  </w:r>
                </w:p>
              </w:tc>
              <w:tc>
                <w:tcPr>
                  <w:tcW w:w="3197" w:type="dxa"/>
                  <w:tcBorders>
                    <w:bottom w:val="single" w:color="auto" w:sz="8" w:space="0"/>
                  </w:tcBorders>
                  <w:noWrap w:val="0"/>
                  <w:vAlign w:val="center"/>
                </w:tcPr>
                <w:p w14:paraId="677A6CF7">
                  <w:pPr>
                    <w:keepNext w:val="0"/>
                    <w:keepLines w:val="0"/>
                    <w:suppressLineNumbers w:val="0"/>
                    <w:adjustRightInd w:val="0"/>
                    <w:snapToGrid w:val="0"/>
                    <w:spacing w:before="0" w:beforeAutospacing="0" w:after="0" w:afterAutospacing="0"/>
                    <w:ind w:left="0" w:right="0"/>
                    <w:jc w:val="center"/>
                    <w:rPr>
                      <w:rFonts w:hint="default"/>
                      <w:b/>
                      <w:color w:val="auto"/>
                      <w:sz w:val="21"/>
                      <w:szCs w:val="21"/>
                      <w:u w:val="none" w:color="auto"/>
                    </w:rPr>
                  </w:pPr>
                  <w:r>
                    <w:rPr>
                      <w:rFonts w:hint="default" w:hAnsi="宋体"/>
                      <w:b/>
                      <w:color w:val="auto"/>
                      <w:sz w:val="21"/>
                      <w:szCs w:val="21"/>
                      <w:u w:val="none" w:color="auto"/>
                    </w:rPr>
                    <w:t>标准限值</w:t>
                  </w:r>
                </w:p>
              </w:tc>
            </w:tr>
            <w:tr w14:paraId="78033B9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0" w:type="dxa"/>
                  <w:vMerge w:val="restart"/>
                  <w:tcBorders>
                    <w:top w:val="single" w:color="auto" w:sz="8" w:space="0"/>
                    <w:tl2br w:val="nil"/>
                    <w:tr2bl w:val="nil"/>
                  </w:tcBorders>
                  <w:noWrap w:val="0"/>
                  <w:vAlign w:val="center"/>
                </w:tcPr>
                <w:p w14:paraId="5417C671">
                  <w:pPr>
                    <w:keepNext w:val="0"/>
                    <w:keepLines w:val="0"/>
                    <w:suppressLineNumbers w:val="0"/>
                    <w:adjustRightInd w:val="0"/>
                    <w:snapToGrid w:val="0"/>
                    <w:spacing w:before="0" w:beforeAutospacing="0" w:after="0" w:afterAutospacing="0"/>
                    <w:ind w:left="0" w:right="0"/>
                    <w:jc w:val="center"/>
                    <w:rPr>
                      <w:rFonts w:hint="default" w:hAnsi="宋体"/>
                      <w:color w:val="auto"/>
                      <w:sz w:val="21"/>
                      <w:szCs w:val="21"/>
                      <w:u w:val="none" w:color="auto"/>
                      <w:lang w:val="en-US" w:eastAsia="zh-CN"/>
                    </w:rPr>
                  </w:pPr>
                  <w:r>
                    <w:rPr>
                      <w:rFonts w:hint="eastAsia" w:hAnsi="宋体"/>
                      <w:color w:val="auto"/>
                      <w:sz w:val="21"/>
                      <w:szCs w:val="21"/>
                      <w:u w:val="none" w:color="auto"/>
                      <w:lang w:val="en-US" w:eastAsia="zh-CN"/>
                    </w:rPr>
                    <w:t>废气</w:t>
                  </w:r>
                </w:p>
              </w:tc>
              <w:tc>
                <w:tcPr>
                  <w:tcW w:w="3175" w:type="dxa"/>
                  <w:vMerge w:val="restart"/>
                  <w:tcBorders>
                    <w:top w:val="single" w:color="auto" w:sz="8" w:space="0"/>
                    <w:tl2br w:val="nil"/>
                    <w:tr2bl w:val="nil"/>
                  </w:tcBorders>
                  <w:shd w:val="clear" w:color="auto" w:fill="auto"/>
                  <w:noWrap w:val="0"/>
                  <w:vAlign w:val="center"/>
                </w:tcPr>
                <w:p w14:paraId="476FE5A7">
                  <w:pPr>
                    <w:keepNext w:val="0"/>
                    <w:keepLines w:val="0"/>
                    <w:suppressLineNumbers w:val="0"/>
                    <w:adjustRightInd w:val="0"/>
                    <w:snapToGrid w:val="0"/>
                    <w:spacing w:before="0" w:beforeAutospacing="0" w:after="0" w:afterAutospacing="0" w:line="240" w:lineRule="auto"/>
                    <w:ind w:left="0" w:leftChars="0" w:right="0" w:rightChars="0"/>
                    <w:jc w:val="both"/>
                    <w:rPr>
                      <w:rFonts w:hint="default" w:ascii="Times New Roman" w:hAnsi="Times New Roman" w:eastAsia="宋体" w:cs="Times New Roman"/>
                      <w:color w:val="000000"/>
                      <w:kern w:val="2"/>
                      <w:sz w:val="21"/>
                      <w:szCs w:val="21"/>
                      <w:highlight w:val="none"/>
                      <w:u w:val="none" w:color="auto"/>
                      <w:lang w:val="en-US" w:eastAsia="zh-CN" w:bidi="ar-SA"/>
                    </w:rPr>
                  </w:pPr>
                  <w:r>
                    <w:rPr>
                      <w:rFonts w:hint="default" w:hAnsi="宋体"/>
                      <w:color w:val="000000"/>
                      <w:kern w:val="0"/>
                      <w:sz w:val="21"/>
                      <w:szCs w:val="21"/>
                      <w:highlight w:val="none"/>
                      <w:u w:val="none" w:color="auto"/>
                      <w:vertAlign w:val="baseline"/>
                      <w:lang w:val="en-US" w:eastAsia="zh-CN"/>
                    </w:rPr>
                    <w:t>《</w:t>
                  </w:r>
                  <w:r>
                    <w:rPr>
                      <w:rFonts w:hint="eastAsia" w:hAnsi="宋体"/>
                      <w:color w:val="000000"/>
                      <w:kern w:val="0"/>
                      <w:sz w:val="21"/>
                      <w:szCs w:val="21"/>
                      <w:highlight w:val="none"/>
                      <w:u w:val="none" w:color="auto"/>
                      <w:vertAlign w:val="baseline"/>
                      <w:lang w:val="en-US" w:eastAsia="zh-CN"/>
                    </w:rPr>
                    <w:t>电池工业污染物排放标准</w:t>
                  </w:r>
                  <w:r>
                    <w:rPr>
                      <w:rFonts w:hint="default" w:hAnsi="宋体"/>
                      <w:color w:val="000000"/>
                      <w:kern w:val="0"/>
                      <w:sz w:val="21"/>
                      <w:szCs w:val="21"/>
                      <w:highlight w:val="none"/>
                      <w:u w:val="none" w:color="auto"/>
                      <w:vertAlign w:val="baseline"/>
                      <w:lang w:val="en-US" w:eastAsia="zh-CN"/>
                    </w:rPr>
                    <w:t>》</w:t>
                  </w:r>
                  <w:r>
                    <w:rPr>
                      <w:rFonts w:hint="eastAsia"/>
                      <w:color w:val="auto"/>
                      <w:sz w:val="21"/>
                      <w:szCs w:val="21"/>
                      <w:highlight w:val="none"/>
                      <w:u w:val="none" w:color="auto"/>
                      <w:lang w:val="en-US" w:eastAsia="zh-CN"/>
                    </w:rPr>
                    <w:t>（GB30484-2013）</w:t>
                  </w:r>
                </w:p>
              </w:tc>
              <w:tc>
                <w:tcPr>
                  <w:tcW w:w="867" w:type="dxa"/>
                  <w:tcBorders>
                    <w:top w:val="single" w:color="auto" w:sz="8" w:space="0"/>
                    <w:tl2br w:val="nil"/>
                    <w:tr2bl w:val="nil"/>
                  </w:tcBorders>
                  <w:noWrap w:val="0"/>
                  <w:vAlign w:val="center"/>
                </w:tcPr>
                <w:p w14:paraId="1D80E49C">
                  <w:pPr>
                    <w:keepNext w:val="0"/>
                    <w:keepLines w:val="0"/>
                    <w:suppressLineNumbers w:val="0"/>
                    <w:adjustRightInd w:val="0"/>
                    <w:snapToGrid w:val="0"/>
                    <w:spacing w:before="0" w:beforeAutospacing="0" w:after="0" w:afterAutospacing="0"/>
                    <w:ind w:left="0" w:right="0"/>
                    <w:jc w:val="center"/>
                    <w:rPr>
                      <w:rFonts w:hint="default" w:hAnsi="宋体"/>
                      <w:b w:val="0"/>
                      <w:bCs/>
                      <w:color w:val="auto"/>
                      <w:sz w:val="21"/>
                      <w:szCs w:val="21"/>
                      <w:u w:val="none" w:color="auto"/>
                      <w:lang w:val="en-US" w:eastAsia="zh-CN"/>
                    </w:rPr>
                  </w:pPr>
                  <w:r>
                    <w:rPr>
                      <w:rFonts w:hint="eastAsia" w:hAnsi="宋体"/>
                      <w:b w:val="0"/>
                      <w:bCs/>
                      <w:color w:val="auto"/>
                      <w:sz w:val="21"/>
                      <w:szCs w:val="21"/>
                      <w:u w:val="none" w:color="auto"/>
                      <w:lang w:val="en-US" w:eastAsia="zh-CN"/>
                    </w:rPr>
                    <w:t>非甲烷总烃</w:t>
                  </w:r>
                </w:p>
              </w:tc>
              <w:tc>
                <w:tcPr>
                  <w:tcW w:w="3197" w:type="dxa"/>
                  <w:tcBorders>
                    <w:top w:val="single" w:color="auto" w:sz="8" w:space="0"/>
                    <w:tl2br w:val="nil"/>
                    <w:tr2bl w:val="nil"/>
                  </w:tcBorders>
                  <w:noWrap w:val="0"/>
                  <w:vAlign w:val="center"/>
                </w:tcPr>
                <w:p w14:paraId="3AD2BB88">
                  <w:pPr>
                    <w:keepNext w:val="0"/>
                    <w:keepLines w:val="0"/>
                    <w:suppressLineNumbers w:val="0"/>
                    <w:spacing w:before="0" w:beforeAutospacing="0" w:after="0" w:afterAutospacing="0"/>
                    <w:ind w:left="0" w:leftChars="0" w:right="0" w:rightChars="0"/>
                    <w:jc w:val="center"/>
                    <w:rPr>
                      <w:rFonts w:hint="default"/>
                      <w:sz w:val="21"/>
                      <w:szCs w:val="21"/>
                      <w:u w:val="none" w:color="auto"/>
                      <w:vertAlign w:val="baseline"/>
                      <w:lang w:val="en-US" w:eastAsia="zh-CN"/>
                    </w:rPr>
                  </w:pPr>
                  <w:r>
                    <w:rPr>
                      <w:rFonts w:hint="eastAsia" w:cs="宋体"/>
                      <w:color w:val="000000"/>
                      <w:sz w:val="21"/>
                      <w:szCs w:val="21"/>
                      <w:u w:val="none" w:color="auto"/>
                      <w:lang w:val="en-US" w:eastAsia="zh-CN" w:bidi="ar"/>
                    </w:rPr>
                    <w:t>有组织</w:t>
                  </w:r>
                  <w:r>
                    <w:rPr>
                      <w:rFonts w:hint="eastAsia" w:cs="宋体"/>
                      <w:color w:val="000000"/>
                      <w:sz w:val="21"/>
                      <w:szCs w:val="21"/>
                      <w:u w:val="none" w:color="auto"/>
                      <w:lang w:bidi="ar"/>
                    </w:rPr>
                    <w:t>排放浓度</w:t>
                  </w:r>
                  <w:r>
                    <w:rPr>
                      <w:rFonts w:hint="eastAsia"/>
                      <w:color w:val="000000"/>
                      <w:sz w:val="21"/>
                      <w:szCs w:val="21"/>
                      <w:u w:val="none" w:color="auto"/>
                      <w:lang w:val="en-US" w:eastAsia="zh-CN" w:bidi="ar"/>
                    </w:rPr>
                    <w:t>5</w:t>
                  </w:r>
                  <w:r>
                    <w:rPr>
                      <w:rFonts w:hint="default"/>
                      <w:color w:val="000000"/>
                      <w:sz w:val="21"/>
                      <w:szCs w:val="21"/>
                      <w:u w:val="none" w:color="auto"/>
                      <w:lang w:bidi="ar"/>
                    </w:rPr>
                    <w:t>0mg/m</w:t>
                  </w:r>
                  <w:r>
                    <w:rPr>
                      <w:rFonts w:hint="default"/>
                      <w:color w:val="000000"/>
                      <w:sz w:val="21"/>
                      <w:szCs w:val="21"/>
                      <w:u w:val="none" w:color="auto"/>
                      <w:vertAlign w:val="superscript"/>
                      <w:lang w:bidi="ar"/>
                    </w:rPr>
                    <w:t>3</w:t>
                  </w:r>
                  <w:r>
                    <w:rPr>
                      <w:rFonts w:hint="eastAsia"/>
                      <w:color w:val="000000"/>
                      <w:sz w:val="21"/>
                      <w:szCs w:val="21"/>
                      <w:u w:val="none" w:color="auto"/>
                      <w:vertAlign w:val="baseline"/>
                      <w:lang w:val="en-US" w:eastAsia="zh-CN" w:bidi="ar"/>
                    </w:rPr>
                    <w:t>，厂界最高浓度限值2.0</w:t>
                  </w:r>
                  <w:r>
                    <w:rPr>
                      <w:rFonts w:hint="default"/>
                      <w:color w:val="000000"/>
                      <w:sz w:val="21"/>
                      <w:szCs w:val="21"/>
                      <w:u w:val="none" w:color="auto"/>
                      <w:lang w:bidi="ar"/>
                    </w:rPr>
                    <w:t>mg/m</w:t>
                  </w:r>
                  <w:r>
                    <w:rPr>
                      <w:rFonts w:hint="default"/>
                      <w:color w:val="000000"/>
                      <w:sz w:val="21"/>
                      <w:szCs w:val="21"/>
                      <w:u w:val="none" w:color="auto"/>
                      <w:vertAlign w:val="superscript"/>
                      <w:lang w:bidi="ar"/>
                    </w:rPr>
                    <w:t>3</w:t>
                  </w:r>
                </w:p>
              </w:tc>
            </w:tr>
            <w:tr w14:paraId="1CF5804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0" w:type="dxa"/>
                  <w:vMerge w:val="continue"/>
                  <w:tcBorders>
                    <w:tl2br w:val="nil"/>
                    <w:tr2bl w:val="nil"/>
                  </w:tcBorders>
                  <w:noWrap w:val="0"/>
                  <w:vAlign w:val="center"/>
                </w:tcPr>
                <w:p w14:paraId="1FC9E744">
                  <w:pPr>
                    <w:keepNext w:val="0"/>
                    <w:keepLines w:val="0"/>
                    <w:suppressLineNumbers w:val="0"/>
                    <w:adjustRightInd w:val="0"/>
                    <w:snapToGrid w:val="0"/>
                    <w:spacing w:before="0" w:beforeAutospacing="0" w:after="0" w:afterAutospacing="0"/>
                    <w:ind w:left="0" w:right="0"/>
                    <w:jc w:val="center"/>
                    <w:rPr>
                      <w:rFonts w:hint="eastAsia" w:hAnsi="宋体"/>
                      <w:color w:val="auto"/>
                      <w:sz w:val="21"/>
                      <w:szCs w:val="21"/>
                      <w:u w:val="none" w:color="auto"/>
                      <w:lang w:val="en-US" w:eastAsia="zh-CN"/>
                    </w:rPr>
                  </w:pPr>
                </w:p>
              </w:tc>
              <w:tc>
                <w:tcPr>
                  <w:tcW w:w="3175" w:type="dxa"/>
                  <w:vMerge w:val="continue"/>
                  <w:tcBorders>
                    <w:tl2br w:val="nil"/>
                    <w:tr2bl w:val="nil"/>
                  </w:tcBorders>
                  <w:shd w:val="clear" w:color="auto" w:fill="auto"/>
                  <w:noWrap w:val="0"/>
                  <w:vAlign w:val="center"/>
                </w:tcPr>
                <w:p w14:paraId="4292426A">
                  <w:pPr>
                    <w:keepNext w:val="0"/>
                    <w:keepLines w:val="0"/>
                    <w:suppressLineNumbers w:val="0"/>
                    <w:adjustRightInd w:val="0"/>
                    <w:snapToGrid w:val="0"/>
                    <w:spacing w:before="0" w:beforeAutospacing="0" w:after="0" w:afterAutospacing="0" w:line="240" w:lineRule="auto"/>
                    <w:ind w:left="0" w:leftChars="0" w:right="0" w:rightChars="0"/>
                    <w:jc w:val="both"/>
                    <w:rPr>
                      <w:rFonts w:hint="default" w:hAnsi="宋体"/>
                      <w:color w:val="000000"/>
                      <w:kern w:val="0"/>
                      <w:sz w:val="21"/>
                      <w:szCs w:val="21"/>
                      <w:highlight w:val="none"/>
                      <w:u w:val="none" w:color="auto"/>
                      <w:vertAlign w:val="baseline"/>
                      <w:lang w:val="en-US" w:eastAsia="zh-CN"/>
                    </w:rPr>
                  </w:pPr>
                </w:p>
              </w:tc>
              <w:tc>
                <w:tcPr>
                  <w:tcW w:w="867" w:type="dxa"/>
                  <w:tcBorders>
                    <w:tl2br w:val="nil"/>
                    <w:tr2bl w:val="nil"/>
                  </w:tcBorders>
                  <w:noWrap w:val="0"/>
                  <w:vAlign w:val="center"/>
                </w:tcPr>
                <w:p w14:paraId="2FB5B84B">
                  <w:pPr>
                    <w:keepNext w:val="0"/>
                    <w:keepLines w:val="0"/>
                    <w:suppressLineNumbers w:val="0"/>
                    <w:adjustRightInd w:val="0"/>
                    <w:snapToGrid w:val="0"/>
                    <w:spacing w:before="0" w:beforeAutospacing="0" w:after="0" w:afterAutospacing="0"/>
                    <w:ind w:left="0" w:right="0"/>
                    <w:jc w:val="center"/>
                    <w:rPr>
                      <w:rFonts w:hint="default" w:hAnsi="宋体"/>
                      <w:b w:val="0"/>
                      <w:bCs/>
                      <w:color w:val="auto"/>
                      <w:sz w:val="21"/>
                      <w:szCs w:val="21"/>
                      <w:u w:val="none" w:color="auto"/>
                      <w:lang w:val="en-US" w:eastAsia="zh-CN"/>
                    </w:rPr>
                  </w:pPr>
                  <w:r>
                    <w:rPr>
                      <w:rFonts w:hint="eastAsia" w:hAnsi="宋体"/>
                      <w:b w:val="0"/>
                      <w:bCs/>
                      <w:color w:val="auto"/>
                      <w:sz w:val="21"/>
                      <w:szCs w:val="21"/>
                      <w:u w:val="none" w:color="auto"/>
                      <w:lang w:val="en-US" w:eastAsia="zh-CN"/>
                    </w:rPr>
                    <w:t>颗粒物</w:t>
                  </w:r>
                </w:p>
              </w:tc>
              <w:tc>
                <w:tcPr>
                  <w:tcW w:w="3197" w:type="dxa"/>
                  <w:tcBorders>
                    <w:tl2br w:val="nil"/>
                    <w:tr2bl w:val="nil"/>
                  </w:tcBorders>
                  <w:noWrap w:val="0"/>
                  <w:vAlign w:val="center"/>
                </w:tcPr>
                <w:p w14:paraId="4AFA84A7">
                  <w:pPr>
                    <w:keepNext w:val="0"/>
                    <w:keepLines w:val="0"/>
                    <w:suppressLineNumbers w:val="0"/>
                    <w:spacing w:before="0" w:beforeAutospacing="0" w:after="0" w:afterAutospacing="0"/>
                    <w:ind w:left="0" w:leftChars="0" w:right="0" w:rightChars="0"/>
                    <w:jc w:val="center"/>
                    <w:rPr>
                      <w:rFonts w:hint="eastAsia" w:eastAsia="宋体"/>
                      <w:sz w:val="21"/>
                      <w:szCs w:val="21"/>
                      <w:u w:val="none" w:color="auto"/>
                      <w:lang w:val="en-US" w:eastAsia="zh-CN"/>
                    </w:rPr>
                  </w:pPr>
                  <w:r>
                    <w:rPr>
                      <w:rFonts w:hint="eastAsia" w:cs="宋体"/>
                      <w:color w:val="000000"/>
                      <w:sz w:val="21"/>
                      <w:szCs w:val="21"/>
                      <w:u w:val="none" w:color="auto"/>
                      <w:lang w:val="en-US" w:eastAsia="zh-CN" w:bidi="ar"/>
                    </w:rPr>
                    <w:t>有组织</w:t>
                  </w:r>
                  <w:r>
                    <w:rPr>
                      <w:rFonts w:hint="eastAsia" w:cs="宋体"/>
                      <w:color w:val="000000"/>
                      <w:sz w:val="21"/>
                      <w:szCs w:val="21"/>
                      <w:u w:val="none" w:color="auto"/>
                      <w:lang w:bidi="ar"/>
                    </w:rPr>
                    <w:t>排放浓度</w:t>
                  </w:r>
                  <w:r>
                    <w:rPr>
                      <w:rFonts w:hint="eastAsia"/>
                      <w:color w:val="000000"/>
                      <w:sz w:val="21"/>
                      <w:szCs w:val="21"/>
                      <w:u w:val="none" w:color="auto"/>
                      <w:lang w:val="en-US" w:eastAsia="zh-CN" w:bidi="ar"/>
                    </w:rPr>
                    <w:t>30</w:t>
                  </w:r>
                  <w:r>
                    <w:rPr>
                      <w:rFonts w:hint="default"/>
                      <w:color w:val="000000"/>
                      <w:sz w:val="21"/>
                      <w:szCs w:val="21"/>
                      <w:u w:val="none" w:color="auto"/>
                      <w:lang w:bidi="ar"/>
                    </w:rPr>
                    <w:t>mg/m</w:t>
                  </w:r>
                  <w:r>
                    <w:rPr>
                      <w:rFonts w:hint="default"/>
                      <w:color w:val="000000"/>
                      <w:sz w:val="21"/>
                      <w:szCs w:val="21"/>
                      <w:u w:val="none" w:color="auto"/>
                      <w:vertAlign w:val="superscript"/>
                      <w:lang w:bidi="ar"/>
                    </w:rPr>
                    <w:t>3</w:t>
                  </w:r>
                  <w:r>
                    <w:rPr>
                      <w:rFonts w:hint="eastAsia"/>
                      <w:color w:val="000000"/>
                      <w:sz w:val="21"/>
                      <w:szCs w:val="21"/>
                      <w:u w:val="none" w:color="auto"/>
                      <w:vertAlign w:val="baseline"/>
                      <w:lang w:eastAsia="zh-CN" w:bidi="ar"/>
                    </w:rPr>
                    <w:t>，</w:t>
                  </w:r>
                  <w:r>
                    <w:rPr>
                      <w:rFonts w:hint="eastAsia"/>
                      <w:color w:val="000000"/>
                      <w:sz w:val="21"/>
                      <w:szCs w:val="21"/>
                      <w:u w:val="none" w:color="auto"/>
                      <w:vertAlign w:val="baseline"/>
                      <w:lang w:val="en-US" w:eastAsia="zh-CN" w:bidi="ar"/>
                    </w:rPr>
                    <w:t>厂界最高浓度限值0.3</w:t>
                  </w:r>
                  <w:r>
                    <w:rPr>
                      <w:rFonts w:hint="default"/>
                      <w:color w:val="000000"/>
                      <w:sz w:val="21"/>
                      <w:szCs w:val="21"/>
                      <w:u w:val="none" w:color="auto"/>
                      <w:lang w:bidi="ar"/>
                    </w:rPr>
                    <w:t>mg/m</w:t>
                  </w:r>
                  <w:r>
                    <w:rPr>
                      <w:rFonts w:hint="default"/>
                      <w:color w:val="000000"/>
                      <w:sz w:val="21"/>
                      <w:szCs w:val="21"/>
                      <w:u w:val="none" w:color="auto"/>
                      <w:vertAlign w:val="superscript"/>
                      <w:lang w:bidi="ar"/>
                    </w:rPr>
                    <w:t>3</w:t>
                  </w:r>
                </w:p>
              </w:tc>
            </w:tr>
            <w:tr w14:paraId="3258A54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0" w:type="dxa"/>
                  <w:vMerge w:val="continue"/>
                  <w:tcBorders>
                    <w:tl2br w:val="nil"/>
                    <w:tr2bl w:val="nil"/>
                  </w:tcBorders>
                  <w:noWrap w:val="0"/>
                  <w:vAlign w:val="center"/>
                </w:tcPr>
                <w:p w14:paraId="310A4A2B">
                  <w:pPr>
                    <w:keepNext w:val="0"/>
                    <w:keepLines w:val="0"/>
                    <w:suppressLineNumbers w:val="0"/>
                    <w:adjustRightInd w:val="0"/>
                    <w:snapToGrid w:val="0"/>
                    <w:spacing w:before="0" w:beforeAutospacing="0" w:after="0" w:afterAutospacing="0"/>
                    <w:ind w:left="0" w:right="0"/>
                    <w:jc w:val="center"/>
                    <w:rPr>
                      <w:rFonts w:hint="eastAsia" w:hAnsi="宋体"/>
                      <w:color w:val="auto"/>
                      <w:sz w:val="21"/>
                      <w:szCs w:val="21"/>
                      <w:u w:val="none" w:color="auto"/>
                      <w:lang w:val="en-US" w:eastAsia="zh-CN"/>
                    </w:rPr>
                  </w:pPr>
                </w:p>
              </w:tc>
              <w:tc>
                <w:tcPr>
                  <w:tcW w:w="3175" w:type="dxa"/>
                  <w:tcBorders>
                    <w:tl2br w:val="nil"/>
                    <w:tr2bl w:val="nil"/>
                  </w:tcBorders>
                  <w:shd w:val="clear" w:color="auto" w:fill="auto"/>
                  <w:noWrap w:val="0"/>
                  <w:vAlign w:val="center"/>
                </w:tcPr>
                <w:p w14:paraId="198CFA7E">
                  <w:pPr>
                    <w:keepNext w:val="0"/>
                    <w:keepLines w:val="0"/>
                    <w:suppressLineNumbers w:val="0"/>
                    <w:adjustRightInd w:val="0"/>
                    <w:snapToGrid w:val="0"/>
                    <w:spacing w:before="0" w:beforeAutospacing="0" w:after="0" w:afterAutospacing="0" w:line="240" w:lineRule="auto"/>
                    <w:ind w:left="0" w:leftChars="0" w:right="0" w:rightChars="0"/>
                    <w:jc w:val="both"/>
                    <w:rPr>
                      <w:rFonts w:hint="default" w:hAnsi="宋体"/>
                      <w:color w:val="000000"/>
                      <w:kern w:val="0"/>
                      <w:sz w:val="21"/>
                      <w:szCs w:val="21"/>
                      <w:highlight w:val="none"/>
                      <w:u w:val="none" w:color="auto"/>
                      <w:vertAlign w:val="baseline"/>
                      <w:lang w:val="en-US" w:eastAsia="zh-CN"/>
                    </w:rPr>
                  </w:pPr>
                  <w:r>
                    <w:rPr>
                      <w:rFonts w:hint="eastAsia" w:hAnsi="宋体"/>
                      <w:color w:val="000000"/>
                      <w:kern w:val="0"/>
                      <w:sz w:val="21"/>
                      <w:szCs w:val="21"/>
                      <w:highlight w:val="none"/>
                      <w:u w:val="none" w:color="auto"/>
                      <w:vertAlign w:val="baseline"/>
                      <w:lang w:val="en-US" w:eastAsia="zh-CN"/>
                    </w:rPr>
                    <w:t>《新乡市生态环境局关于进一步规范工业企业颗粒物排放限值的通知》</w:t>
                  </w:r>
                </w:p>
              </w:tc>
              <w:tc>
                <w:tcPr>
                  <w:tcW w:w="867" w:type="dxa"/>
                  <w:tcBorders>
                    <w:tl2br w:val="nil"/>
                    <w:tr2bl w:val="nil"/>
                  </w:tcBorders>
                  <w:noWrap w:val="0"/>
                  <w:vAlign w:val="center"/>
                </w:tcPr>
                <w:p w14:paraId="15A6528B">
                  <w:pPr>
                    <w:keepNext w:val="0"/>
                    <w:keepLines w:val="0"/>
                    <w:suppressLineNumbers w:val="0"/>
                    <w:adjustRightInd w:val="0"/>
                    <w:snapToGrid w:val="0"/>
                    <w:spacing w:before="0" w:beforeAutospacing="0" w:after="0" w:afterAutospacing="0"/>
                    <w:ind w:left="0" w:right="0"/>
                    <w:jc w:val="center"/>
                    <w:rPr>
                      <w:rFonts w:hint="default" w:hAnsi="宋体"/>
                      <w:b w:val="0"/>
                      <w:bCs/>
                      <w:color w:val="auto"/>
                      <w:sz w:val="21"/>
                      <w:szCs w:val="21"/>
                      <w:u w:val="none" w:color="auto"/>
                      <w:lang w:val="en-US" w:eastAsia="zh-CN"/>
                    </w:rPr>
                  </w:pPr>
                  <w:r>
                    <w:rPr>
                      <w:rFonts w:hint="eastAsia" w:hAnsi="宋体"/>
                      <w:b w:val="0"/>
                      <w:bCs/>
                      <w:color w:val="auto"/>
                      <w:sz w:val="21"/>
                      <w:szCs w:val="21"/>
                      <w:u w:val="none" w:color="auto"/>
                      <w:lang w:val="en-US" w:eastAsia="zh-CN"/>
                    </w:rPr>
                    <w:t>颗粒物</w:t>
                  </w:r>
                </w:p>
              </w:tc>
              <w:tc>
                <w:tcPr>
                  <w:tcW w:w="3197" w:type="dxa"/>
                  <w:tcBorders>
                    <w:tl2br w:val="nil"/>
                    <w:tr2bl w:val="nil"/>
                  </w:tcBorders>
                  <w:noWrap w:val="0"/>
                  <w:vAlign w:val="center"/>
                </w:tcPr>
                <w:p w14:paraId="4AE19042">
                  <w:pPr>
                    <w:keepNext w:val="0"/>
                    <w:keepLines w:val="0"/>
                    <w:suppressLineNumbers w:val="0"/>
                    <w:spacing w:before="0" w:beforeAutospacing="0" w:after="0" w:afterAutospacing="0"/>
                    <w:ind w:left="0" w:leftChars="0" w:right="0" w:rightChars="0"/>
                    <w:jc w:val="center"/>
                    <w:rPr>
                      <w:rFonts w:hint="eastAsia" w:cs="宋体"/>
                      <w:color w:val="000000"/>
                      <w:sz w:val="21"/>
                      <w:szCs w:val="21"/>
                      <w:u w:val="none" w:color="auto"/>
                      <w:lang w:val="en-US" w:eastAsia="zh-CN" w:bidi="ar"/>
                    </w:rPr>
                  </w:pPr>
                  <w:r>
                    <w:rPr>
                      <w:rFonts w:hint="eastAsia" w:cs="宋体"/>
                      <w:color w:val="000000"/>
                      <w:sz w:val="21"/>
                      <w:szCs w:val="21"/>
                      <w:u w:val="none" w:color="auto"/>
                      <w:lang w:val="en-US" w:eastAsia="zh-CN" w:bidi="ar"/>
                    </w:rPr>
                    <w:t>有组织</w:t>
                  </w:r>
                  <w:r>
                    <w:rPr>
                      <w:rFonts w:hint="eastAsia" w:cs="宋体"/>
                      <w:color w:val="000000"/>
                      <w:sz w:val="21"/>
                      <w:szCs w:val="21"/>
                      <w:u w:val="none" w:color="auto"/>
                      <w:lang w:bidi="ar"/>
                    </w:rPr>
                    <w:t>排放浓度</w:t>
                  </w:r>
                  <w:r>
                    <w:rPr>
                      <w:rFonts w:hint="eastAsia"/>
                      <w:color w:val="000000"/>
                      <w:sz w:val="21"/>
                      <w:szCs w:val="21"/>
                      <w:u w:val="none" w:color="auto"/>
                      <w:lang w:val="en-US" w:eastAsia="zh-CN" w:bidi="ar"/>
                    </w:rPr>
                    <w:t>10</w:t>
                  </w:r>
                  <w:r>
                    <w:rPr>
                      <w:rFonts w:hint="default"/>
                      <w:color w:val="000000"/>
                      <w:sz w:val="21"/>
                      <w:szCs w:val="21"/>
                      <w:u w:val="none" w:color="auto"/>
                      <w:lang w:bidi="ar"/>
                    </w:rPr>
                    <w:t>mg/m</w:t>
                  </w:r>
                  <w:r>
                    <w:rPr>
                      <w:rFonts w:hint="default"/>
                      <w:color w:val="000000"/>
                      <w:sz w:val="21"/>
                      <w:szCs w:val="21"/>
                      <w:u w:val="none" w:color="auto"/>
                      <w:vertAlign w:val="superscript"/>
                      <w:lang w:bidi="ar"/>
                    </w:rPr>
                    <w:t>3</w:t>
                  </w:r>
                  <w:r>
                    <w:rPr>
                      <w:rFonts w:hint="eastAsia"/>
                      <w:color w:val="000000"/>
                      <w:sz w:val="21"/>
                      <w:szCs w:val="21"/>
                      <w:u w:val="none" w:color="auto"/>
                      <w:vertAlign w:val="baseline"/>
                      <w:lang w:val="en-US" w:eastAsia="zh-CN" w:bidi="ar"/>
                    </w:rPr>
                    <w:t>，厂界最高浓度限值0.5</w:t>
                  </w:r>
                  <w:r>
                    <w:rPr>
                      <w:rFonts w:hint="default"/>
                      <w:color w:val="000000"/>
                      <w:sz w:val="21"/>
                      <w:szCs w:val="21"/>
                      <w:u w:val="none" w:color="auto"/>
                      <w:lang w:bidi="ar"/>
                    </w:rPr>
                    <w:t>mg/m</w:t>
                  </w:r>
                  <w:r>
                    <w:rPr>
                      <w:rFonts w:hint="default"/>
                      <w:color w:val="000000"/>
                      <w:sz w:val="21"/>
                      <w:szCs w:val="21"/>
                      <w:u w:val="none" w:color="auto"/>
                      <w:vertAlign w:val="superscript"/>
                      <w:lang w:bidi="ar"/>
                    </w:rPr>
                    <w:t>3</w:t>
                  </w:r>
                </w:p>
              </w:tc>
            </w:tr>
            <w:tr w14:paraId="77E8B12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0" w:type="dxa"/>
                  <w:vMerge w:val="continue"/>
                  <w:tcBorders>
                    <w:tl2br w:val="nil"/>
                    <w:tr2bl w:val="nil"/>
                  </w:tcBorders>
                  <w:noWrap w:val="0"/>
                  <w:vAlign w:val="center"/>
                </w:tcPr>
                <w:p w14:paraId="64BBF606">
                  <w:pPr>
                    <w:keepNext w:val="0"/>
                    <w:keepLines w:val="0"/>
                    <w:suppressLineNumbers w:val="0"/>
                    <w:adjustRightInd w:val="0"/>
                    <w:snapToGrid w:val="0"/>
                    <w:spacing w:before="0" w:beforeAutospacing="0" w:after="0" w:afterAutospacing="0"/>
                    <w:ind w:left="0" w:right="0"/>
                    <w:jc w:val="center"/>
                    <w:rPr>
                      <w:rFonts w:hint="eastAsia" w:hAnsi="宋体"/>
                      <w:color w:val="auto"/>
                      <w:sz w:val="21"/>
                      <w:szCs w:val="21"/>
                      <w:u w:val="none" w:color="auto"/>
                      <w:lang w:val="en-US" w:eastAsia="zh-CN"/>
                    </w:rPr>
                  </w:pPr>
                </w:p>
              </w:tc>
              <w:tc>
                <w:tcPr>
                  <w:tcW w:w="3175" w:type="dxa"/>
                  <w:tcBorders>
                    <w:tl2br w:val="nil"/>
                    <w:tr2bl w:val="nil"/>
                  </w:tcBorders>
                  <w:shd w:val="clear" w:color="auto" w:fill="auto"/>
                  <w:noWrap w:val="0"/>
                  <w:vAlign w:val="center"/>
                </w:tcPr>
                <w:p w14:paraId="3EF6DF9C">
                  <w:pPr>
                    <w:keepNext w:val="0"/>
                    <w:keepLines w:val="0"/>
                    <w:suppressLineNumbers w:val="0"/>
                    <w:adjustRightInd w:val="0"/>
                    <w:snapToGrid w:val="0"/>
                    <w:spacing w:before="0" w:beforeAutospacing="0" w:after="0" w:afterAutospacing="0" w:line="240" w:lineRule="auto"/>
                    <w:ind w:left="0" w:leftChars="0" w:right="0" w:rightChars="0"/>
                    <w:jc w:val="both"/>
                    <w:rPr>
                      <w:rFonts w:hint="eastAsia" w:hAnsi="宋体"/>
                      <w:color w:val="000000"/>
                      <w:kern w:val="0"/>
                      <w:sz w:val="21"/>
                      <w:szCs w:val="21"/>
                      <w:highlight w:val="none"/>
                      <w:u w:val="none" w:color="auto"/>
                      <w:vertAlign w:val="baseline"/>
                      <w:lang w:val="en-US" w:eastAsia="zh-CN"/>
                    </w:rPr>
                  </w:pPr>
                  <w:r>
                    <w:rPr>
                      <w:rFonts w:hint="default"/>
                      <w:sz w:val="21"/>
                      <w:szCs w:val="21"/>
                      <w:u w:val="none" w:color="auto"/>
                      <w:lang w:val="en-US" w:eastAsia="zh-CN"/>
                    </w:rPr>
                    <w:t>《关于全省开展工业企业挥发性有机物专项治理工作中排放建议值的通知》（豫环攻坚办[2017]162号）</w:t>
                  </w:r>
                </w:p>
              </w:tc>
              <w:tc>
                <w:tcPr>
                  <w:tcW w:w="867" w:type="dxa"/>
                  <w:tcBorders>
                    <w:tl2br w:val="nil"/>
                    <w:tr2bl w:val="nil"/>
                  </w:tcBorders>
                  <w:noWrap w:val="0"/>
                  <w:vAlign w:val="center"/>
                </w:tcPr>
                <w:p w14:paraId="2AA003EC">
                  <w:pPr>
                    <w:keepNext w:val="0"/>
                    <w:keepLines w:val="0"/>
                    <w:suppressLineNumbers w:val="0"/>
                    <w:adjustRightInd w:val="0"/>
                    <w:snapToGrid w:val="0"/>
                    <w:spacing w:before="0" w:beforeAutospacing="0" w:after="0" w:afterAutospacing="0"/>
                    <w:ind w:left="0" w:right="0"/>
                    <w:jc w:val="center"/>
                    <w:rPr>
                      <w:rFonts w:hint="default" w:hAnsi="宋体"/>
                      <w:b w:val="0"/>
                      <w:bCs/>
                      <w:color w:val="auto"/>
                      <w:sz w:val="21"/>
                      <w:szCs w:val="21"/>
                      <w:u w:val="none" w:color="auto"/>
                      <w:lang w:val="en-US" w:eastAsia="zh-CN"/>
                    </w:rPr>
                  </w:pPr>
                  <w:r>
                    <w:rPr>
                      <w:rFonts w:hint="eastAsia" w:hAnsi="宋体"/>
                      <w:b w:val="0"/>
                      <w:bCs/>
                      <w:color w:val="auto"/>
                      <w:sz w:val="21"/>
                      <w:szCs w:val="21"/>
                      <w:u w:val="none" w:color="auto"/>
                      <w:lang w:val="en-US" w:eastAsia="zh-CN"/>
                    </w:rPr>
                    <w:t>非甲烷总烃</w:t>
                  </w:r>
                </w:p>
              </w:tc>
              <w:tc>
                <w:tcPr>
                  <w:tcW w:w="3197" w:type="dxa"/>
                  <w:tcBorders>
                    <w:tl2br w:val="nil"/>
                    <w:tr2bl w:val="nil"/>
                  </w:tcBorders>
                  <w:noWrap w:val="0"/>
                  <w:vAlign w:val="center"/>
                </w:tcPr>
                <w:p w14:paraId="356F7F48">
                  <w:pPr>
                    <w:keepNext w:val="0"/>
                    <w:keepLines w:val="0"/>
                    <w:suppressLineNumbers w:val="0"/>
                    <w:spacing w:before="0" w:beforeAutospacing="0" w:after="0" w:afterAutospacing="0"/>
                    <w:ind w:left="0" w:leftChars="0" w:right="0" w:rightChars="0"/>
                    <w:jc w:val="center"/>
                    <w:rPr>
                      <w:rFonts w:hint="default" w:eastAsia="宋体" w:cs="宋体"/>
                      <w:color w:val="000000"/>
                      <w:sz w:val="21"/>
                      <w:szCs w:val="21"/>
                      <w:u w:val="none" w:color="auto"/>
                      <w:vertAlign w:val="baseline"/>
                      <w:lang w:val="en-US" w:eastAsia="zh-CN" w:bidi="ar"/>
                    </w:rPr>
                  </w:pPr>
                  <w:r>
                    <w:rPr>
                      <w:rFonts w:hint="eastAsia" w:cs="宋体"/>
                      <w:color w:val="000000"/>
                      <w:sz w:val="21"/>
                      <w:szCs w:val="21"/>
                      <w:u w:val="none" w:color="auto"/>
                      <w:lang w:val="en-US" w:eastAsia="zh-CN" w:bidi="ar"/>
                    </w:rPr>
                    <w:t>有组织排放浓度80</w:t>
                  </w:r>
                  <w:r>
                    <w:rPr>
                      <w:rFonts w:hint="default"/>
                      <w:color w:val="000000"/>
                      <w:sz w:val="21"/>
                      <w:szCs w:val="21"/>
                      <w:u w:val="none" w:color="auto"/>
                      <w:lang w:bidi="ar"/>
                    </w:rPr>
                    <w:t>mg/m</w:t>
                  </w:r>
                  <w:r>
                    <w:rPr>
                      <w:rFonts w:hint="default"/>
                      <w:color w:val="000000"/>
                      <w:sz w:val="21"/>
                      <w:szCs w:val="21"/>
                      <w:u w:val="none" w:color="auto"/>
                      <w:vertAlign w:val="superscript"/>
                      <w:lang w:bidi="ar"/>
                    </w:rPr>
                    <w:t>3</w:t>
                  </w:r>
                  <w:r>
                    <w:rPr>
                      <w:rFonts w:hint="eastAsia"/>
                      <w:color w:val="000000"/>
                      <w:sz w:val="21"/>
                      <w:szCs w:val="21"/>
                      <w:u w:val="none" w:color="auto"/>
                      <w:vertAlign w:val="baseline"/>
                      <w:lang w:eastAsia="zh-CN" w:bidi="ar"/>
                    </w:rPr>
                    <w:t>，</w:t>
                  </w:r>
                  <w:r>
                    <w:rPr>
                      <w:rFonts w:hint="eastAsia"/>
                      <w:color w:val="000000"/>
                      <w:sz w:val="21"/>
                      <w:szCs w:val="21"/>
                      <w:u w:val="none" w:color="auto"/>
                      <w:vertAlign w:val="baseline"/>
                      <w:lang w:val="en-US" w:eastAsia="zh-CN" w:bidi="ar"/>
                    </w:rPr>
                    <w:t>建议去除效率70%</w:t>
                  </w:r>
                </w:p>
              </w:tc>
            </w:tr>
            <w:tr w14:paraId="4FE7604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0" w:type="dxa"/>
                  <w:vMerge w:val="continue"/>
                  <w:tcBorders>
                    <w:tl2br w:val="nil"/>
                    <w:tr2bl w:val="nil"/>
                  </w:tcBorders>
                  <w:noWrap w:val="0"/>
                  <w:vAlign w:val="center"/>
                </w:tcPr>
                <w:p w14:paraId="553B67EC">
                  <w:pPr>
                    <w:keepNext w:val="0"/>
                    <w:keepLines w:val="0"/>
                    <w:suppressLineNumbers w:val="0"/>
                    <w:adjustRightInd w:val="0"/>
                    <w:snapToGrid w:val="0"/>
                    <w:spacing w:before="0" w:beforeAutospacing="0" w:after="0" w:afterAutospacing="0"/>
                    <w:ind w:left="0" w:right="0"/>
                    <w:jc w:val="center"/>
                    <w:rPr>
                      <w:rFonts w:hint="eastAsia" w:hAnsi="宋体"/>
                      <w:color w:val="auto"/>
                      <w:sz w:val="21"/>
                      <w:szCs w:val="21"/>
                      <w:u w:val="none" w:color="auto"/>
                      <w:lang w:val="en-US" w:eastAsia="zh-CN"/>
                    </w:rPr>
                  </w:pPr>
                </w:p>
              </w:tc>
              <w:tc>
                <w:tcPr>
                  <w:tcW w:w="3175" w:type="dxa"/>
                  <w:tcBorders>
                    <w:tl2br w:val="nil"/>
                    <w:tr2bl w:val="nil"/>
                  </w:tcBorders>
                  <w:shd w:val="clear" w:color="auto" w:fill="auto"/>
                  <w:noWrap w:val="0"/>
                  <w:vAlign w:val="center"/>
                </w:tcPr>
                <w:p w14:paraId="5409B9A2">
                  <w:pPr>
                    <w:keepNext w:val="0"/>
                    <w:keepLines w:val="0"/>
                    <w:suppressLineNumbers w:val="0"/>
                    <w:adjustRightInd w:val="0"/>
                    <w:snapToGrid w:val="0"/>
                    <w:spacing w:before="0" w:beforeAutospacing="0" w:after="0" w:afterAutospacing="0" w:line="240" w:lineRule="auto"/>
                    <w:ind w:left="0" w:leftChars="0" w:right="0" w:rightChars="0"/>
                    <w:jc w:val="both"/>
                    <w:rPr>
                      <w:rFonts w:hint="default"/>
                      <w:sz w:val="21"/>
                      <w:szCs w:val="21"/>
                      <w:u w:val="none" w:color="auto"/>
                      <w:lang w:val="en-US" w:eastAsia="zh-CN"/>
                    </w:rPr>
                  </w:pPr>
                  <w:r>
                    <w:rPr>
                      <w:color w:val="000000"/>
                      <w:kern w:val="21"/>
                      <w:sz w:val="21"/>
                      <w:szCs w:val="21"/>
                      <w:u w:val="none" w:color="auto"/>
                    </w:rPr>
                    <w:t>《挥发性有机物无组织排放控制标准》（GB37822</w:t>
                  </w:r>
                  <w:r>
                    <w:rPr>
                      <w:rFonts w:hint="eastAsia"/>
                      <w:color w:val="000000"/>
                      <w:kern w:val="21"/>
                      <w:sz w:val="21"/>
                      <w:szCs w:val="21"/>
                      <w:u w:val="none" w:color="auto"/>
                      <w:lang w:val="en-US" w:eastAsia="zh-CN"/>
                    </w:rPr>
                    <w:t>-</w:t>
                  </w:r>
                  <w:r>
                    <w:rPr>
                      <w:color w:val="000000"/>
                      <w:kern w:val="21"/>
                      <w:sz w:val="21"/>
                      <w:szCs w:val="21"/>
                      <w:u w:val="none" w:color="auto"/>
                    </w:rPr>
                    <w:t>2019）</w:t>
                  </w:r>
                </w:p>
              </w:tc>
              <w:tc>
                <w:tcPr>
                  <w:tcW w:w="867" w:type="dxa"/>
                  <w:tcBorders>
                    <w:tl2br w:val="nil"/>
                    <w:tr2bl w:val="nil"/>
                  </w:tcBorders>
                  <w:noWrap w:val="0"/>
                  <w:vAlign w:val="center"/>
                </w:tcPr>
                <w:p w14:paraId="42E515C5">
                  <w:pPr>
                    <w:jc w:val="center"/>
                    <w:rPr>
                      <w:rFonts w:hint="eastAsia" w:hAnsi="宋体"/>
                      <w:b w:val="0"/>
                      <w:bCs/>
                      <w:color w:val="auto"/>
                      <w:sz w:val="21"/>
                      <w:szCs w:val="21"/>
                      <w:u w:val="none" w:color="auto"/>
                      <w:lang w:val="en-US" w:eastAsia="zh-CN"/>
                    </w:rPr>
                  </w:pPr>
                  <w:r>
                    <w:rPr>
                      <w:rFonts w:hint="eastAsia" w:ascii="Calibri" w:hAnsi="Calibri" w:cs="Calibri"/>
                      <w:color w:val="000000"/>
                      <w:sz w:val="21"/>
                      <w:szCs w:val="21"/>
                      <w:u w:val="none" w:color="auto"/>
                    </w:rPr>
                    <w:t>非甲烷总烃</w:t>
                  </w:r>
                </w:p>
              </w:tc>
              <w:tc>
                <w:tcPr>
                  <w:tcW w:w="3197" w:type="dxa"/>
                  <w:tcBorders>
                    <w:tl2br w:val="nil"/>
                    <w:tr2bl w:val="nil"/>
                  </w:tcBorders>
                  <w:noWrap w:val="0"/>
                  <w:vAlign w:val="center"/>
                </w:tcPr>
                <w:p w14:paraId="5CEB1275">
                  <w:pPr>
                    <w:jc w:val="center"/>
                    <w:rPr>
                      <w:rFonts w:hint="eastAsia" w:cs="宋体"/>
                      <w:color w:val="000000"/>
                      <w:sz w:val="21"/>
                      <w:szCs w:val="21"/>
                      <w:u w:val="none" w:color="auto"/>
                      <w:lang w:val="en-US" w:eastAsia="zh-CN" w:bidi="ar"/>
                    </w:rPr>
                  </w:pPr>
                  <w:r>
                    <w:rPr>
                      <w:rFonts w:hint="eastAsia"/>
                      <w:color w:val="000000"/>
                      <w:sz w:val="21"/>
                      <w:szCs w:val="21"/>
                      <w:u w:val="none" w:color="auto"/>
                    </w:rPr>
                    <w:t>厂区内无组织排放限值：监控点处1h平均浓度值</w:t>
                  </w:r>
                  <w:r>
                    <w:rPr>
                      <w:color w:val="000000"/>
                      <w:kern w:val="21"/>
                      <w:sz w:val="21"/>
                      <w:szCs w:val="21"/>
                      <w:u w:val="none" w:color="auto"/>
                    </w:rPr>
                    <w:t>6mg/m</w:t>
                  </w:r>
                  <w:r>
                    <w:rPr>
                      <w:color w:val="000000"/>
                      <w:kern w:val="21"/>
                      <w:sz w:val="21"/>
                      <w:szCs w:val="21"/>
                      <w:u w:val="none" w:color="auto"/>
                      <w:vertAlign w:val="superscript"/>
                    </w:rPr>
                    <w:t>3</w:t>
                  </w:r>
                  <w:r>
                    <w:rPr>
                      <w:rFonts w:hint="eastAsia"/>
                      <w:color w:val="000000"/>
                      <w:kern w:val="21"/>
                      <w:sz w:val="21"/>
                      <w:szCs w:val="21"/>
                      <w:u w:val="none" w:color="auto"/>
                    </w:rPr>
                    <w:t>；监控点处任意一次浓度值20</w:t>
                  </w:r>
                  <w:r>
                    <w:rPr>
                      <w:color w:val="000000"/>
                      <w:kern w:val="21"/>
                      <w:sz w:val="21"/>
                      <w:szCs w:val="21"/>
                      <w:u w:val="none" w:color="auto"/>
                    </w:rPr>
                    <w:t>mg/m</w:t>
                  </w:r>
                  <w:r>
                    <w:rPr>
                      <w:color w:val="000000"/>
                      <w:kern w:val="21"/>
                      <w:sz w:val="21"/>
                      <w:szCs w:val="21"/>
                      <w:u w:val="none" w:color="auto"/>
                      <w:vertAlign w:val="superscript"/>
                    </w:rPr>
                    <w:t>3</w:t>
                  </w:r>
                </w:p>
              </w:tc>
            </w:tr>
            <w:tr w14:paraId="5F4033A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40" w:type="dxa"/>
                  <w:vMerge w:val="continue"/>
                  <w:tcBorders>
                    <w:tl2br w:val="nil"/>
                    <w:tr2bl w:val="nil"/>
                  </w:tcBorders>
                  <w:noWrap w:val="0"/>
                  <w:vAlign w:val="center"/>
                </w:tcPr>
                <w:p w14:paraId="41BCA670">
                  <w:pPr>
                    <w:keepNext w:val="0"/>
                    <w:keepLines w:val="0"/>
                    <w:suppressLineNumbers w:val="0"/>
                    <w:adjustRightInd w:val="0"/>
                    <w:snapToGrid w:val="0"/>
                    <w:spacing w:before="0" w:beforeAutospacing="0" w:after="0" w:afterAutospacing="0"/>
                    <w:ind w:left="0" w:right="0"/>
                    <w:jc w:val="center"/>
                    <w:rPr>
                      <w:rFonts w:hint="eastAsia" w:hAnsi="宋体"/>
                      <w:color w:val="auto"/>
                      <w:sz w:val="21"/>
                      <w:szCs w:val="21"/>
                      <w:u w:val="none" w:color="auto"/>
                      <w:lang w:val="en-US" w:eastAsia="zh-CN"/>
                    </w:rPr>
                  </w:pPr>
                </w:p>
              </w:tc>
              <w:tc>
                <w:tcPr>
                  <w:tcW w:w="3175" w:type="dxa"/>
                  <w:vMerge w:val="restart"/>
                  <w:tcBorders>
                    <w:tl2br w:val="nil"/>
                    <w:tr2bl w:val="nil"/>
                  </w:tcBorders>
                  <w:shd w:val="clear" w:color="auto" w:fill="auto"/>
                  <w:noWrap w:val="0"/>
                  <w:vAlign w:val="center"/>
                </w:tcPr>
                <w:p w14:paraId="68BF5795">
                  <w:pPr>
                    <w:keepNext w:val="0"/>
                    <w:keepLines w:val="0"/>
                    <w:suppressLineNumbers w:val="0"/>
                    <w:adjustRightInd w:val="0"/>
                    <w:snapToGrid w:val="0"/>
                    <w:spacing w:before="0" w:beforeAutospacing="0" w:after="0" w:afterAutospacing="0"/>
                    <w:ind w:left="0" w:leftChars="0" w:right="0" w:rightChars="0"/>
                    <w:jc w:val="center"/>
                    <w:rPr>
                      <w:rFonts w:hint="eastAsia"/>
                      <w:color w:val="000000" w:themeColor="text1"/>
                      <w:sz w:val="21"/>
                      <w:szCs w:val="21"/>
                      <w:highlight w:val="none"/>
                      <w:u w:val="none" w:color="auto"/>
                      <w14:textFill>
                        <w14:solidFill>
                          <w14:schemeClr w14:val="tx1"/>
                        </w14:solidFill>
                      </w14:textFill>
                    </w:rPr>
                  </w:pPr>
                  <w:r>
                    <w:rPr>
                      <w:rFonts w:hint="eastAsia"/>
                      <w:sz w:val="21"/>
                      <w:szCs w:val="21"/>
                      <w:u w:val="none" w:color="auto"/>
                      <w:lang w:val="en-US" w:eastAsia="zh-CN"/>
                    </w:rPr>
                    <w:t>《河南省重污染天气重点行业应急减排措施制定技术指南》（2024年修订版）电池制造A级要求</w:t>
                  </w:r>
                </w:p>
              </w:tc>
              <w:tc>
                <w:tcPr>
                  <w:tcW w:w="867" w:type="dxa"/>
                  <w:tcBorders>
                    <w:tl2br w:val="nil"/>
                    <w:tr2bl w:val="nil"/>
                  </w:tcBorders>
                  <w:noWrap w:val="0"/>
                  <w:vAlign w:val="center"/>
                </w:tcPr>
                <w:p w14:paraId="4761C8A6">
                  <w:pPr>
                    <w:keepNext w:val="0"/>
                    <w:keepLines w:val="0"/>
                    <w:suppressLineNumbers w:val="0"/>
                    <w:adjustRightInd w:val="0"/>
                    <w:snapToGrid w:val="0"/>
                    <w:spacing w:before="0" w:beforeAutospacing="0" w:after="0" w:afterAutospacing="0"/>
                    <w:ind w:left="0" w:leftChars="0" w:right="0" w:rightChars="0"/>
                    <w:jc w:val="center"/>
                    <w:rPr>
                      <w:rFonts w:hint="default" w:hAnsi="宋体"/>
                      <w:b w:val="0"/>
                      <w:bCs/>
                      <w:color w:val="auto"/>
                      <w:sz w:val="21"/>
                      <w:szCs w:val="21"/>
                      <w:u w:val="none" w:color="auto"/>
                      <w:lang w:val="en-US" w:eastAsia="zh-CN"/>
                    </w:rPr>
                  </w:pPr>
                  <w:r>
                    <w:rPr>
                      <w:rFonts w:hint="eastAsia"/>
                      <w:color w:val="auto"/>
                      <w:sz w:val="21"/>
                      <w:szCs w:val="21"/>
                      <w:highlight w:val="none"/>
                      <w:u w:val="none" w:color="auto"/>
                      <w:shd w:val="clear" w:color="auto" w:fill="FFFFFF"/>
                      <w:lang w:val="en-US" w:eastAsia="zh-CN"/>
                    </w:rPr>
                    <w:t>非甲烷总烃</w:t>
                  </w:r>
                </w:p>
              </w:tc>
              <w:tc>
                <w:tcPr>
                  <w:tcW w:w="3197" w:type="dxa"/>
                  <w:tcBorders>
                    <w:tl2br w:val="nil"/>
                    <w:tr2bl w:val="nil"/>
                  </w:tcBorders>
                  <w:noWrap w:val="0"/>
                  <w:vAlign w:val="center"/>
                </w:tcPr>
                <w:p w14:paraId="6070216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sz w:val="21"/>
                      <w:szCs w:val="21"/>
                      <w:u w:val="none" w:color="auto"/>
                      <w:vertAlign w:val="baseline"/>
                      <w:lang w:val="en-US" w:eastAsia="zh-CN"/>
                    </w:rPr>
                  </w:pPr>
                  <w:r>
                    <w:rPr>
                      <w:rFonts w:hint="eastAsia" w:ascii="Times New Roman" w:hAnsi="宋体" w:cs="Times New Roman"/>
                      <w:color w:val="auto"/>
                      <w:sz w:val="21"/>
                      <w:szCs w:val="21"/>
                      <w:u w:val="none" w:color="auto"/>
                      <w:lang w:val="en-US" w:eastAsia="zh-CN"/>
                    </w:rPr>
                    <w:t>NMHC有组织排放浓度不高于30mg/m</w:t>
                  </w:r>
                  <w:r>
                    <w:rPr>
                      <w:rFonts w:hint="eastAsia" w:ascii="Times New Roman" w:hAnsi="宋体" w:cs="Times New Roman"/>
                      <w:color w:val="auto"/>
                      <w:sz w:val="21"/>
                      <w:szCs w:val="21"/>
                      <w:u w:val="none" w:color="auto"/>
                      <w:vertAlign w:val="superscript"/>
                      <w:lang w:val="en-US" w:eastAsia="zh-CN"/>
                    </w:rPr>
                    <w:t>3</w:t>
                  </w:r>
                </w:p>
              </w:tc>
            </w:tr>
            <w:tr w14:paraId="7A9B4AF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40" w:type="dxa"/>
                  <w:vMerge w:val="continue"/>
                  <w:tcBorders>
                    <w:tl2br w:val="nil"/>
                    <w:tr2bl w:val="nil"/>
                  </w:tcBorders>
                  <w:noWrap w:val="0"/>
                  <w:vAlign w:val="center"/>
                </w:tcPr>
                <w:p w14:paraId="0F4DD001">
                  <w:pPr>
                    <w:keepNext w:val="0"/>
                    <w:keepLines w:val="0"/>
                    <w:suppressLineNumbers w:val="0"/>
                    <w:adjustRightInd w:val="0"/>
                    <w:snapToGrid w:val="0"/>
                    <w:spacing w:before="0" w:beforeAutospacing="0" w:after="0" w:afterAutospacing="0"/>
                    <w:ind w:left="0" w:leftChars="0" w:right="0" w:rightChars="0"/>
                    <w:jc w:val="center"/>
                    <w:rPr>
                      <w:rFonts w:hint="default"/>
                      <w:u w:val="none" w:color="auto"/>
                    </w:rPr>
                  </w:pPr>
                </w:p>
              </w:tc>
              <w:tc>
                <w:tcPr>
                  <w:tcW w:w="3175" w:type="dxa"/>
                  <w:vMerge w:val="continue"/>
                  <w:tcBorders>
                    <w:tl2br w:val="nil"/>
                    <w:tr2bl w:val="nil"/>
                  </w:tcBorders>
                  <w:shd w:val="clear" w:color="auto" w:fill="auto"/>
                  <w:noWrap w:val="0"/>
                  <w:vAlign w:val="center"/>
                </w:tcPr>
                <w:p w14:paraId="15AEC426">
                  <w:pPr>
                    <w:keepNext w:val="0"/>
                    <w:keepLines w:val="0"/>
                    <w:suppressLineNumbers w:val="0"/>
                    <w:adjustRightInd w:val="0"/>
                    <w:snapToGrid w:val="0"/>
                    <w:spacing w:before="0" w:beforeAutospacing="0" w:after="0" w:afterAutospacing="0"/>
                    <w:ind w:left="0" w:leftChars="0" w:right="0" w:rightChars="0"/>
                    <w:jc w:val="center"/>
                    <w:rPr>
                      <w:rFonts w:hint="default"/>
                      <w:u w:val="none" w:color="auto"/>
                    </w:rPr>
                  </w:pPr>
                </w:p>
              </w:tc>
              <w:tc>
                <w:tcPr>
                  <w:tcW w:w="867" w:type="dxa"/>
                  <w:tcBorders>
                    <w:tl2br w:val="nil"/>
                    <w:tr2bl w:val="nil"/>
                  </w:tcBorders>
                  <w:noWrap w:val="0"/>
                  <w:vAlign w:val="center"/>
                </w:tcPr>
                <w:p w14:paraId="48A06427">
                  <w:pPr>
                    <w:keepNext w:val="0"/>
                    <w:keepLines w:val="0"/>
                    <w:suppressLineNumbers w:val="0"/>
                    <w:adjustRightInd w:val="0"/>
                    <w:snapToGrid w:val="0"/>
                    <w:spacing w:before="0" w:beforeAutospacing="0" w:after="0" w:afterAutospacing="0"/>
                    <w:ind w:left="0" w:leftChars="0" w:right="0" w:rightChars="0"/>
                    <w:jc w:val="center"/>
                    <w:rPr>
                      <w:rFonts w:hint="default"/>
                      <w:color w:val="auto"/>
                      <w:sz w:val="21"/>
                      <w:szCs w:val="21"/>
                      <w:highlight w:val="none"/>
                      <w:u w:val="none" w:color="auto"/>
                      <w:shd w:val="clear" w:color="auto" w:fill="FFFFFF"/>
                      <w:lang w:val="en-US" w:eastAsia="zh-CN"/>
                    </w:rPr>
                  </w:pPr>
                  <w:r>
                    <w:rPr>
                      <w:rFonts w:hint="eastAsia"/>
                      <w:color w:val="auto"/>
                      <w:sz w:val="21"/>
                      <w:szCs w:val="21"/>
                      <w:highlight w:val="none"/>
                      <w:u w:val="none" w:color="auto"/>
                      <w:shd w:val="clear" w:color="auto" w:fill="FFFFFF"/>
                      <w:lang w:val="en-US" w:eastAsia="zh-CN"/>
                    </w:rPr>
                    <w:t>颗粒物</w:t>
                  </w:r>
                </w:p>
              </w:tc>
              <w:tc>
                <w:tcPr>
                  <w:tcW w:w="3197" w:type="dxa"/>
                  <w:tcBorders>
                    <w:tl2br w:val="nil"/>
                    <w:tr2bl w:val="nil"/>
                  </w:tcBorders>
                  <w:noWrap w:val="0"/>
                  <w:vAlign w:val="center"/>
                </w:tcPr>
                <w:p w14:paraId="50CB745E">
                  <w:pPr>
                    <w:keepNext w:val="0"/>
                    <w:keepLines w:val="0"/>
                    <w:suppressLineNumbers w:val="0"/>
                    <w:adjustRightInd w:val="0"/>
                    <w:snapToGrid w:val="0"/>
                    <w:spacing w:before="0" w:beforeAutospacing="0" w:after="0" w:afterAutospacing="0"/>
                    <w:ind w:left="0" w:leftChars="0" w:right="0" w:rightChars="0"/>
                    <w:jc w:val="center"/>
                    <w:rPr>
                      <w:rFonts w:hint="eastAsia"/>
                      <w:color w:val="auto"/>
                      <w:sz w:val="21"/>
                      <w:szCs w:val="21"/>
                      <w:highlight w:val="none"/>
                      <w:u w:val="none" w:color="auto"/>
                      <w:shd w:val="clear" w:color="auto" w:fill="FFFFFF"/>
                      <w:lang w:val="en-US" w:eastAsia="zh-CN"/>
                    </w:rPr>
                  </w:pPr>
                  <w:r>
                    <w:rPr>
                      <w:rFonts w:hint="eastAsia" w:ascii="Times New Roman" w:hAnsi="宋体" w:cs="Times New Roman"/>
                      <w:color w:val="auto"/>
                      <w:sz w:val="21"/>
                      <w:szCs w:val="21"/>
                      <w:u w:val="none" w:color="auto"/>
                      <w:lang w:val="en-US" w:eastAsia="zh-CN"/>
                    </w:rPr>
                    <w:t>PM有组织排放浓度10mg/m</w:t>
                  </w:r>
                  <w:r>
                    <w:rPr>
                      <w:rFonts w:hint="eastAsia" w:ascii="Times New Roman" w:hAnsi="宋体" w:cs="Times New Roman"/>
                      <w:color w:val="auto"/>
                      <w:sz w:val="21"/>
                      <w:szCs w:val="21"/>
                      <w:u w:val="none" w:color="auto"/>
                      <w:vertAlign w:val="superscript"/>
                      <w:lang w:val="en-US" w:eastAsia="zh-CN"/>
                    </w:rPr>
                    <w:t>3</w:t>
                  </w:r>
                </w:p>
              </w:tc>
            </w:tr>
            <w:tr w14:paraId="3C7569C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40" w:type="dxa"/>
                  <w:vMerge w:val="continue"/>
                  <w:tcBorders>
                    <w:tl2br w:val="nil"/>
                    <w:tr2bl w:val="nil"/>
                  </w:tcBorders>
                  <w:noWrap w:val="0"/>
                  <w:vAlign w:val="center"/>
                </w:tcPr>
                <w:p w14:paraId="0D645952">
                  <w:pPr>
                    <w:keepNext w:val="0"/>
                    <w:keepLines w:val="0"/>
                    <w:suppressLineNumbers w:val="0"/>
                    <w:adjustRightInd w:val="0"/>
                    <w:snapToGrid w:val="0"/>
                    <w:spacing w:before="0" w:beforeAutospacing="0" w:after="0" w:afterAutospacing="0"/>
                    <w:ind w:left="0" w:leftChars="0" w:right="0" w:rightChars="0"/>
                    <w:jc w:val="center"/>
                    <w:rPr>
                      <w:rFonts w:hint="default"/>
                      <w:u w:val="none" w:color="auto"/>
                    </w:rPr>
                  </w:pPr>
                </w:p>
              </w:tc>
              <w:tc>
                <w:tcPr>
                  <w:tcW w:w="3175" w:type="dxa"/>
                  <w:vMerge w:val="restart"/>
                  <w:tcBorders>
                    <w:tl2br w:val="nil"/>
                    <w:tr2bl w:val="nil"/>
                  </w:tcBorders>
                  <w:shd w:val="clear" w:color="auto" w:fill="auto"/>
                  <w:noWrap w:val="0"/>
                  <w:vAlign w:val="center"/>
                </w:tcPr>
                <w:p w14:paraId="5110FFF1">
                  <w:pPr>
                    <w:keepNext w:val="0"/>
                    <w:keepLines w:val="0"/>
                    <w:suppressLineNumbers w:val="0"/>
                    <w:adjustRightInd w:val="0"/>
                    <w:snapToGrid w:val="0"/>
                    <w:spacing w:before="0" w:beforeAutospacing="0" w:after="0" w:afterAutospacing="0"/>
                    <w:ind w:left="0" w:leftChars="0" w:right="0" w:rightChars="0"/>
                    <w:jc w:val="center"/>
                    <w:rPr>
                      <w:rFonts w:hint="default" w:eastAsia="宋体"/>
                      <w:u w:val="none" w:color="auto"/>
                      <w:lang w:val="en-US" w:eastAsia="zh-CN"/>
                    </w:rPr>
                  </w:pPr>
                  <w:r>
                    <w:rPr>
                      <w:rFonts w:hint="eastAsia"/>
                      <w:u w:val="none" w:color="auto"/>
                    </w:rPr>
                    <w:t>《恶臭污染物排放标准》（GB14554-93）</w:t>
                  </w:r>
                </w:p>
              </w:tc>
              <w:tc>
                <w:tcPr>
                  <w:tcW w:w="867" w:type="dxa"/>
                  <w:tcBorders>
                    <w:tl2br w:val="nil"/>
                    <w:tr2bl w:val="nil"/>
                  </w:tcBorders>
                  <w:noWrap w:val="0"/>
                  <w:vAlign w:val="center"/>
                </w:tcPr>
                <w:p w14:paraId="6B50039B">
                  <w:pPr>
                    <w:pStyle w:val="96"/>
                    <w:rPr>
                      <w:rFonts w:hint="eastAsia"/>
                      <w:color w:val="000000" w:themeColor="text1"/>
                      <w:sz w:val="21"/>
                      <w:szCs w:val="21"/>
                      <w:highlight w:val="none"/>
                      <w:u w:val="none" w:color="auto"/>
                      <w:shd w:val="clear" w:color="auto" w:fill="FFFFFF"/>
                      <w:lang w:val="en-US" w:eastAsia="zh-CN"/>
                      <w14:textFill>
                        <w14:solidFill>
                          <w14:schemeClr w14:val="tx1"/>
                        </w14:solidFill>
                      </w14:textFill>
                    </w:rPr>
                  </w:pPr>
                  <w:r>
                    <w:rPr>
                      <w:rFonts w:hint="eastAsia"/>
                      <w:bCs/>
                      <w:color w:val="000000" w:themeColor="text1"/>
                      <w:u w:val="none" w:color="auto"/>
                      <w14:textFill>
                        <w14:solidFill>
                          <w14:schemeClr w14:val="tx1"/>
                        </w14:solidFill>
                      </w14:textFill>
                    </w:rPr>
                    <w:t>硫化氢</w:t>
                  </w:r>
                </w:p>
              </w:tc>
              <w:tc>
                <w:tcPr>
                  <w:tcW w:w="3197" w:type="dxa"/>
                  <w:tcBorders>
                    <w:tl2br w:val="nil"/>
                    <w:tr2bl w:val="nil"/>
                  </w:tcBorders>
                  <w:noWrap w:val="0"/>
                  <w:vAlign w:val="center"/>
                </w:tcPr>
                <w:p w14:paraId="2513AEFC">
                  <w:pPr>
                    <w:pStyle w:val="96"/>
                    <w:rPr>
                      <w:bCs/>
                      <w:color w:val="000000" w:themeColor="text1"/>
                      <w:u w:val="none" w:color="auto"/>
                      <w14:textFill>
                        <w14:solidFill>
                          <w14:schemeClr w14:val="tx1"/>
                        </w14:solidFill>
                      </w14:textFill>
                    </w:rPr>
                  </w:pPr>
                  <w:r>
                    <w:rPr>
                      <w:rFonts w:hint="eastAsia"/>
                      <w:bCs/>
                      <w:color w:val="000000" w:themeColor="text1"/>
                      <w:u w:val="none" w:color="auto"/>
                      <w:lang w:val="en-US" w:eastAsia="zh-CN"/>
                      <w14:textFill>
                        <w14:solidFill>
                          <w14:schemeClr w14:val="tx1"/>
                        </w14:solidFill>
                      </w14:textFill>
                    </w:rPr>
                    <w:t>0.33</w:t>
                  </w:r>
                  <w:r>
                    <w:rPr>
                      <w:bCs/>
                      <w:color w:val="000000" w:themeColor="text1"/>
                      <w:u w:val="none" w:color="auto"/>
                      <w14:textFill>
                        <w14:solidFill>
                          <w14:schemeClr w14:val="tx1"/>
                        </w14:solidFill>
                      </w14:textFill>
                    </w:rPr>
                    <w:t>kg/h(</w:t>
                  </w:r>
                  <w:r>
                    <w:rPr>
                      <w:rFonts w:hint="eastAsia"/>
                      <w:bCs/>
                      <w:color w:val="000000" w:themeColor="text1"/>
                      <w:u w:val="none" w:color="auto"/>
                      <w:lang w:val="en-US" w:eastAsia="zh-CN"/>
                      <w14:textFill>
                        <w14:solidFill>
                          <w14:schemeClr w14:val="tx1"/>
                        </w14:solidFill>
                      </w14:textFill>
                    </w:rPr>
                    <w:t>15</w:t>
                  </w:r>
                  <w:r>
                    <w:rPr>
                      <w:bCs/>
                      <w:color w:val="000000" w:themeColor="text1"/>
                      <w:u w:val="none" w:color="auto"/>
                      <w14:textFill>
                        <w14:solidFill>
                          <w14:schemeClr w14:val="tx1"/>
                        </w14:solidFill>
                      </w14:textFill>
                    </w:rPr>
                    <w:t>m</w:t>
                  </w:r>
                  <w:r>
                    <w:rPr>
                      <w:rFonts w:hint="eastAsia"/>
                      <w:bCs/>
                      <w:color w:val="000000" w:themeColor="text1"/>
                      <w:u w:val="none" w:color="auto"/>
                      <w14:textFill>
                        <w14:solidFill>
                          <w14:schemeClr w14:val="tx1"/>
                        </w14:solidFill>
                      </w14:textFill>
                    </w:rPr>
                    <w:t>排气筒</w:t>
                  </w:r>
                  <w:r>
                    <w:rPr>
                      <w:bCs/>
                      <w:color w:val="000000" w:themeColor="text1"/>
                      <w:u w:val="none" w:color="auto"/>
                      <w14:textFill>
                        <w14:solidFill>
                          <w14:schemeClr w14:val="tx1"/>
                        </w14:solidFill>
                      </w14:textFill>
                    </w:rPr>
                    <w:t>)</w:t>
                  </w:r>
                </w:p>
                <w:p w14:paraId="3694E078">
                  <w:pPr>
                    <w:pStyle w:val="96"/>
                    <w:rPr>
                      <w:rFonts w:hint="default" w:ascii="Times New Roman" w:hAnsi="宋体" w:cs="Times New Roman"/>
                      <w:color w:val="000000" w:themeColor="text1"/>
                      <w:sz w:val="21"/>
                      <w:szCs w:val="21"/>
                      <w:u w:val="none" w:color="auto"/>
                      <w:lang w:val="en-US" w:eastAsia="zh-CN"/>
                      <w14:textFill>
                        <w14:solidFill>
                          <w14:schemeClr w14:val="tx1"/>
                        </w14:solidFill>
                      </w14:textFill>
                    </w:rPr>
                  </w:pPr>
                  <w:r>
                    <w:rPr>
                      <w:rFonts w:hint="eastAsia"/>
                      <w:bCs/>
                      <w:color w:val="000000" w:themeColor="text1"/>
                      <w:u w:val="none" w:color="auto"/>
                      <w14:textFill>
                        <w14:solidFill>
                          <w14:schemeClr w14:val="tx1"/>
                        </w14:solidFill>
                      </w14:textFill>
                    </w:rPr>
                    <w:t>厂界0.06</w:t>
                  </w:r>
                  <w:r>
                    <w:rPr>
                      <w:color w:val="000000" w:themeColor="text1"/>
                      <w:u w:val="none" w:color="auto"/>
                      <w14:textFill>
                        <w14:solidFill>
                          <w14:schemeClr w14:val="tx1"/>
                        </w14:solidFill>
                      </w14:textFill>
                    </w:rPr>
                    <w:t>mg/m</w:t>
                  </w:r>
                  <w:r>
                    <w:rPr>
                      <w:color w:val="000000" w:themeColor="text1"/>
                      <w:u w:val="none" w:color="auto"/>
                      <w:vertAlign w:val="superscript"/>
                      <w14:textFill>
                        <w14:solidFill>
                          <w14:schemeClr w14:val="tx1"/>
                        </w14:solidFill>
                      </w14:textFill>
                    </w:rPr>
                    <w:t>3</w:t>
                  </w:r>
                </w:p>
              </w:tc>
            </w:tr>
            <w:tr w14:paraId="36E7654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40" w:type="dxa"/>
                  <w:vMerge w:val="continue"/>
                  <w:tcBorders>
                    <w:tl2br w:val="nil"/>
                    <w:tr2bl w:val="nil"/>
                  </w:tcBorders>
                  <w:noWrap w:val="0"/>
                  <w:vAlign w:val="center"/>
                </w:tcPr>
                <w:p w14:paraId="2FF1EBDA">
                  <w:pPr>
                    <w:keepNext w:val="0"/>
                    <w:keepLines w:val="0"/>
                    <w:suppressLineNumbers w:val="0"/>
                    <w:adjustRightInd w:val="0"/>
                    <w:snapToGrid w:val="0"/>
                    <w:spacing w:before="0" w:beforeAutospacing="0" w:after="0" w:afterAutospacing="0"/>
                    <w:ind w:left="0" w:leftChars="0" w:right="0" w:rightChars="0"/>
                    <w:jc w:val="center"/>
                    <w:rPr>
                      <w:rFonts w:hint="default"/>
                      <w:u w:val="none" w:color="auto"/>
                    </w:rPr>
                  </w:pPr>
                </w:p>
              </w:tc>
              <w:tc>
                <w:tcPr>
                  <w:tcW w:w="3175" w:type="dxa"/>
                  <w:vMerge w:val="continue"/>
                  <w:tcBorders>
                    <w:tl2br w:val="nil"/>
                    <w:tr2bl w:val="nil"/>
                  </w:tcBorders>
                  <w:shd w:val="clear" w:color="auto" w:fill="auto"/>
                  <w:noWrap w:val="0"/>
                  <w:vAlign w:val="center"/>
                </w:tcPr>
                <w:p w14:paraId="7C9F6303">
                  <w:pPr>
                    <w:keepNext w:val="0"/>
                    <w:keepLines w:val="0"/>
                    <w:suppressLineNumbers w:val="0"/>
                    <w:adjustRightInd w:val="0"/>
                    <w:snapToGrid w:val="0"/>
                    <w:spacing w:before="0" w:beforeAutospacing="0" w:after="0" w:afterAutospacing="0"/>
                    <w:ind w:left="0" w:leftChars="0" w:right="0" w:rightChars="0"/>
                    <w:jc w:val="center"/>
                    <w:rPr>
                      <w:rFonts w:hint="eastAsia"/>
                      <w:u w:val="none" w:color="auto"/>
                    </w:rPr>
                  </w:pPr>
                </w:p>
              </w:tc>
              <w:tc>
                <w:tcPr>
                  <w:tcW w:w="867" w:type="dxa"/>
                  <w:tcBorders>
                    <w:tl2br w:val="nil"/>
                    <w:tr2bl w:val="nil"/>
                  </w:tcBorders>
                  <w:noWrap w:val="0"/>
                  <w:vAlign w:val="center"/>
                </w:tcPr>
                <w:p w14:paraId="76F20F7B">
                  <w:pPr>
                    <w:pStyle w:val="96"/>
                    <w:rPr>
                      <w:rFonts w:hint="eastAsia"/>
                      <w:color w:val="000000" w:themeColor="text1"/>
                      <w:sz w:val="21"/>
                      <w:szCs w:val="21"/>
                      <w:highlight w:val="none"/>
                      <w:u w:val="none" w:color="auto"/>
                      <w:shd w:val="clear" w:color="auto" w:fill="FFFFFF"/>
                      <w:lang w:val="en-US" w:eastAsia="zh-CN"/>
                      <w14:textFill>
                        <w14:solidFill>
                          <w14:schemeClr w14:val="tx1"/>
                        </w14:solidFill>
                      </w14:textFill>
                    </w:rPr>
                  </w:pPr>
                  <w:r>
                    <w:rPr>
                      <w:rFonts w:hint="eastAsia"/>
                      <w:bCs/>
                      <w:color w:val="000000" w:themeColor="text1"/>
                      <w:u w:val="none" w:color="auto"/>
                      <w14:textFill>
                        <w14:solidFill>
                          <w14:schemeClr w14:val="tx1"/>
                        </w14:solidFill>
                      </w14:textFill>
                    </w:rPr>
                    <w:t>氨</w:t>
                  </w:r>
                </w:p>
              </w:tc>
              <w:tc>
                <w:tcPr>
                  <w:tcW w:w="3197" w:type="dxa"/>
                  <w:tcBorders>
                    <w:tl2br w:val="nil"/>
                    <w:tr2bl w:val="nil"/>
                  </w:tcBorders>
                  <w:noWrap w:val="0"/>
                  <w:vAlign w:val="center"/>
                </w:tcPr>
                <w:p w14:paraId="7CC4AADB">
                  <w:pPr>
                    <w:pStyle w:val="96"/>
                    <w:rPr>
                      <w:bCs/>
                      <w:color w:val="000000" w:themeColor="text1"/>
                      <w:u w:val="none" w:color="auto"/>
                      <w14:textFill>
                        <w14:solidFill>
                          <w14:schemeClr w14:val="tx1"/>
                        </w14:solidFill>
                      </w14:textFill>
                    </w:rPr>
                  </w:pPr>
                  <w:r>
                    <w:rPr>
                      <w:rFonts w:hint="eastAsia"/>
                      <w:bCs/>
                      <w:color w:val="000000" w:themeColor="text1"/>
                      <w:u w:val="none" w:color="auto"/>
                      <w:lang w:val="en-US" w:eastAsia="zh-CN"/>
                      <w14:textFill>
                        <w14:solidFill>
                          <w14:schemeClr w14:val="tx1"/>
                        </w14:solidFill>
                      </w14:textFill>
                    </w:rPr>
                    <w:t>4.9</w:t>
                  </w:r>
                  <w:r>
                    <w:rPr>
                      <w:bCs/>
                      <w:color w:val="000000" w:themeColor="text1"/>
                      <w:u w:val="none" w:color="auto"/>
                      <w14:textFill>
                        <w14:solidFill>
                          <w14:schemeClr w14:val="tx1"/>
                        </w14:solidFill>
                      </w14:textFill>
                    </w:rPr>
                    <w:t>kg/h(</w:t>
                  </w:r>
                  <w:r>
                    <w:rPr>
                      <w:rFonts w:hint="eastAsia"/>
                      <w:bCs/>
                      <w:color w:val="000000" w:themeColor="text1"/>
                      <w:u w:val="none" w:color="auto"/>
                      <w:lang w:val="en-US" w:eastAsia="zh-CN"/>
                      <w14:textFill>
                        <w14:solidFill>
                          <w14:schemeClr w14:val="tx1"/>
                        </w14:solidFill>
                      </w14:textFill>
                    </w:rPr>
                    <w:t>15</w:t>
                  </w:r>
                  <w:r>
                    <w:rPr>
                      <w:bCs/>
                      <w:color w:val="000000" w:themeColor="text1"/>
                      <w:u w:val="none" w:color="auto"/>
                      <w14:textFill>
                        <w14:solidFill>
                          <w14:schemeClr w14:val="tx1"/>
                        </w14:solidFill>
                      </w14:textFill>
                    </w:rPr>
                    <w:t>m</w:t>
                  </w:r>
                  <w:r>
                    <w:rPr>
                      <w:rFonts w:hint="eastAsia"/>
                      <w:bCs/>
                      <w:color w:val="000000" w:themeColor="text1"/>
                      <w:u w:val="none" w:color="auto"/>
                      <w14:textFill>
                        <w14:solidFill>
                          <w14:schemeClr w14:val="tx1"/>
                        </w14:solidFill>
                      </w14:textFill>
                    </w:rPr>
                    <w:t>排气筒</w:t>
                  </w:r>
                  <w:r>
                    <w:rPr>
                      <w:bCs/>
                      <w:color w:val="000000" w:themeColor="text1"/>
                      <w:u w:val="none" w:color="auto"/>
                      <w14:textFill>
                        <w14:solidFill>
                          <w14:schemeClr w14:val="tx1"/>
                        </w14:solidFill>
                      </w14:textFill>
                    </w:rPr>
                    <w:t>)</w:t>
                  </w:r>
                </w:p>
                <w:p w14:paraId="09F667C3">
                  <w:pPr>
                    <w:pStyle w:val="96"/>
                    <w:rPr>
                      <w:rFonts w:hint="default" w:ascii="Times New Roman" w:hAnsi="宋体" w:cs="Times New Roman"/>
                      <w:color w:val="000000" w:themeColor="text1"/>
                      <w:sz w:val="21"/>
                      <w:szCs w:val="21"/>
                      <w:u w:val="none" w:color="auto"/>
                      <w:lang w:val="en-US" w:eastAsia="zh-CN"/>
                      <w14:textFill>
                        <w14:solidFill>
                          <w14:schemeClr w14:val="tx1"/>
                        </w14:solidFill>
                      </w14:textFill>
                    </w:rPr>
                  </w:pPr>
                  <w:r>
                    <w:rPr>
                      <w:rFonts w:hint="eastAsia"/>
                      <w:bCs/>
                      <w:color w:val="000000" w:themeColor="text1"/>
                      <w:u w:val="none" w:color="auto"/>
                      <w14:textFill>
                        <w14:solidFill>
                          <w14:schemeClr w14:val="tx1"/>
                        </w14:solidFill>
                      </w14:textFill>
                    </w:rPr>
                    <w:t>厂界1.5</w:t>
                  </w:r>
                  <w:r>
                    <w:rPr>
                      <w:color w:val="000000" w:themeColor="text1"/>
                      <w:u w:val="none" w:color="auto"/>
                      <w14:textFill>
                        <w14:solidFill>
                          <w14:schemeClr w14:val="tx1"/>
                        </w14:solidFill>
                      </w14:textFill>
                    </w:rPr>
                    <w:t>mg/m</w:t>
                  </w:r>
                  <w:r>
                    <w:rPr>
                      <w:color w:val="000000" w:themeColor="text1"/>
                      <w:u w:val="none" w:color="auto"/>
                      <w:vertAlign w:val="superscript"/>
                      <w14:textFill>
                        <w14:solidFill>
                          <w14:schemeClr w14:val="tx1"/>
                        </w14:solidFill>
                      </w14:textFill>
                    </w:rPr>
                    <w:t>3</w:t>
                  </w:r>
                </w:p>
              </w:tc>
            </w:tr>
            <w:tr w14:paraId="70CE37A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40" w:type="dxa"/>
                  <w:vMerge w:val="continue"/>
                  <w:tcBorders>
                    <w:tl2br w:val="nil"/>
                    <w:tr2bl w:val="nil"/>
                  </w:tcBorders>
                  <w:noWrap w:val="0"/>
                  <w:vAlign w:val="center"/>
                </w:tcPr>
                <w:p w14:paraId="79470415">
                  <w:pPr>
                    <w:keepNext w:val="0"/>
                    <w:keepLines w:val="0"/>
                    <w:suppressLineNumbers w:val="0"/>
                    <w:adjustRightInd w:val="0"/>
                    <w:snapToGrid w:val="0"/>
                    <w:spacing w:before="0" w:beforeAutospacing="0" w:after="0" w:afterAutospacing="0"/>
                    <w:ind w:left="0" w:leftChars="0" w:right="0" w:rightChars="0"/>
                    <w:jc w:val="center"/>
                    <w:rPr>
                      <w:rFonts w:hint="default"/>
                      <w:u w:val="none" w:color="auto"/>
                    </w:rPr>
                  </w:pPr>
                </w:p>
              </w:tc>
              <w:tc>
                <w:tcPr>
                  <w:tcW w:w="3175" w:type="dxa"/>
                  <w:vMerge w:val="continue"/>
                  <w:tcBorders>
                    <w:tl2br w:val="nil"/>
                    <w:tr2bl w:val="nil"/>
                  </w:tcBorders>
                  <w:shd w:val="clear" w:color="auto" w:fill="auto"/>
                  <w:noWrap w:val="0"/>
                  <w:vAlign w:val="center"/>
                </w:tcPr>
                <w:p w14:paraId="599B3AB1">
                  <w:pPr>
                    <w:keepNext w:val="0"/>
                    <w:keepLines w:val="0"/>
                    <w:suppressLineNumbers w:val="0"/>
                    <w:adjustRightInd w:val="0"/>
                    <w:snapToGrid w:val="0"/>
                    <w:spacing w:before="0" w:beforeAutospacing="0" w:after="0" w:afterAutospacing="0"/>
                    <w:ind w:left="0" w:leftChars="0" w:right="0" w:rightChars="0"/>
                    <w:jc w:val="center"/>
                    <w:rPr>
                      <w:rFonts w:hint="eastAsia"/>
                      <w:u w:val="none" w:color="auto"/>
                    </w:rPr>
                  </w:pPr>
                </w:p>
              </w:tc>
              <w:tc>
                <w:tcPr>
                  <w:tcW w:w="867" w:type="dxa"/>
                  <w:tcBorders>
                    <w:tl2br w:val="nil"/>
                    <w:tr2bl w:val="nil"/>
                  </w:tcBorders>
                  <w:noWrap w:val="0"/>
                  <w:vAlign w:val="center"/>
                </w:tcPr>
                <w:p w14:paraId="71235D32">
                  <w:pPr>
                    <w:pStyle w:val="96"/>
                    <w:rPr>
                      <w:rFonts w:hint="eastAsia"/>
                      <w:color w:val="000000" w:themeColor="text1"/>
                      <w:sz w:val="21"/>
                      <w:szCs w:val="21"/>
                      <w:highlight w:val="none"/>
                      <w:u w:val="none" w:color="auto"/>
                      <w:shd w:val="clear" w:color="auto" w:fill="FFFFFF"/>
                      <w:lang w:val="en-US" w:eastAsia="zh-CN"/>
                      <w14:textFill>
                        <w14:solidFill>
                          <w14:schemeClr w14:val="tx1"/>
                        </w14:solidFill>
                      </w14:textFill>
                    </w:rPr>
                  </w:pPr>
                  <w:r>
                    <w:rPr>
                      <w:rFonts w:hint="eastAsia"/>
                      <w:bCs/>
                      <w:color w:val="000000" w:themeColor="text1"/>
                      <w:u w:val="none" w:color="auto"/>
                      <w14:textFill>
                        <w14:solidFill>
                          <w14:schemeClr w14:val="tx1"/>
                        </w14:solidFill>
                      </w14:textFill>
                    </w:rPr>
                    <w:t>臭气浓度</w:t>
                  </w:r>
                </w:p>
              </w:tc>
              <w:tc>
                <w:tcPr>
                  <w:tcW w:w="3197" w:type="dxa"/>
                  <w:tcBorders>
                    <w:tl2br w:val="nil"/>
                    <w:tr2bl w:val="nil"/>
                  </w:tcBorders>
                  <w:noWrap w:val="0"/>
                  <w:vAlign w:val="center"/>
                </w:tcPr>
                <w:p w14:paraId="17DD7076">
                  <w:pPr>
                    <w:pStyle w:val="96"/>
                    <w:rPr>
                      <w:bCs/>
                      <w:color w:val="000000" w:themeColor="text1"/>
                      <w:u w:val="none" w:color="auto"/>
                      <w14:textFill>
                        <w14:solidFill>
                          <w14:schemeClr w14:val="tx1"/>
                        </w14:solidFill>
                      </w14:textFill>
                    </w:rPr>
                  </w:pPr>
                  <w:r>
                    <w:rPr>
                      <w:rFonts w:hint="eastAsia"/>
                      <w:bCs/>
                      <w:color w:val="000000" w:themeColor="text1"/>
                      <w:u w:val="none" w:color="auto"/>
                      <w:lang w:val="en-US" w:eastAsia="zh-CN"/>
                      <w14:textFill>
                        <w14:solidFill>
                          <w14:schemeClr w14:val="tx1"/>
                        </w14:solidFill>
                      </w14:textFill>
                    </w:rPr>
                    <w:t>2000</w:t>
                  </w:r>
                  <w:r>
                    <w:rPr>
                      <w:bCs/>
                      <w:color w:val="000000" w:themeColor="text1"/>
                      <w:u w:val="none" w:color="auto"/>
                      <w14:textFill>
                        <w14:solidFill>
                          <w14:schemeClr w14:val="tx1"/>
                        </w14:solidFill>
                      </w14:textFill>
                    </w:rPr>
                    <w:t>(</w:t>
                  </w:r>
                  <w:r>
                    <w:rPr>
                      <w:rFonts w:hint="eastAsia"/>
                      <w:bCs/>
                      <w:color w:val="000000" w:themeColor="text1"/>
                      <w:u w:val="none" w:color="auto"/>
                      <w14:textFill>
                        <w14:solidFill>
                          <w14:schemeClr w14:val="tx1"/>
                        </w14:solidFill>
                      </w14:textFill>
                    </w:rPr>
                    <w:t>无量纲</w:t>
                  </w:r>
                  <w:r>
                    <w:rPr>
                      <w:bCs/>
                      <w:color w:val="000000" w:themeColor="text1"/>
                      <w:u w:val="none" w:color="auto"/>
                      <w14:textFill>
                        <w14:solidFill>
                          <w14:schemeClr w14:val="tx1"/>
                        </w14:solidFill>
                      </w14:textFill>
                    </w:rPr>
                    <w:t>)(</w:t>
                  </w:r>
                  <w:r>
                    <w:rPr>
                      <w:rFonts w:hint="eastAsia"/>
                      <w:bCs/>
                      <w:color w:val="000000" w:themeColor="text1"/>
                      <w:u w:val="none" w:color="auto"/>
                      <w:lang w:val="en-US" w:eastAsia="zh-CN"/>
                      <w14:textFill>
                        <w14:solidFill>
                          <w14:schemeClr w14:val="tx1"/>
                        </w14:solidFill>
                      </w14:textFill>
                    </w:rPr>
                    <w:t>15</w:t>
                  </w:r>
                  <w:r>
                    <w:rPr>
                      <w:bCs/>
                      <w:color w:val="000000" w:themeColor="text1"/>
                      <w:u w:val="none" w:color="auto"/>
                      <w14:textFill>
                        <w14:solidFill>
                          <w14:schemeClr w14:val="tx1"/>
                        </w14:solidFill>
                      </w14:textFill>
                    </w:rPr>
                    <w:t>m</w:t>
                  </w:r>
                  <w:r>
                    <w:rPr>
                      <w:rFonts w:hint="eastAsia"/>
                      <w:bCs/>
                      <w:color w:val="000000" w:themeColor="text1"/>
                      <w:u w:val="none" w:color="auto"/>
                      <w14:textFill>
                        <w14:solidFill>
                          <w14:schemeClr w14:val="tx1"/>
                        </w14:solidFill>
                      </w14:textFill>
                    </w:rPr>
                    <w:t>排气筒</w:t>
                  </w:r>
                  <w:r>
                    <w:rPr>
                      <w:bCs/>
                      <w:color w:val="000000" w:themeColor="text1"/>
                      <w:u w:val="none" w:color="auto"/>
                      <w14:textFill>
                        <w14:solidFill>
                          <w14:schemeClr w14:val="tx1"/>
                        </w14:solidFill>
                      </w14:textFill>
                    </w:rPr>
                    <w:t>)</w:t>
                  </w:r>
                </w:p>
                <w:p w14:paraId="7EEC8800">
                  <w:pPr>
                    <w:pStyle w:val="96"/>
                    <w:rPr>
                      <w:rFonts w:hint="default" w:ascii="Times New Roman" w:hAnsi="宋体" w:cs="Times New Roman"/>
                      <w:color w:val="000000" w:themeColor="text1"/>
                      <w:sz w:val="21"/>
                      <w:szCs w:val="21"/>
                      <w:u w:val="none" w:color="auto"/>
                      <w:lang w:val="en-US" w:eastAsia="zh-CN"/>
                      <w14:textFill>
                        <w14:solidFill>
                          <w14:schemeClr w14:val="tx1"/>
                        </w14:solidFill>
                      </w14:textFill>
                    </w:rPr>
                  </w:pPr>
                  <w:r>
                    <w:rPr>
                      <w:rFonts w:hint="eastAsia"/>
                      <w:bCs/>
                      <w:color w:val="000000" w:themeColor="text1"/>
                      <w:u w:val="none" w:color="auto"/>
                      <w14:textFill>
                        <w14:solidFill>
                          <w14:schemeClr w14:val="tx1"/>
                        </w14:solidFill>
                      </w14:textFill>
                    </w:rPr>
                    <w:t>厂界</w:t>
                  </w:r>
                  <w:r>
                    <w:rPr>
                      <w:rFonts w:hint="eastAsia"/>
                      <w:bCs/>
                      <w:color w:val="000000" w:themeColor="text1"/>
                      <w:u w:val="none" w:color="auto"/>
                      <w:lang w:val="en-US" w:eastAsia="zh-CN"/>
                      <w14:textFill>
                        <w14:solidFill>
                          <w14:schemeClr w14:val="tx1"/>
                        </w14:solidFill>
                      </w14:textFill>
                    </w:rPr>
                    <w:t>20</w:t>
                  </w:r>
                  <w:r>
                    <w:rPr>
                      <w:bCs/>
                      <w:color w:val="000000" w:themeColor="text1"/>
                      <w:u w:val="none" w:color="auto"/>
                      <w14:textFill>
                        <w14:solidFill>
                          <w14:schemeClr w14:val="tx1"/>
                        </w14:solidFill>
                      </w14:textFill>
                    </w:rPr>
                    <w:t>(</w:t>
                  </w:r>
                  <w:r>
                    <w:rPr>
                      <w:rFonts w:hint="eastAsia"/>
                      <w:bCs/>
                      <w:color w:val="000000" w:themeColor="text1"/>
                      <w:u w:val="none" w:color="auto"/>
                      <w14:textFill>
                        <w14:solidFill>
                          <w14:schemeClr w14:val="tx1"/>
                        </w14:solidFill>
                      </w14:textFill>
                    </w:rPr>
                    <w:t>无量纲</w:t>
                  </w:r>
                  <w:r>
                    <w:rPr>
                      <w:bCs/>
                      <w:color w:val="000000" w:themeColor="text1"/>
                      <w:u w:val="none" w:color="auto"/>
                      <w14:textFill>
                        <w14:solidFill>
                          <w14:schemeClr w14:val="tx1"/>
                        </w14:solidFill>
                      </w14:textFill>
                    </w:rPr>
                    <w:t>)</w:t>
                  </w:r>
                </w:p>
              </w:tc>
            </w:tr>
          </w:tbl>
          <w:p w14:paraId="245A2C55">
            <w:pPr>
              <w:pStyle w:val="5"/>
              <w:numPr>
                <w:ilvl w:val="0"/>
                <w:numId w:val="17"/>
              </w:numPr>
              <w:ind w:left="480" w:leftChars="0" w:firstLine="0" w:firstLineChars="0"/>
              <w:rPr>
                <w:rFonts w:hint="default" w:ascii="Times New Roman" w:hAnsi="Times New Roman" w:eastAsia="宋体" w:cs="Times New Roman"/>
                <w:sz w:val="24"/>
                <w:szCs w:val="24"/>
                <w:u w:val="none" w:color="auto"/>
                <w:lang w:val="en-US" w:eastAsia="zh-CN"/>
              </w:rPr>
            </w:pPr>
            <w:r>
              <w:rPr>
                <w:rFonts w:hint="default" w:ascii="Times New Roman" w:hAnsi="Times New Roman" w:eastAsia="宋体" w:cs="Times New Roman"/>
                <w:sz w:val="24"/>
                <w:szCs w:val="24"/>
                <w:u w:val="none" w:color="auto"/>
                <w:lang w:val="en-US" w:eastAsia="zh-CN"/>
              </w:rPr>
              <w:t>废水</w:t>
            </w:r>
          </w:p>
          <w:p w14:paraId="29EB01CA">
            <w:pPr>
              <w:autoSpaceDE w:val="0"/>
              <w:autoSpaceDN w:val="0"/>
              <w:adjustRightInd w:val="0"/>
              <w:snapToGrid w:val="0"/>
              <w:ind w:firstLine="482" w:firstLineChars="200"/>
              <w:jc w:val="center"/>
              <w:rPr>
                <w:rFonts w:hint="eastAsia" w:hAnsi="宋体"/>
                <w:b/>
                <w:color w:val="000000"/>
                <w:sz w:val="24"/>
                <w:u w:val="none" w:color="auto"/>
                <w:lang w:val="en-US" w:eastAsia="zh-CN"/>
              </w:rPr>
            </w:pPr>
            <w:r>
              <w:rPr>
                <w:rFonts w:hint="eastAsia" w:hAnsi="宋体"/>
                <w:b/>
                <w:color w:val="000000"/>
                <w:sz w:val="24"/>
                <w:u w:val="none" w:color="auto"/>
              </w:rPr>
              <w:t>表3-</w:t>
            </w:r>
            <w:r>
              <w:rPr>
                <w:rFonts w:hint="eastAsia" w:hAnsi="宋体"/>
                <w:b/>
                <w:color w:val="000000"/>
                <w:sz w:val="24"/>
                <w:u w:val="none" w:color="auto"/>
                <w:lang w:val="en-US" w:eastAsia="zh-CN"/>
              </w:rPr>
              <w:t>5</w:t>
            </w:r>
            <w:r>
              <w:rPr>
                <w:rFonts w:hint="eastAsia" w:hAnsi="宋体"/>
                <w:b/>
                <w:color w:val="000000"/>
                <w:sz w:val="24"/>
                <w:u w:val="none" w:color="auto"/>
              </w:rPr>
              <w:t xml:space="preserve"> </w:t>
            </w:r>
            <w:r>
              <w:rPr>
                <w:rFonts w:hint="eastAsia" w:hAnsi="宋体"/>
                <w:b/>
                <w:color w:val="000000"/>
                <w:sz w:val="24"/>
                <w:u w:val="none" w:color="auto"/>
                <w:lang w:val="en-US" w:eastAsia="zh-CN"/>
              </w:rPr>
              <w:t xml:space="preserve"> </w:t>
            </w:r>
            <w:r>
              <w:rPr>
                <w:rFonts w:hint="eastAsia" w:hAnsi="宋体"/>
                <w:b/>
                <w:color w:val="000000"/>
                <w:sz w:val="24"/>
                <w:u w:val="none" w:color="auto"/>
              </w:rPr>
              <w:t xml:space="preserve"> </w:t>
            </w:r>
            <w:r>
              <w:rPr>
                <w:rFonts w:hint="eastAsia" w:hAnsi="宋体"/>
                <w:b/>
                <w:color w:val="000000"/>
                <w:sz w:val="24"/>
                <w:u w:val="none" w:color="auto"/>
                <w:lang w:val="en-US" w:eastAsia="zh-CN"/>
              </w:rPr>
              <w:t xml:space="preserve"> 生产废水污染物排放标准</w:t>
            </w:r>
          </w:p>
          <w:tbl>
            <w:tblPr>
              <w:tblStyle w:val="32"/>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028"/>
              <w:gridCol w:w="2171"/>
              <w:gridCol w:w="1859"/>
              <w:gridCol w:w="1409"/>
              <w:gridCol w:w="1409"/>
            </w:tblGrid>
            <w:tr w14:paraId="212996F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tcBorders>
                    <w:bottom w:val="single" w:color="auto" w:sz="8" w:space="0"/>
                  </w:tcBorders>
                  <w:noWrap w:val="0"/>
                  <w:vAlign w:val="center"/>
                </w:tcPr>
                <w:p w14:paraId="25F0ACAB">
                  <w:pPr>
                    <w:jc w:val="center"/>
                    <w:rPr>
                      <w:b/>
                      <w:color w:val="000000"/>
                      <w:sz w:val="21"/>
                      <w:szCs w:val="21"/>
                      <w:u w:val="none" w:color="auto"/>
                    </w:rPr>
                  </w:pPr>
                  <w:r>
                    <w:rPr>
                      <w:b/>
                      <w:color w:val="000000"/>
                      <w:sz w:val="21"/>
                      <w:szCs w:val="21"/>
                      <w:u w:val="none" w:color="auto"/>
                    </w:rPr>
                    <w:t>污染物</w:t>
                  </w:r>
                </w:p>
              </w:tc>
              <w:tc>
                <w:tcPr>
                  <w:tcW w:w="1378" w:type="pct"/>
                  <w:tcBorders>
                    <w:bottom w:val="single" w:color="auto" w:sz="8" w:space="0"/>
                  </w:tcBorders>
                  <w:noWrap w:val="0"/>
                  <w:vAlign w:val="center"/>
                </w:tcPr>
                <w:p w14:paraId="583A071C">
                  <w:pPr>
                    <w:jc w:val="center"/>
                    <w:rPr>
                      <w:b/>
                      <w:color w:val="000000"/>
                      <w:sz w:val="21"/>
                      <w:szCs w:val="21"/>
                      <w:u w:val="none" w:color="auto"/>
                    </w:rPr>
                  </w:pPr>
                  <w:r>
                    <w:rPr>
                      <w:b/>
                      <w:color w:val="000000"/>
                      <w:sz w:val="21"/>
                      <w:szCs w:val="21"/>
                      <w:u w:val="none" w:color="auto"/>
                    </w:rPr>
                    <w:t>标准名称</w:t>
                  </w:r>
                </w:p>
              </w:tc>
              <w:tc>
                <w:tcPr>
                  <w:tcW w:w="1180" w:type="pct"/>
                  <w:tcBorders>
                    <w:bottom w:val="single" w:color="auto" w:sz="8" w:space="0"/>
                  </w:tcBorders>
                  <w:noWrap w:val="0"/>
                  <w:vAlign w:val="center"/>
                </w:tcPr>
                <w:p w14:paraId="61AF20F0">
                  <w:pPr>
                    <w:jc w:val="center"/>
                    <w:rPr>
                      <w:b/>
                      <w:color w:val="000000"/>
                      <w:sz w:val="21"/>
                      <w:szCs w:val="21"/>
                      <w:u w:val="none" w:color="auto"/>
                    </w:rPr>
                  </w:pPr>
                  <w:r>
                    <w:rPr>
                      <w:b/>
                      <w:color w:val="000000"/>
                      <w:sz w:val="21"/>
                      <w:szCs w:val="21"/>
                      <w:u w:val="none" w:color="auto"/>
                    </w:rPr>
                    <w:t>污染因子</w:t>
                  </w:r>
                </w:p>
              </w:tc>
              <w:tc>
                <w:tcPr>
                  <w:tcW w:w="1788" w:type="pct"/>
                  <w:gridSpan w:val="2"/>
                  <w:tcBorders>
                    <w:bottom w:val="single" w:color="auto" w:sz="8" w:space="0"/>
                  </w:tcBorders>
                  <w:noWrap w:val="0"/>
                  <w:vAlign w:val="center"/>
                </w:tcPr>
                <w:p w14:paraId="05D72E43">
                  <w:pPr>
                    <w:jc w:val="center"/>
                    <w:rPr>
                      <w:b/>
                      <w:color w:val="000000"/>
                      <w:sz w:val="21"/>
                      <w:szCs w:val="21"/>
                      <w:u w:val="none" w:color="auto"/>
                    </w:rPr>
                  </w:pPr>
                  <w:r>
                    <w:rPr>
                      <w:b/>
                      <w:color w:val="000000"/>
                      <w:sz w:val="21"/>
                      <w:szCs w:val="21"/>
                      <w:u w:val="none" w:color="auto"/>
                    </w:rPr>
                    <w:t>标准限值</w:t>
                  </w:r>
                </w:p>
              </w:tc>
            </w:tr>
            <w:tr w14:paraId="08F8E01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restart"/>
                  <w:tcBorders>
                    <w:top w:val="single" w:color="auto" w:sz="8" w:space="0"/>
                    <w:tl2br w:val="nil"/>
                    <w:tr2bl w:val="nil"/>
                  </w:tcBorders>
                  <w:noWrap w:val="0"/>
                  <w:vAlign w:val="center"/>
                </w:tcPr>
                <w:p w14:paraId="4BB4B3DE">
                  <w:pPr>
                    <w:jc w:val="center"/>
                    <w:rPr>
                      <w:rFonts w:hint="eastAsia" w:eastAsia="宋体"/>
                      <w:color w:val="000000"/>
                      <w:sz w:val="21"/>
                      <w:szCs w:val="21"/>
                      <w:u w:val="none" w:color="auto"/>
                      <w:lang w:val="en-US" w:eastAsia="zh-CN"/>
                    </w:rPr>
                  </w:pPr>
                  <w:r>
                    <w:rPr>
                      <w:rFonts w:hint="eastAsia"/>
                      <w:color w:val="000000"/>
                      <w:sz w:val="21"/>
                      <w:szCs w:val="21"/>
                      <w:u w:val="none" w:color="auto"/>
                      <w:lang w:val="en-US" w:eastAsia="zh-CN"/>
                    </w:rPr>
                    <w:t>废水</w:t>
                  </w:r>
                </w:p>
              </w:tc>
              <w:tc>
                <w:tcPr>
                  <w:tcW w:w="1378" w:type="pct"/>
                  <w:vMerge w:val="restart"/>
                  <w:tcBorders>
                    <w:top w:val="single" w:color="auto" w:sz="8" w:space="0"/>
                    <w:tl2br w:val="nil"/>
                    <w:tr2bl w:val="nil"/>
                  </w:tcBorders>
                  <w:noWrap w:val="0"/>
                  <w:vAlign w:val="center"/>
                </w:tcPr>
                <w:p w14:paraId="75A20D21">
                  <w:pPr>
                    <w:jc w:val="center"/>
                    <w:rPr>
                      <w:rFonts w:hint="default" w:eastAsia="宋体"/>
                      <w:color w:val="000000"/>
                      <w:sz w:val="21"/>
                      <w:szCs w:val="21"/>
                      <w:u w:val="none" w:color="auto"/>
                      <w:shd w:val="clear" w:color="auto" w:fill="FFFFFF"/>
                      <w:lang w:val="en-US" w:eastAsia="zh-CN"/>
                    </w:rPr>
                  </w:pPr>
                  <w:r>
                    <w:rPr>
                      <w:szCs w:val="21"/>
                      <w:u w:val="none" w:color="auto"/>
                    </w:rPr>
                    <w:t>《电池工业污染物排放标准》（GB30484-2013）表2间接排放标准</w:t>
                  </w:r>
                  <w:r>
                    <w:rPr>
                      <w:rFonts w:hint="eastAsia"/>
                      <w:szCs w:val="21"/>
                      <w:u w:val="none" w:color="auto"/>
                      <w:lang w:eastAsia="zh-CN"/>
                    </w:rPr>
                    <w:t>，</w:t>
                  </w:r>
                  <w:r>
                    <w:rPr>
                      <w:rFonts w:hint="eastAsia"/>
                      <w:szCs w:val="21"/>
                      <w:u w:val="none" w:color="auto"/>
                      <w:lang w:val="en-US" w:eastAsia="zh-CN"/>
                    </w:rPr>
                    <w:t>总锰参照</w:t>
                  </w:r>
                  <w:r>
                    <w:rPr>
                      <w:szCs w:val="21"/>
                      <w:u w:val="none" w:color="auto"/>
                    </w:rPr>
                    <w:t>《电池工业污染物排放标准》（GB30484-2013）</w:t>
                  </w:r>
                  <w:r>
                    <w:rPr>
                      <w:rFonts w:hint="eastAsia"/>
                      <w:szCs w:val="21"/>
                      <w:u w:val="none" w:color="auto"/>
                      <w:lang w:val="en-US" w:eastAsia="zh-CN"/>
                    </w:rPr>
                    <w:t>表2中污染物锌锰/锌银/锌空气电池直接排放标准、总镍参照镉镍/氢镍电池</w:t>
                  </w:r>
                  <w:r>
                    <w:rPr>
                      <w:rFonts w:hint="eastAsia" w:ascii="Times New Roman" w:cs="Times New Roman"/>
                      <w:b w:val="0"/>
                      <w:bCs/>
                      <w:sz w:val="21"/>
                      <w:szCs w:val="21"/>
                      <w:u w:val="none" w:color="auto"/>
                      <w:lang w:val="en-US" w:eastAsia="zh-CN"/>
                    </w:rPr>
                    <w:t>车间或车间处理设施总排口</w:t>
                  </w:r>
                  <w:r>
                    <w:rPr>
                      <w:rFonts w:hint="eastAsia" w:cs="Times New Roman"/>
                      <w:b w:val="0"/>
                      <w:bCs/>
                      <w:sz w:val="21"/>
                      <w:szCs w:val="21"/>
                      <w:u w:val="none" w:color="auto"/>
                      <w:lang w:val="en-US" w:eastAsia="zh-CN"/>
                    </w:rPr>
                    <w:t>限值</w:t>
                  </w:r>
                </w:p>
              </w:tc>
              <w:tc>
                <w:tcPr>
                  <w:tcW w:w="1180" w:type="pct"/>
                  <w:tcBorders>
                    <w:top w:val="single" w:color="auto" w:sz="8" w:space="0"/>
                    <w:tl2br w:val="nil"/>
                    <w:tr2bl w:val="nil"/>
                  </w:tcBorders>
                  <w:noWrap w:val="0"/>
                  <w:vAlign w:val="center"/>
                </w:tcPr>
                <w:p w14:paraId="0A1966F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000000"/>
                      <w:szCs w:val="21"/>
                      <w:u w:val="none" w:color="auto"/>
                      <w:lang w:val="en-US" w:eastAsia="zh-CN"/>
                    </w:rPr>
                  </w:pPr>
                  <w:r>
                    <w:rPr>
                      <w:rFonts w:hint="default" w:ascii="Times New Roman" w:hAnsi="Times New Roman" w:eastAsia="宋体" w:cs="Times New Roman"/>
                      <w:b w:val="0"/>
                      <w:bCs/>
                      <w:u w:val="none" w:color="auto"/>
                    </w:rPr>
                    <w:t>pH</w:t>
                  </w:r>
                </w:p>
              </w:tc>
              <w:tc>
                <w:tcPr>
                  <w:tcW w:w="894" w:type="pct"/>
                  <w:vMerge w:val="restart"/>
                  <w:tcBorders>
                    <w:top w:val="single" w:color="auto" w:sz="8" w:space="0"/>
                    <w:tl2br w:val="nil"/>
                    <w:tr2bl w:val="nil"/>
                  </w:tcBorders>
                  <w:noWrap w:val="0"/>
                  <w:vAlign w:val="center"/>
                </w:tcPr>
                <w:p w14:paraId="44A7EA3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sz w:val="21"/>
                      <w:szCs w:val="21"/>
                      <w:u w:val="none" w:color="auto"/>
                      <w:vertAlign w:val="baseline"/>
                      <w:lang w:val="en-US" w:eastAsia="zh-CN"/>
                    </w:rPr>
                  </w:pPr>
                  <w:r>
                    <w:rPr>
                      <w:rFonts w:hint="eastAsia" w:ascii="Times New Roman" w:cs="Times New Roman"/>
                      <w:b w:val="0"/>
                      <w:bCs/>
                      <w:sz w:val="21"/>
                      <w:szCs w:val="21"/>
                      <w:u w:val="none" w:color="auto"/>
                      <w:vertAlign w:val="baseline"/>
                      <w:lang w:val="en-US" w:eastAsia="zh-CN"/>
                    </w:rPr>
                    <w:t>企业废水总排口</w:t>
                  </w:r>
                </w:p>
              </w:tc>
              <w:tc>
                <w:tcPr>
                  <w:tcW w:w="894" w:type="pct"/>
                  <w:tcBorders>
                    <w:top w:val="single" w:color="auto" w:sz="8" w:space="0"/>
                    <w:tl2br w:val="nil"/>
                    <w:tr2bl w:val="nil"/>
                  </w:tcBorders>
                  <w:noWrap w:val="0"/>
                  <w:vAlign w:val="center"/>
                </w:tcPr>
                <w:p w14:paraId="701F7D6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sz w:val="21"/>
                      <w:szCs w:val="21"/>
                      <w:u w:val="none" w:color="auto"/>
                      <w:vertAlign w:val="baseline"/>
                      <w:lang w:val="en-US" w:eastAsia="zh-CN"/>
                    </w:rPr>
                  </w:pPr>
                  <w:r>
                    <w:rPr>
                      <w:rFonts w:hint="eastAsia" w:ascii="Times New Roman" w:cs="Times New Roman"/>
                      <w:b w:val="0"/>
                      <w:bCs/>
                      <w:sz w:val="21"/>
                      <w:szCs w:val="21"/>
                      <w:u w:val="none" w:color="auto"/>
                      <w:vertAlign w:val="baseline"/>
                      <w:lang w:val="en-US" w:eastAsia="zh-CN"/>
                    </w:rPr>
                    <w:t>6~9</w:t>
                  </w:r>
                </w:p>
              </w:tc>
            </w:tr>
            <w:tr w14:paraId="6513445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59FB2B66">
                  <w:pPr>
                    <w:jc w:val="center"/>
                    <w:rPr>
                      <w:rFonts w:hint="eastAsia" w:eastAsia="宋体"/>
                      <w:color w:val="000000"/>
                      <w:sz w:val="21"/>
                      <w:szCs w:val="21"/>
                      <w:u w:val="none" w:color="auto"/>
                      <w:lang w:val="en-US" w:eastAsia="zh-CN"/>
                    </w:rPr>
                  </w:pPr>
                </w:p>
              </w:tc>
              <w:tc>
                <w:tcPr>
                  <w:tcW w:w="1378" w:type="pct"/>
                  <w:vMerge w:val="continue"/>
                  <w:tcBorders>
                    <w:tl2br w:val="nil"/>
                    <w:tr2bl w:val="nil"/>
                  </w:tcBorders>
                  <w:noWrap w:val="0"/>
                  <w:vAlign w:val="center"/>
                </w:tcPr>
                <w:p w14:paraId="12C4EA9D">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74E2B49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000000"/>
                      <w:sz w:val="21"/>
                      <w:szCs w:val="21"/>
                      <w:u w:val="none" w:color="auto"/>
                      <w:lang w:val="en-US" w:eastAsia="zh-CN"/>
                    </w:rPr>
                  </w:pPr>
                  <w:r>
                    <w:rPr>
                      <w:rFonts w:hint="default" w:ascii="Times New Roman" w:hAnsi="Times New Roman" w:eastAsia="宋体" w:cs="Times New Roman"/>
                      <w:b w:val="0"/>
                      <w:bCs/>
                      <w:u w:val="none" w:color="auto"/>
                    </w:rPr>
                    <w:t>COD</w:t>
                  </w:r>
                </w:p>
              </w:tc>
              <w:tc>
                <w:tcPr>
                  <w:tcW w:w="894" w:type="pct"/>
                  <w:vMerge w:val="continue"/>
                  <w:tcBorders>
                    <w:tl2br w:val="nil"/>
                    <w:tr2bl w:val="nil"/>
                  </w:tcBorders>
                  <w:noWrap w:val="0"/>
                  <w:vAlign w:val="center"/>
                </w:tcPr>
                <w:p w14:paraId="3A9F20D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000000"/>
                      <w:sz w:val="21"/>
                      <w:szCs w:val="21"/>
                      <w:highlight w:val="none"/>
                      <w:u w:val="none" w:color="auto"/>
                      <w:lang w:val="en-US" w:eastAsia="zh-CN"/>
                    </w:rPr>
                  </w:pPr>
                </w:p>
              </w:tc>
              <w:tc>
                <w:tcPr>
                  <w:tcW w:w="894" w:type="pct"/>
                  <w:tcBorders>
                    <w:tl2br w:val="nil"/>
                    <w:tr2bl w:val="nil"/>
                  </w:tcBorders>
                  <w:noWrap w:val="0"/>
                  <w:vAlign w:val="center"/>
                </w:tcPr>
                <w:p w14:paraId="42B352D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000000"/>
                      <w:sz w:val="21"/>
                      <w:szCs w:val="21"/>
                      <w:highlight w:val="none"/>
                      <w:u w:val="none" w:color="auto"/>
                      <w:lang w:val="en-US" w:eastAsia="zh-CN"/>
                    </w:rPr>
                  </w:pPr>
                  <w:r>
                    <w:rPr>
                      <w:rFonts w:hint="eastAsia" w:ascii="Times New Roman" w:cs="Times New Roman"/>
                      <w:b w:val="0"/>
                      <w:bCs/>
                      <w:color w:val="000000"/>
                      <w:sz w:val="21"/>
                      <w:szCs w:val="21"/>
                      <w:highlight w:val="none"/>
                      <w:u w:val="none" w:color="auto"/>
                      <w:lang w:val="en-US" w:eastAsia="zh-CN"/>
                    </w:rPr>
                    <w:t>150mg/L</w:t>
                  </w:r>
                </w:p>
              </w:tc>
            </w:tr>
            <w:tr w14:paraId="2C2E424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6C41CC43">
                  <w:pPr>
                    <w:jc w:val="center"/>
                    <w:rPr>
                      <w:rFonts w:hint="eastAsia" w:eastAsia="宋体"/>
                      <w:color w:val="000000"/>
                      <w:sz w:val="21"/>
                      <w:szCs w:val="21"/>
                      <w:u w:val="none" w:color="auto"/>
                      <w:lang w:val="en-US" w:eastAsia="zh-CN"/>
                    </w:rPr>
                  </w:pPr>
                </w:p>
              </w:tc>
              <w:tc>
                <w:tcPr>
                  <w:tcW w:w="1378" w:type="pct"/>
                  <w:vMerge w:val="continue"/>
                  <w:tcBorders>
                    <w:tl2br w:val="nil"/>
                    <w:tr2bl w:val="nil"/>
                  </w:tcBorders>
                  <w:noWrap w:val="0"/>
                  <w:vAlign w:val="center"/>
                </w:tcPr>
                <w:p w14:paraId="417764C6">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21358144">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000000"/>
                      <w:szCs w:val="21"/>
                      <w:u w:val="none" w:color="auto"/>
                      <w:lang w:val="en-US" w:eastAsia="zh-CN"/>
                    </w:rPr>
                  </w:pPr>
                  <w:r>
                    <w:rPr>
                      <w:rFonts w:hint="default" w:ascii="Times New Roman" w:hAnsi="Times New Roman" w:eastAsia="宋体" w:cs="Times New Roman"/>
                      <w:b w:val="0"/>
                      <w:bCs/>
                      <w:u w:val="none" w:color="auto"/>
                    </w:rPr>
                    <w:t>SS</w:t>
                  </w:r>
                </w:p>
              </w:tc>
              <w:tc>
                <w:tcPr>
                  <w:tcW w:w="894" w:type="pct"/>
                  <w:vMerge w:val="continue"/>
                  <w:tcBorders>
                    <w:tl2br w:val="nil"/>
                    <w:tr2bl w:val="nil"/>
                  </w:tcBorders>
                  <w:noWrap w:val="0"/>
                  <w:vAlign w:val="center"/>
                </w:tcPr>
                <w:p w14:paraId="3322ABD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sz w:val="21"/>
                      <w:szCs w:val="21"/>
                      <w:u w:val="none" w:color="auto"/>
                      <w:vertAlign w:val="baseline"/>
                      <w:lang w:val="en-US" w:eastAsia="zh-CN"/>
                    </w:rPr>
                  </w:pPr>
                </w:p>
              </w:tc>
              <w:tc>
                <w:tcPr>
                  <w:tcW w:w="894" w:type="pct"/>
                  <w:tcBorders>
                    <w:tl2br w:val="nil"/>
                    <w:tr2bl w:val="nil"/>
                  </w:tcBorders>
                  <w:noWrap w:val="0"/>
                  <w:vAlign w:val="center"/>
                </w:tcPr>
                <w:p w14:paraId="20ED9653">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sz w:val="21"/>
                      <w:szCs w:val="21"/>
                      <w:u w:val="none" w:color="auto"/>
                      <w:vertAlign w:val="baseline"/>
                      <w:lang w:val="en-US" w:eastAsia="zh-CN"/>
                    </w:rPr>
                  </w:pPr>
                  <w:r>
                    <w:rPr>
                      <w:rFonts w:hint="eastAsia" w:ascii="Times New Roman" w:cs="Times New Roman"/>
                      <w:b w:val="0"/>
                      <w:bCs/>
                      <w:sz w:val="21"/>
                      <w:szCs w:val="21"/>
                      <w:u w:val="none" w:color="auto"/>
                      <w:vertAlign w:val="baseline"/>
                      <w:lang w:val="en-US" w:eastAsia="zh-CN"/>
                    </w:rPr>
                    <w:t>140</w:t>
                  </w:r>
                  <w:r>
                    <w:rPr>
                      <w:rFonts w:hint="eastAsia" w:ascii="Times New Roman" w:cs="Times New Roman"/>
                      <w:b w:val="0"/>
                      <w:bCs/>
                      <w:color w:val="000000"/>
                      <w:sz w:val="21"/>
                      <w:szCs w:val="21"/>
                      <w:highlight w:val="none"/>
                      <w:u w:val="none" w:color="auto"/>
                      <w:lang w:val="en-US" w:eastAsia="zh-CN"/>
                    </w:rPr>
                    <w:t>mg/L</w:t>
                  </w:r>
                </w:p>
              </w:tc>
            </w:tr>
            <w:tr w14:paraId="2A63403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45CC60DE">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3FF45D80">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51F139AC">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000000"/>
                      <w:sz w:val="21"/>
                      <w:szCs w:val="21"/>
                      <w:u w:val="none" w:color="auto"/>
                      <w:lang w:val="en-US" w:eastAsia="zh-CN"/>
                    </w:rPr>
                  </w:pPr>
                  <w:r>
                    <w:rPr>
                      <w:rFonts w:hint="default" w:ascii="Times New Roman" w:hAnsi="Times New Roman" w:eastAsia="宋体" w:cs="Times New Roman"/>
                      <w:b w:val="0"/>
                      <w:bCs/>
                      <w:u w:val="none" w:color="auto"/>
                    </w:rPr>
                    <w:t>NH</w:t>
                  </w:r>
                  <w:r>
                    <w:rPr>
                      <w:rFonts w:hint="default" w:ascii="Times New Roman" w:hAnsi="Times New Roman" w:eastAsia="宋体" w:cs="Times New Roman"/>
                      <w:b w:val="0"/>
                      <w:bCs/>
                      <w:u w:val="none" w:color="auto"/>
                      <w:vertAlign w:val="subscript"/>
                    </w:rPr>
                    <w:t>3</w:t>
                  </w:r>
                  <w:r>
                    <w:rPr>
                      <w:rFonts w:hint="default" w:ascii="Times New Roman" w:hAnsi="Times New Roman" w:eastAsia="宋体" w:cs="Times New Roman"/>
                      <w:b w:val="0"/>
                      <w:bCs/>
                      <w:u w:val="none" w:color="auto"/>
                    </w:rPr>
                    <w:t>-N</w:t>
                  </w:r>
                </w:p>
              </w:tc>
              <w:tc>
                <w:tcPr>
                  <w:tcW w:w="894" w:type="pct"/>
                  <w:vMerge w:val="continue"/>
                  <w:tcBorders>
                    <w:tl2br w:val="nil"/>
                    <w:tr2bl w:val="nil"/>
                  </w:tcBorders>
                  <w:noWrap w:val="0"/>
                  <w:vAlign w:val="center"/>
                </w:tcPr>
                <w:p w14:paraId="4B71D5C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000000"/>
                      <w:sz w:val="21"/>
                      <w:szCs w:val="21"/>
                      <w:highlight w:val="none"/>
                      <w:u w:val="none" w:color="auto"/>
                      <w:lang w:val="en-US" w:eastAsia="zh-CN"/>
                    </w:rPr>
                  </w:pPr>
                </w:p>
              </w:tc>
              <w:tc>
                <w:tcPr>
                  <w:tcW w:w="894" w:type="pct"/>
                  <w:tcBorders>
                    <w:tl2br w:val="nil"/>
                    <w:tr2bl w:val="nil"/>
                  </w:tcBorders>
                  <w:noWrap w:val="0"/>
                  <w:vAlign w:val="center"/>
                </w:tcPr>
                <w:p w14:paraId="290F8843">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000000"/>
                      <w:sz w:val="21"/>
                      <w:szCs w:val="21"/>
                      <w:highlight w:val="none"/>
                      <w:u w:val="none" w:color="auto"/>
                      <w:lang w:val="en-US" w:eastAsia="zh-CN"/>
                    </w:rPr>
                  </w:pPr>
                  <w:r>
                    <w:rPr>
                      <w:rFonts w:hint="eastAsia" w:ascii="Times New Roman" w:cs="Times New Roman"/>
                      <w:b w:val="0"/>
                      <w:bCs/>
                      <w:color w:val="000000"/>
                      <w:sz w:val="21"/>
                      <w:szCs w:val="21"/>
                      <w:highlight w:val="none"/>
                      <w:u w:val="none" w:color="auto"/>
                      <w:lang w:val="en-US" w:eastAsia="zh-CN"/>
                    </w:rPr>
                    <w:t>30mg/L</w:t>
                  </w:r>
                </w:p>
              </w:tc>
            </w:tr>
            <w:tr w14:paraId="064562B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6FF52466">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2C992A8D">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474E1560">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auto"/>
                      <w:spacing w:val="-4"/>
                      <w:sz w:val="21"/>
                      <w:szCs w:val="21"/>
                      <w:u w:val="none" w:color="auto"/>
                    </w:rPr>
                  </w:pPr>
                  <w:r>
                    <w:rPr>
                      <w:rFonts w:hint="default" w:ascii="Times New Roman" w:hAnsi="Times New Roman" w:eastAsia="宋体" w:cs="Times New Roman"/>
                      <w:b w:val="0"/>
                      <w:bCs/>
                      <w:u w:val="none" w:color="auto"/>
                    </w:rPr>
                    <w:t>TN</w:t>
                  </w:r>
                </w:p>
              </w:tc>
              <w:tc>
                <w:tcPr>
                  <w:tcW w:w="894" w:type="pct"/>
                  <w:vMerge w:val="continue"/>
                  <w:tcBorders>
                    <w:tl2br w:val="nil"/>
                    <w:tr2bl w:val="nil"/>
                  </w:tcBorders>
                  <w:noWrap w:val="0"/>
                  <w:vAlign w:val="center"/>
                </w:tcPr>
                <w:p w14:paraId="3485475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auto"/>
                      <w:sz w:val="21"/>
                      <w:szCs w:val="21"/>
                      <w:u w:val="none" w:color="auto"/>
                      <w:lang w:val="en-US" w:eastAsia="zh-CN"/>
                    </w:rPr>
                  </w:pPr>
                </w:p>
              </w:tc>
              <w:tc>
                <w:tcPr>
                  <w:tcW w:w="894" w:type="pct"/>
                  <w:tcBorders>
                    <w:tl2br w:val="nil"/>
                    <w:tr2bl w:val="nil"/>
                  </w:tcBorders>
                  <w:noWrap w:val="0"/>
                  <w:vAlign w:val="center"/>
                </w:tcPr>
                <w:p w14:paraId="55D297E6">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auto"/>
                      <w:sz w:val="21"/>
                      <w:szCs w:val="21"/>
                      <w:u w:val="none" w:color="auto"/>
                      <w:lang w:val="en-US" w:eastAsia="zh-CN"/>
                    </w:rPr>
                  </w:pPr>
                  <w:r>
                    <w:rPr>
                      <w:rFonts w:hint="eastAsia" w:ascii="Times New Roman" w:cs="Times New Roman"/>
                      <w:b w:val="0"/>
                      <w:bCs/>
                      <w:color w:val="000000"/>
                      <w:sz w:val="21"/>
                      <w:szCs w:val="21"/>
                      <w:highlight w:val="none"/>
                      <w:u w:val="none" w:color="auto"/>
                      <w:lang w:val="en-US" w:eastAsia="zh-CN"/>
                    </w:rPr>
                    <w:t>40mg/L</w:t>
                  </w:r>
                </w:p>
              </w:tc>
            </w:tr>
            <w:tr w14:paraId="18A4794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63F2E427">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5B5D8E6B">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4284A0E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auto"/>
                      <w:spacing w:val="-4"/>
                      <w:sz w:val="21"/>
                      <w:szCs w:val="21"/>
                      <w:u w:val="none" w:color="auto"/>
                      <w:lang w:val="en-US" w:eastAsia="zh-CN"/>
                    </w:rPr>
                  </w:pPr>
                  <w:r>
                    <w:rPr>
                      <w:rFonts w:hint="default" w:ascii="Times New Roman" w:hAnsi="Times New Roman" w:eastAsia="宋体" w:cs="Times New Roman"/>
                      <w:b w:val="0"/>
                      <w:bCs/>
                      <w:u w:val="none" w:color="auto"/>
                    </w:rPr>
                    <w:t>TP</w:t>
                  </w:r>
                </w:p>
              </w:tc>
              <w:tc>
                <w:tcPr>
                  <w:tcW w:w="894" w:type="pct"/>
                  <w:vMerge w:val="continue"/>
                  <w:tcBorders>
                    <w:tl2br w:val="nil"/>
                    <w:tr2bl w:val="nil"/>
                  </w:tcBorders>
                  <w:noWrap w:val="0"/>
                  <w:vAlign w:val="center"/>
                </w:tcPr>
                <w:p w14:paraId="3CAA185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auto"/>
                      <w:sz w:val="21"/>
                      <w:szCs w:val="21"/>
                      <w:u w:val="none" w:color="auto"/>
                      <w:lang w:val="en-US" w:eastAsia="zh-CN"/>
                    </w:rPr>
                  </w:pPr>
                </w:p>
              </w:tc>
              <w:tc>
                <w:tcPr>
                  <w:tcW w:w="894" w:type="pct"/>
                  <w:tcBorders>
                    <w:tl2br w:val="nil"/>
                    <w:tr2bl w:val="nil"/>
                  </w:tcBorders>
                  <w:noWrap w:val="0"/>
                  <w:vAlign w:val="center"/>
                </w:tcPr>
                <w:p w14:paraId="2265FC9C">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auto"/>
                      <w:sz w:val="21"/>
                      <w:szCs w:val="21"/>
                      <w:u w:val="none" w:color="auto"/>
                      <w:lang w:val="en-US" w:eastAsia="zh-CN"/>
                    </w:rPr>
                  </w:pPr>
                  <w:r>
                    <w:rPr>
                      <w:rFonts w:hint="eastAsia" w:ascii="Times New Roman" w:cs="Times New Roman"/>
                      <w:b w:val="0"/>
                      <w:bCs/>
                      <w:color w:val="auto"/>
                      <w:sz w:val="21"/>
                      <w:szCs w:val="21"/>
                      <w:u w:val="none" w:color="auto"/>
                      <w:lang w:val="en-US" w:eastAsia="zh-CN"/>
                    </w:rPr>
                    <w:t>2.0</w:t>
                  </w:r>
                  <w:r>
                    <w:rPr>
                      <w:rFonts w:hint="eastAsia" w:ascii="Times New Roman" w:cs="Times New Roman"/>
                      <w:b w:val="0"/>
                      <w:bCs/>
                      <w:color w:val="000000"/>
                      <w:sz w:val="21"/>
                      <w:szCs w:val="21"/>
                      <w:highlight w:val="none"/>
                      <w:u w:val="none" w:color="auto"/>
                      <w:lang w:val="en-US" w:eastAsia="zh-CN"/>
                    </w:rPr>
                    <w:t>mg/L</w:t>
                  </w:r>
                </w:p>
              </w:tc>
            </w:tr>
            <w:tr w14:paraId="5F6D20D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3FABC405">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33E1FD2D">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36BFA33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u w:val="none" w:color="auto"/>
                      <w:lang w:val="en-US" w:eastAsia="zh-CN"/>
                    </w:rPr>
                  </w:pPr>
                  <w:r>
                    <w:rPr>
                      <w:rFonts w:hint="eastAsia" w:ascii="Times New Roman" w:cs="Times New Roman"/>
                      <w:b w:val="0"/>
                      <w:bCs/>
                      <w:u w:val="none" w:color="auto"/>
                      <w:lang w:val="en-US" w:eastAsia="zh-CN"/>
                    </w:rPr>
                    <w:t>总锰</w:t>
                  </w:r>
                </w:p>
              </w:tc>
              <w:tc>
                <w:tcPr>
                  <w:tcW w:w="894" w:type="pct"/>
                  <w:vMerge w:val="continue"/>
                  <w:tcBorders>
                    <w:tl2br w:val="nil"/>
                    <w:tr2bl w:val="nil"/>
                  </w:tcBorders>
                  <w:noWrap w:val="0"/>
                  <w:vAlign w:val="center"/>
                </w:tcPr>
                <w:p w14:paraId="159C81D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auto"/>
                      <w:sz w:val="21"/>
                      <w:szCs w:val="21"/>
                      <w:u w:val="none" w:color="auto"/>
                      <w:lang w:val="en-US" w:eastAsia="zh-CN"/>
                    </w:rPr>
                  </w:pPr>
                </w:p>
              </w:tc>
              <w:tc>
                <w:tcPr>
                  <w:tcW w:w="894" w:type="pct"/>
                  <w:tcBorders>
                    <w:tl2br w:val="nil"/>
                    <w:tr2bl w:val="nil"/>
                  </w:tcBorders>
                  <w:noWrap w:val="0"/>
                  <w:vAlign w:val="center"/>
                </w:tcPr>
                <w:p w14:paraId="50C596F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auto"/>
                      <w:sz w:val="21"/>
                      <w:szCs w:val="21"/>
                      <w:u w:val="none" w:color="auto"/>
                      <w:lang w:val="en-US" w:eastAsia="zh-CN"/>
                    </w:rPr>
                  </w:pPr>
                  <w:r>
                    <w:rPr>
                      <w:rFonts w:hint="eastAsia" w:ascii="Times New Roman" w:cs="Times New Roman"/>
                      <w:b w:val="0"/>
                      <w:bCs/>
                      <w:color w:val="auto"/>
                      <w:sz w:val="21"/>
                      <w:szCs w:val="21"/>
                      <w:u w:val="none" w:color="auto"/>
                      <w:lang w:val="en-US" w:eastAsia="zh-CN"/>
                    </w:rPr>
                    <w:t>1.5</w:t>
                  </w:r>
                  <w:r>
                    <w:rPr>
                      <w:rFonts w:hint="eastAsia" w:ascii="Times New Roman" w:cs="Times New Roman"/>
                      <w:b w:val="0"/>
                      <w:bCs/>
                      <w:color w:val="000000"/>
                      <w:sz w:val="21"/>
                      <w:szCs w:val="21"/>
                      <w:highlight w:val="none"/>
                      <w:u w:val="none" w:color="auto"/>
                      <w:lang w:val="en-US" w:eastAsia="zh-CN"/>
                    </w:rPr>
                    <w:t>mg/L</w:t>
                  </w:r>
                </w:p>
              </w:tc>
            </w:tr>
            <w:tr w14:paraId="71E276C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0DC15715">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4CFC7127">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6CD8D4E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sz w:val="21"/>
                      <w:szCs w:val="21"/>
                      <w:u w:val="none" w:color="auto"/>
                    </w:rPr>
                  </w:pPr>
                  <w:r>
                    <w:rPr>
                      <w:rFonts w:hint="default" w:ascii="Times New Roman" w:hAnsi="Times New Roman" w:eastAsia="宋体" w:cs="Times New Roman"/>
                      <w:b w:val="0"/>
                      <w:bCs/>
                      <w:u w:val="none" w:color="auto"/>
                    </w:rPr>
                    <w:t>排水量（锂离子电池企业）</w:t>
                  </w:r>
                </w:p>
              </w:tc>
              <w:tc>
                <w:tcPr>
                  <w:tcW w:w="894" w:type="pct"/>
                  <w:vMerge w:val="continue"/>
                  <w:tcBorders>
                    <w:tl2br w:val="nil"/>
                    <w:tr2bl w:val="nil"/>
                  </w:tcBorders>
                  <w:noWrap w:val="0"/>
                  <w:vAlign w:val="center"/>
                </w:tcPr>
                <w:p w14:paraId="14898CE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sz w:val="21"/>
                      <w:szCs w:val="21"/>
                      <w:u w:val="none" w:color="auto"/>
                      <w:lang w:val="en-US" w:eastAsia="zh-CN"/>
                    </w:rPr>
                  </w:pPr>
                </w:p>
              </w:tc>
              <w:tc>
                <w:tcPr>
                  <w:tcW w:w="894" w:type="pct"/>
                  <w:tcBorders>
                    <w:tl2br w:val="nil"/>
                    <w:tr2bl w:val="nil"/>
                  </w:tcBorders>
                  <w:noWrap w:val="0"/>
                  <w:vAlign w:val="center"/>
                </w:tcPr>
                <w:p w14:paraId="64DE68C4">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sz w:val="21"/>
                      <w:szCs w:val="21"/>
                      <w:u w:val="none" w:color="auto"/>
                      <w:lang w:val="en-US" w:eastAsia="zh-CN"/>
                    </w:rPr>
                  </w:pPr>
                  <w:r>
                    <w:rPr>
                      <w:rFonts w:hint="eastAsia" w:ascii="Times New Roman" w:cs="Times New Roman"/>
                      <w:b w:val="0"/>
                      <w:bCs/>
                      <w:sz w:val="21"/>
                      <w:szCs w:val="21"/>
                      <w:u w:val="none" w:color="auto"/>
                      <w:lang w:val="en-US" w:eastAsia="zh-CN"/>
                    </w:rPr>
                    <w:t>0.8m</w:t>
                  </w:r>
                  <w:r>
                    <w:rPr>
                      <w:rFonts w:hint="eastAsia" w:ascii="Times New Roman" w:cs="Times New Roman"/>
                      <w:b w:val="0"/>
                      <w:bCs/>
                      <w:sz w:val="21"/>
                      <w:szCs w:val="21"/>
                      <w:u w:val="none" w:color="auto"/>
                      <w:vertAlign w:val="superscript"/>
                      <w:lang w:val="en-US" w:eastAsia="zh-CN"/>
                    </w:rPr>
                    <w:t>3</w:t>
                  </w:r>
                  <w:r>
                    <w:rPr>
                      <w:rFonts w:hint="eastAsia" w:ascii="Times New Roman" w:cs="Times New Roman"/>
                      <w:b w:val="0"/>
                      <w:bCs/>
                      <w:sz w:val="21"/>
                      <w:szCs w:val="21"/>
                      <w:u w:val="none" w:color="auto"/>
                      <w:lang w:val="en-US" w:eastAsia="zh-CN"/>
                    </w:rPr>
                    <w:t>/万只</w:t>
                  </w:r>
                </w:p>
              </w:tc>
            </w:tr>
            <w:tr w14:paraId="26CFDAE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6990770E">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109D9212">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6A073788">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u w:val="none" w:color="auto"/>
                      <w:lang w:val="en-US" w:eastAsia="zh-CN"/>
                    </w:rPr>
                  </w:pPr>
                  <w:r>
                    <w:rPr>
                      <w:rFonts w:hint="eastAsia" w:ascii="Times New Roman" w:cs="Times New Roman"/>
                      <w:b w:val="0"/>
                      <w:bCs/>
                      <w:u w:val="none" w:color="auto"/>
                      <w:lang w:val="en-US" w:eastAsia="zh-CN"/>
                    </w:rPr>
                    <w:t>总钴</w:t>
                  </w:r>
                </w:p>
              </w:tc>
              <w:tc>
                <w:tcPr>
                  <w:tcW w:w="894" w:type="pct"/>
                  <w:vMerge w:val="restart"/>
                  <w:tcBorders>
                    <w:tl2br w:val="nil"/>
                    <w:tr2bl w:val="nil"/>
                  </w:tcBorders>
                  <w:noWrap w:val="0"/>
                  <w:vAlign w:val="center"/>
                </w:tcPr>
                <w:p w14:paraId="0270DDE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sz w:val="21"/>
                      <w:szCs w:val="21"/>
                      <w:u w:val="none" w:color="auto"/>
                      <w:lang w:val="en-US" w:eastAsia="zh-CN"/>
                    </w:rPr>
                  </w:pPr>
                  <w:r>
                    <w:rPr>
                      <w:rFonts w:hint="eastAsia" w:ascii="Times New Roman" w:cs="Times New Roman"/>
                      <w:b w:val="0"/>
                      <w:bCs/>
                      <w:sz w:val="21"/>
                      <w:szCs w:val="21"/>
                      <w:u w:val="none" w:color="auto"/>
                      <w:lang w:val="en-US" w:eastAsia="zh-CN"/>
                    </w:rPr>
                    <w:t>车间或车间处理设施总排口</w:t>
                  </w:r>
                </w:p>
              </w:tc>
              <w:tc>
                <w:tcPr>
                  <w:tcW w:w="894" w:type="pct"/>
                  <w:tcBorders>
                    <w:tl2br w:val="nil"/>
                    <w:tr2bl w:val="nil"/>
                  </w:tcBorders>
                  <w:noWrap w:val="0"/>
                  <w:vAlign w:val="center"/>
                </w:tcPr>
                <w:p w14:paraId="5562202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sz w:val="21"/>
                      <w:szCs w:val="21"/>
                      <w:u w:val="none" w:color="auto"/>
                      <w:lang w:val="en-US" w:eastAsia="zh-CN"/>
                    </w:rPr>
                  </w:pPr>
                  <w:r>
                    <w:rPr>
                      <w:rFonts w:hint="eastAsia" w:ascii="Times New Roman" w:cs="Times New Roman"/>
                      <w:b w:val="0"/>
                      <w:bCs/>
                      <w:sz w:val="21"/>
                      <w:szCs w:val="21"/>
                      <w:u w:val="none" w:color="auto"/>
                      <w:lang w:val="en-US" w:eastAsia="zh-CN"/>
                    </w:rPr>
                    <w:t>0.1</w:t>
                  </w:r>
                </w:p>
              </w:tc>
            </w:tr>
            <w:tr w14:paraId="5CBD629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6A7330A4">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055A9FC6">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22EEE49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u w:val="none" w:color="auto"/>
                      <w:lang w:val="en-US" w:eastAsia="zh-CN"/>
                    </w:rPr>
                  </w:pPr>
                  <w:r>
                    <w:rPr>
                      <w:rFonts w:hint="eastAsia" w:ascii="Times New Roman" w:cs="Times New Roman"/>
                      <w:b w:val="0"/>
                      <w:bCs/>
                      <w:u w:val="none" w:color="auto"/>
                      <w:lang w:val="en-US" w:eastAsia="zh-CN"/>
                    </w:rPr>
                    <w:t>总镍</w:t>
                  </w:r>
                </w:p>
              </w:tc>
              <w:tc>
                <w:tcPr>
                  <w:tcW w:w="894" w:type="pct"/>
                  <w:vMerge w:val="continue"/>
                  <w:tcBorders>
                    <w:tl2br w:val="nil"/>
                    <w:tr2bl w:val="nil"/>
                  </w:tcBorders>
                  <w:noWrap w:val="0"/>
                  <w:vAlign w:val="center"/>
                </w:tcPr>
                <w:p w14:paraId="2531229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b w:val="0"/>
                      <w:bCs/>
                      <w:sz w:val="21"/>
                      <w:szCs w:val="21"/>
                      <w:u w:val="none" w:color="auto"/>
                      <w:lang w:val="en-US" w:eastAsia="zh-CN"/>
                    </w:rPr>
                  </w:pPr>
                </w:p>
              </w:tc>
              <w:tc>
                <w:tcPr>
                  <w:tcW w:w="894" w:type="pct"/>
                  <w:tcBorders>
                    <w:tl2br w:val="nil"/>
                    <w:tr2bl w:val="nil"/>
                  </w:tcBorders>
                  <w:noWrap w:val="0"/>
                  <w:vAlign w:val="center"/>
                </w:tcPr>
                <w:p w14:paraId="6C573A0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sz w:val="21"/>
                      <w:szCs w:val="21"/>
                      <w:u w:val="none" w:color="auto"/>
                      <w:lang w:val="en-US" w:eastAsia="zh-CN"/>
                    </w:rPr>
                  </w:pPr>
                  <w:r>
                    <w:rPr>
                      <w:rFonts w:hint="eastAsia" w:ascii="Times New Roman" w:cs="Times New Roman"/>
                      <w:b w:val="0"/>
                      <w:bCs/>
                      <w:sz w:val="21"/>
                      <w:szCs w:val="21"/>
                      <w:u w:val="none" w:color="auto"/>
                      <w:lang w:val="en-US" w:eastAsia="zh-CN"/>
                    </w:rPr>
                    <w:t>0.5</w:t>
                  </w:r>
                </w:p>
              </w:tc>
            </w:tr>
            <w:tr w14:paraId="1B60C7F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55BE3CA4">
                  <w:pPr>
                    <w:jc w:val="center"/>
                    <w:rPr>
                      <w:rFonts w:hint="eastAsia"/>
                      <w:color w:val="000000"/>
                      <w:sz w:val="21"/>
                      <w:szCs w:val="21"/>
                      <w:u w:val="none" w:color="auto"/>
                      <w:lang w:val="en-US" w:eastAsia="zh-CN"/>
                    </w:rPr>
                  </w:pPr>
                </w:p>
              </w:tc>
              <w:tc>
                <w:tcPr>
                  <w:tcW w:w="1378" w:type="pct"/>
                  <w:vMerge w:val="restart"/>
                  <w:tcBorders>
                    <w:tl2br w:val="nil"/>
                    <w:tr2bl w:val="nil"/>
                  </w:tcBorders>
                  <w:noWrap w:val="0"/>
                  <w:vAlign w:val="center"/>
                </w:tcPr>
                <w:p w14:paraId="1A55CA20">
                  <w:pPr>
                    <w:jc w:val="center"/>
                    <w:rPr>
                      <w:rFonts w:hint="eastAsia"/>
                      <w:color w:val="000000"/>
                      <w:sz w:val="21"/>
                      <w:szCs w:val="21"/>
                      <w:u w:val="none" w:color="auto"/>
                      <w:shd w:val="clear" w:color="auto" w:fill="FFFFFF"/>
                      <w:lang w:eastAsia="zh-CN"/>
                    </w:rPr>
                  </w:pPr>
                  <w:r>
                    <w:rPr>
                      <w:rFonts w:hint="default" w:ascii="Times New Roman" w:hAnsi="Times New Roman" w:eastAsia="宋体" w:cs="Times New Roman"/>
                      <w:bCs/>
                      <w:sz w:val="21"/>
                      <w:szCs w:val="21"/>
                      <w:u w:val="none" w:color="auto"/>
                    </w:rPr>
                    <w:t>新乡市贾屯污水处理厂收水标准</w:t>
                  </w:r>
                </w:p>
              </w:tc>
              <w:tc>
                <w:tcPr>
                  <w:tcW w:w="1180" w:type="pct"/>
                  <w:tcBorders>
                    <w:tl2br w:val="nil"/>
                    <w:tr2bl w:val="nil"/>
                  </w:tcBorders>
                  <w:noWrap w:val="0"/>
                  <w:vAlign w:val="center"/>
                </w:tcPr>
                <w:p w14:paraId="4F083DB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COD</w:t>
                  </w:r>
                </w:p>
              </w:tc>
              <w:tc>
                <w:tcPr>
                  <w:tcW w:w="1788" w:type="pct"/>
                  <w:gridSpan w:val="2"/>
                  <w:tcBorders>
                    <w:tl2br w:val="nil"/>
                    <w:tr2bl w:val="nil"/>
                  </w:tcBorders>
                  <w:noWrap w:val="0"/>
                  <w:vAlign w:val="center"/>
                </w:tcPr>
                <w:p w14:paraId="32CA101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450mg/L</w:t>
                  </w:r>
                </w:p>
              </w:tc>
            </w:tr>
            <w:tr w14:paraId="3BACF57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1AC494CE">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2E68CD42">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7A91492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BOD</w:t>
                  </w:r>
                  <w:r>
                    <w:rPr>
                      <w:rFonts w:hint="default" w:ascii="Times New Roman" w:hAnsi="Times New Roman" w:eastAsia="宋体" w:cs="Times New Roman"/>
                      <w:bCs/>
                      <w:sz w:val="21"/>
                      <w:szCs w:val="21"/>
                      <w:u w:val="none" w:color="auto"/>
                      <w:vertAlign w:val="subscript"/>
                    </w:rPr>
                    <w:t>5</w:t>
                  </w:r>
                </w:p>
              </w:tc>
              <w:tc>
                <w:tcPr>
                  <w:tcW w:w="1788" w:type="pct"/>
                  <w:gridSpan w:val="2"/>
                  <w:tcBorders>
                    <w:tl2br w:val="nil"/>
                    <w:tr2bl w:val="nil"/>
                  </w:tcBorders>
                  <w:noWrap w:val="0"/>
                  <w:vAlign w:val="center"/>
                </w:tcPr>
                <w:p w14:paraId="2667436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180mg/L</w:t>
                  </w:r>
                </w:p>
              </w:tc>
            </w:tr>
            <w:tr w14:paraId="5F48E0A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04920680">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7C5CDD17">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1149DB3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SS</w:t>
                  </w:r>
                </w:p>
              </w:tc>
              <w:tc>
                <w:tcPr>
                  <w:tcW w:w="1788" w:type="pct"/>
                  <w:gridSpan w:val="2"/>
                  <w:tcBorders>
                    <w:tl2br w:val="nil"/>
                    <w:tr2bl w:val="nil"/>
                  </w:tcBorders>
                  <w:noWrap w:val="0"/>
                  <w:vAlign w:val="center"/>
                </w:tcPr>
                <w:p w14:paraId="61C6F52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350mg/L</w:t>
                  </w:r>
                </w:p>
              </w:tc>
            </w:tr>
            <w:tr w14:paraId="0AA5ED6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6CE04054">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063CB974">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17AAD43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NH</w:t>
                  </w:r>
                  <w:r>
                    <w:rPr>
                      <w:rFonts w:hint="default" w:ascii="Times New Roman" w:hAnsi="Times New Roman" w:eastAsia="宋体" w:cs="Times New Roman"/>
                      <w:bCs/>
                      <w:sz w:val="21"/>
                      <w:szCs w:val="21"/>
                      <w:u w:val="none" w:color="auto"/>
                      <w:vertAlign w:val="subscript"/>
                    </w:rPr>
                    <w:t>3</w:t>
                  </w:r>
                  <w:r>
                    <w:rPr>
                      <w:rFonts w:hint="default" w:ascii="Times New Roman" w:hAnsi="Times New Roman" w:eastAsia="宋体" w:cs="Times New Roman"/>
                      <w:bCs/>
                      <w:sz w:val="21"/>
                      <w:szCs w:val="21"/>
                      <w:u w:val="none" w:color="auto"/>
                    </w:rPr>
                    <w:t>-N</w:t>
                  </w:r>
                </w:p>
              </w:tc>
              <w:tc>
                <w:tcPr>
                  <w:tcW w:w="1788" w:type="pct"/>
                  <w:gridSpan w:val="2"/>
                  <w:tcBorders>
                    <w:tl2br w:val="nil"/>
                    <w:tr2bl w:val="nil"/>
                  </w:tcBorders>
                  <w:noWrap w:val="0"/>
                  <w:vAlign w:val="center"/>
                </w:tcPr>
                <w:p w14:paraId="66B6CB7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35mg/L</w:t>
                  </w:r>
                </w:p>
              </w:tc>
            </w:tr>
            <w:tr w14:paraId="44439BA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6CBBE0B6">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1478EE73">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2D0F3CB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TP</w:t>
                  </w:r>
                </w:p>
              </w:tc>
              <w:tc>
                <w:tcPr>
                  <w:tcW w:w="1788" w:type="pct"/>
                  <w:gridSpan w:val="2"/>
                  <w:tcBorders>
                    <w:tl2br w:val="nil"/>
                    <w:tr2bl w:val="nil"/>
                  </w:tcBorders>
                  <w:noWrap w:val="0"/>
                  <w:vAlign w:val="center"/>
                </w:tcPr>
                <w:p w14:paraId="0A2BF45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6mg/L</w:t>
                  </w:r>
                </w:p>
              </w:tc>
            </w:tr>
            <w:tr w14:paraId="3D160EF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0472BBF4">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23F5490D">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1CE6A7F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TN</w:t>
                  </w:r>
                </w:p>
              </w:tc>
              <w:tc>
                <w:tcPr>
                  <w:tcW w:w="1788" w:type="pct"/>
                  <w:gridSpan w:val="2"/>
                  <w:tcBorders>
                    <w:tl2br w:val="nil"/>
                    <w:tr2bl w:val="nil"/>
                  </w:tcBorders>
                  <w:noWrap w:val="0"/>
                  <w:vAlign w:val="center"/>
                </w:tcPr>
                <w:p w14:paraId="369151A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45mg/L</w:t>
                  </w:r>
                </w:p>
              </w:tc>
            </w:tr>
          </w:tbl>
          <w:p w14:paraId="7152A8E8">
            <w:pPr>
              <w:keepNext w:val="0"/>
              <w:keepLines w:val="0"/>
              <w:pageBreakBefore w:val="0"/>
              <w:widowControl w:val="0"/>
              <w:kinsoku/>
              <w:wordWrap/>
              <w:overflowPunct/>
              <w:topLinePunct w:val="0"/>
              <w:autoSpaceDE w:val="0"/>
              <w:autoSpaceDN w:val="0"/>
              <w:bidi w:val="0"/>
              <w:adjustRightInd w:val="0"/>
              <w:snapToGrid w:val="0"/>
              <w:spacing w:line="520" w:lineRule="exact"/>
              <w:ind w:firstLine="482" w:firstLineChars="200"/>
              <w:jc w:val="center"/>
              <w:textAlignment w:val="auto"/>
              <w:rPr>
                <w:rFonts w:hint="eastAsia" w:ascii="Times New Roman" w:hAnsi="宋体" w:eastAsia="宋体" w:cs="Times New Roman"/>
                <w:b/>
                <w:color w:val="000000"/>
                <w:sz w:val="24"/>
                <w:u w:val="none" w:color="auto"/>
                <w:lang w:val="en-US" w:eastAsia="zh-CN"/>
              </w:rPr>
            </w:pPr>
            <w:r>
              <w:rPr>
                <w:rFonts w:hint="eastAsia" w:hAnsi="宋体"/>
                <w:b/>
                <w:color w:val="000000"/>
                <w:sz w:val="24"/>
                <w:u w:val="none" w:color="auto"/>
              </w:rPr>
              <w:t>表3-</w:t>
            </w:r>
            <w:r>
              <w:rPr>
                <w:rFonts w:hint="eastAsia" w:hAnsi="宋体"/>
                <w:b/>
                <w:color w:val="000000"/>
                <w:sz w:val="24"/>
                <w:u w:val="none" w:color="auto"/>
                <w:lang w:val="en-US" w:eastAsia="zh-CN"/>
              </w:rPr>
              <w:t>6</w:t>
            </w:r>
            <w:r>
              <w:rPr>
                <w:rFonts w:hint="eastAsia" w:hAnsi="宋体"/>
                <w:b/>
                <w:color w:val="000000"/>
                <w:sz w:val="24"/>
                <w:u w:val="none" w:color="auto"/>
              </w:rPr>
              <w:t xml:space="preserve"> </w:t>
            </w:r>
            <w:r>
              <w:rPr>
                <w:rFonts w:hint="eastAsia" w:hAnsi="宋体"/>
                <w:b/>
                <w:color w:val="000000"/>
                <w:sz w:val="24"/>
                <w:u w:val="none" w:color="auto"/>
                <w:lang w:val="en-US" w:eastAsia="zh-CN"/>
              </w:rPr>
              <w:t xml:space="preserve"> </w:t>
            </w:r>
            <w:r>
              <w:rPr>
                <w:rFonts w:hint="eastAsia" w:hAnsi="宋体"/>
                <w:b/>
                <w:color w:val="000000"/>
                <w:sz w:val="24"/>
                <w:u w:val="none" w:color="auto"/>
              </w:rPr>
              <w:t xml:space="preserve"> </w:t>
            </w:r>
            <w:r>
              <w:rPr>
                <w:rFonts w:hint="eastAsia" w:hAnsi="宋体"/>
                <w:b/>
                <w:color w:val="000000"/>
                <w:sz w:val="24"/>
                <w:u w:val="none" w:color="auto"/>
                <w:lang w:val="en-US" w:eastAsia="zh-CN"/>
              </w:rPr>
              <w:t xml:space="preserve"> 生活废水污染物排放标准</w:t>
            </w:r>
          </w:p>
          <w:tbl>
            <w:tblPr>
              <w:tblStyle w:val="32"/>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028"/>
              <w:gridCol w:w="2171"/>
              <w:gridCol w:w="1859"/>
              <w:gridCol w:w="2818"/>
            </w:tblGrid>
            <w:tr w14:paraId="78EA5E9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tcBorders>
                    <w:bottom w:val="single" w:color="auto" w:sz="8" w:space="0"/>
                  </w:tcBorders>
                  <w:noWrap w:val="0"/>
                  <w:vAlign w:val="center"/>
                </w:tcPr>
                <w:p w14:paraId="5E21D428">
                  <w:pPr>
                    <w:jc w:val="center"/>
                    <w:rPr>
                      <w:b/>
                      <w:color w:val="000000"/>
                      <w:sz w:val="21"/>
                      <w:szCs w:val="21"/>
                      <w:u w:val="none" w:color="auto"/>
                    </w:rPr>
                  </w:pPr>
                  <w:r>
                    <w:rPr>
                      <w:b/>
                      <w:color w:val="000000"/>
                      <w:sz w:val="21"/>
                      <w:szCs w:val="21"/>
                      <w:u w:val="none" w:color="auto"/>
                    </w:rPr>
                    <w:t>污染物</w:t>
                  </w:r>
                </w:p>
              </w:tc>
              <w:tc>
                <w:tcPr>
                  <w:tcW w:w="1378" w:type="pct"/>
                  <w:tcBorders>
                    <w:bottom w:val="single" w:color="auto" w:sz="8" w:space="0"/>
                  </w:tcBorders>
                  <w:noWrap w:val="0"/>
                  <w:vAlign w:val="center"/>
                </w:tcPr>
                <w:p w14:paraId="45C023BD">
                  <w:pPr>
                    <w:jc w:val="center"/>
                    <w:rPr>
                      <w:b/>
                      <w:color w:val="000000"/>
                      <w:sz w:val="21"/>
                      <w:szCs w:val="21"/>
                      <w:u w:val="none" w:color="auto"/>
                    </w:rPr>
                  </w:pPr>
                  <w:r>
                    <w:rPr>
                      <w:b/>
                      <w:color w:val="000000"/>
                      <w:sz w:val="21"/>
                      <w:szCs w:val="21"/>
                      <w:u w:val="none" w:color="auto"/>
                    </w:rPr>
                    <w:t>标准名称</w:t>
                  </w:r>
                </w:p>
              </w:tc>
              <w:tc>
                <w:tcPr>
                  <w:tcW w:w="1180" w:type="pct"/>
                  <w:tcBorders>
                    <w:bottom w:val="single" w:color="auto" w:sz="8" w:space="0"/>
                  </w:tcBorders>
                  <w:noWrap w:val="0"/>
                  <w:vAlign w:val="center"/>
                </w:tcPr>
                <w:p w14:paraId="4CCF89D1">
                  <w:pPr>
                    <w:jc w:val="center"/>
                    <w:rPr>
                      <w:b/>
                      <w:color w:val="000000"/>
                      <w:sz w:val="21"/>
                      <w:szCs w:val="21"/>
                      <w:u w:val="none" w:color="auto"/>
                    </w:rPr>
                  </w:pPr>
                  <w:r>
                    <w:rPr>
                      <w:b/>
                      <w:color w:val="000000"/>
                      <w:sz w:val="21"/>
                      <w:szCs w:val="21"/>
                      <w:u w:val="none" w:color="auto"/>
                    </w:rPr>
                    <w:t>污染因子</w:t>
                  </w:r>
                </w:p>
              </w:tc>
              <w:tc>
                <w:tcPr>
                  <w:tcW w:w="1788" w:type="pct"/>
                  <w:tcBorders>
                    <w:bottom w:val="single" w:color="auto" w:sz="8" w:space="0"/>
                  </w:tcBorders>
                  <w:noWrap w:val="0"/>
                  <w:vAlign w:val="center"/>
                </w:tcPr>
                <w:p w14:paraId="1A35224E">
                  <w:pPr>
                    <w:jc w:val="center"/>
                    <w:rPr>
                      <w:b/>
                      <w:color w:val="000000"/>
                      <w:sz w:val="21"/>
                      <w:szCs w:val="21"/>
                      <w:u w:val="none" w:color="auto"/>
                    </w:rPr>
                  </w:pPr>
                  <w:r>
                    <w:rPr>
                      <w:b/>
                      <w:color w:val="000000"/>
                      <w:sz w:val="21"/>
                      <w:szCs w:val="21"/>
                      <w:u w:val="none" w:color="auto"/>
                    </w:rPr>
                    <w:t>标准限值</w:t>
                  </w:r>
                </w:p>
              </w:tc>
            </w:tr>
            <w:tr w14:paraId="7219870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restart"/>
                  <w:tcBorders>
                    <w:top w:val="single" w:color="auto" w:sz="8" w:space="0"/>
                    <w:tl2br w:val="nil"/>
                    <w:tr2bl w:val="nil"/>
                  </w:tcBorders>
                  <w:noWrap w:val="0"/>
                  <w:vAlign w:val="center"/>
                </w:tcPr>
                <w:p w14:paraId="100A4CAF">
                  <w:pPr>
                    <w:jc w:val="center"/>
                    <w:rPr>
                      <w:rFonts w:hint="eastAsia" w:eastAsia="宋体"/>
                      <w:color w:val="000000"/>
                      <w:sz w:val="21"/>
                      <w:szCs w:val="21"/>
                      <w:u w:val="none" w:color="auto"/>
                      <w:lang w:val="en-US" w:eastAsia="zh-CN"/>
                    </w:rPr>
                  </w:pPr>
                  <w:r>
                    <w:rPr>
                      <w:rFonts w:hint="eastAsia"/>
                      <w:color w:val="000000"/>
                      <w:sz w:val="21"/>
                      <w:szCs w:val="21"/>
                      <w:u w:val="none" w:color="auto"/>
                      <w:lang w:val="en-US" w:eastAsia="zh-CN"/>
                    </w:rPr>
                    <w:t>废水</w:t>
                  </w:r>
                </w:p>
              </w:tc>
              <w:tc>
                <w:tcPr>
                  <w:tcW w:w="1378" w:type="pct"/>
                  <w:vMerge w:val="restart"/>
                  <w:tcBorders>
                    <w:top w:val="single" w:color="auto" w:sz="8" w:space="0"/>
                    <w:tl2br w:val="nil"/>
                    <w:tr2bl w:val="nil"/>
                  </w:tcBorders>
                  <w:noWrap w:val="0"/>
                  <w:vAlign w:val="center"/>
                </w:tcPr>
                <w:p w14:paraId="51365AA6">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《污水综合排放标准》</w:t>
                  </w:r>
                </w:p>
                <w:p w14:paraId="69D276DF">
                  <w:pPr>
                    <w:jc w:val="center"/>
                    <w:rPr>
                      <w:rFonts w:hint="default" w:eastAsia="宋体"/>
                      <w:color w:val="000000"/>
                      <w:sz w:val="21"/>
                      <w:szCs w:val="21"/>
                      <w:u w:val="none" w:color="auto"/>
                      <w:shd w:val="clear" w:color="auto" w:fill="FFFFFF"/>
                      <w:lang w:val="en-US" w:eastAsia="zh-CN"/>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（GB 8978-1996）表4三级</w:t>
                  </w:r>
                </w:p>
              </w:tc>
              <w:tc>
                <w:tcPr>
                  <w:tcW w:w="1180" w:type="pct"/>
                  <w:tcBorders>
                    <w:top w:val="single" w:color="auto" w:sz="8" w:space="0"/>
                    <w:tl2br w:val="nil"/>
                    <w:tr2bl w:val="nil"/>
                  </w:tcBorders>
                  <w:noWrap w:val="0"/>
                  <w:vAlign w:val="center"/>
                </w:tcPr>
                <w:p w14:paraId="4F8C511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000000"/>
                      <w:szCs w:val="21"/>
                      <w:u w:val="none" w:color="auto"/>
                      <w:lang w:val="en-US" w:eastAsia="zh-CN"/>
                    </w:rPr>
                  </w:pPr>
                  <w:r>
                    <w:rPr>
                      <w:rFonts w:hint="default" w:ascii="Times New Roman" w:hAnsi="Times New Roman" w:eastAsia="宋体" w:cs="Times New Roman"/>
                      <w:b w:val="0"/>
                      <w:bCs/>
                      <w:u w:val="none" w:color="auto"/>
                    </w:rPr>
                    <w:t>pH</w:t>
                  </w:r>
                </w:p>
              </w:tc>
              <w:tc>
                <w:tcPr>
                  <w:tcW w:w="1788" w:type="pct"/>
                  <w:tcBorders>
                    <w:top w:val="single" w:color="auto" w:sz="8" w:space="0"/>
                    <w:tl2br w:val="nil"/>
                    <w:tr2bl w:val="nil"/>
                  </w:tcBorders>
                  <w:noWrap w:val="0"/>
                  <w:vAlign w:val="center"/>
                </w:tcPr>
                <w:p w14:paraId="264A666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auto"/>
                      <w:sz w:val="21"/>
                      <w:szCs w:val="21"/>
                      <w:u w:val="none" w:color="auto"/>
                      <w:lang w:val="en-US" w:eastAsia="zh-CN"/>
                    </w:rPr>
                  </w:pPr>
                  <w:r>
                    <w:rPr>
                      <w:rFonts w:hint="eastAsia" w:ascii="Times New Roman" w:cs="Times New Roman"/>
                      <w:b w:val="0"/>
                      <w:bCs/>
                      <w:sz w:val="21"/>
                      <w:szCs w:val="21"/>
                      <w:u w:val="none" w:color="auto"/>
                      <w:vertAlign w:val="baseline"/>
                      <w:lang w:val="en-US" w:eastAsia="zh-CN"/>
                    </w:rPr>
                    <w:t>6~9</w:t>
                  </w:r>
                </w:p>
              </w:tc>
            </w:tr>
            <w:tr w14:paraId="78B7CF6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00CCBD9B">
                  <w:pPr>
                    <w:jc w:val="center"/>
                    <w:rPr>
                      <w:rFonts w:hint="eastAsia" w:eastAsia="宋体"/>
                      <w:color w:val="000000"/>
                      <w:sz w:val="21"/>
                      <w:szCs w:val="21"/>
                      <w:u w:val="none" w:color="auto"/>
                      <w:lang w:val="en-US" w:eastAsia="zh-CN"/>
                    </w:rPr>
                  </w:pPr>
                </w:p>
              </w:tc>
              <w:tc>
                <w:tcPr>
                  <w:tcW w:w="1378" w:type="pct"/>
                  <w:vMerge w:val="continue"/>
                  <w:tcBorders>
                    <w:tl2br w:val="nil"/>
                    <w:tr2bl w:val="nil"/>
                  </w:tcBorders>
                  <w:noWrap w:val="0"/>
                  <w:vAlign w:val="center"/>
                </w:tcPr>
                <w:p w14:paraId="6DA20BC9">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7F0A8B43">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000000"/>
                      <w:sz w:val="21"/>
                      <w:szCs w:val="21"/>
                      <w:u w:val="none" w:color="auto"/>
                      <w:lang w:val="en-US" w:eastAsia="zh-CN"/>
                    </w:rPr>
                  </w:pPr>
                  <w:r>
                    <w:rPr>
                      <w:rFonts w:hint="default" w:ascii="Times New Roman" w:hAnsi="Times New Roman" w:eastAsia="宋体" w:cs="Times New Roman"/>
                      <w:b w:val="0"/>
                      <w:bCs/>
                      <w:u w:val="none" w:color="auto"/>
                    </w:rPr>
                    <w:t>COD</w:t>
                  </w:r>
                </w:p>
              </w:tc>
              <w:tc>
                <w:tcPr>
                  <w:tcW w:w="1788" w:type="pct"/>
                  <w:tcBorders>
                    <w:tl2br w:val="nil"/>
                    <w:tr2bl w:val="nil"/>
                  </w:tcBorders>
                  <w:noWrap w:val="0"/>
                  <w:vAlign w:val="center"/>
                </w:tcPr>
                <w:p w14:paraId="5405099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000000"/>
                      <w:sz w:val="21"/>
                      <w:szCs w:val="21"/>
                      <w:highlight w:val="none"/>
                      <w:u w:val="none" w:color="auto"/>
                      <w:lang w:val="en-US" w:eastAsia="zh-CN"/>
                    </w:rPr>
                  </w:pPr>
                  <w:r>
                    <w:rPr>
                      <w:rFonts w:hint="eastAsia" w:ascii="Times New Roman" w:hAnsi="Times New Roman" w:eastAsia="宋体" w:cs="Times New Roman"/>
                      <w:bCs/>
                      <w:sz w:val="21"/>
                      <w:szCs w:val="21"/>
                      <w:u w:val="none" w:color="auto"/>
                      <w:lang w:val="en-US" w:eastAsia="zh-CN"/>
                    </w:rPr>
                    <w:t>500</w:t>
                  </w:r>
                  <w:r>
                    <w:rPr>
                      <w:rFonts w:hint="default" w:ascii="Times New Roman" w:hAnsi="Times New Roman" w:eastAsia="宋体" w:cs="Times New Roman"/>
                      <w:bCs/>
                      <w:sz w:val="21"/>
                      <w:szCs w:val="21"/>
                      <w:u w:val="none" w:color="auto"/>
                    </w:rPr>
                    <w:t>mg/L</w:t>
                  </w:r>
                </w:p>
              </w:tc>
            </w:tr>
            <w:tr w14:paraId="347F244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02BC2D4D">
                  <w:pPr>
                    <w:jc w:val="center"/>
                    <w:rPr>
                      <w:rFonts w:hint="eastAsia" w:eastAsia="宋体"/>
                      <w:color w:val="000000"/>
                      <w:sz w:val="21"/>
                      <w:szCs w:val="21"/>
                      <w:u w:val="none" w:color="auto"/>
                      <w:lang w:val="en-US" w:eastAsia="zh-CN"/>
                    </w:rPr>
                  </w:pPr>
                </w:p>
              </w:tc>
              <w:tc>
                <w:tcPr>
                  <w:tcW w:w="1378" w:type="pct"/>
                  <w:vMerge w:val="continue"/>
                  <w:tcBorders>
                    <w:tl2br w:val="nil"/>
                    <w:tr2bl w:val="nil"/>
                  </w:tcBorders>
                  <w:noWrap w:val="0"/>
                  <w:vAlign w:val="center"/>
                </w:tcPr>
                <w:p w14:paraId="771780E9">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01DB57A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000000"/>
                      <w:szCs w:val="21"/>
                      <w:u w:val="none" w:color="auto"/>
                      <w:lang w:val="en-US" w:eastAsia="zh-CN"/>
                    </w:rPr>
                  </w:pPr>
                  <w:r>
                    <w:rPr>
                      <w:rFonts w:hint="default" w:ascii="Times New Roman" w:hAnsi="Times New Roman" w:eastAsia="宋体" w:cs="Times New Roman"/>
                      <w:b w:val="0"/>
                      <w:bCs/>
                      <w:u w:val="none" w:color="auto"/>
                    </w:rPr>
                    <w:t>SS</w:t>
                  </w:r>
                </w:p>
              </w:tc>
              <w:tc>
                <w:tcPr>
                  <w:tcW w:w="1788" w:type="pct"/>
                  <w:tcBorders>
                    <w:tl2br w:val="nil"/>
                    <w:tr2bl w:val="nil"/>
                  </w:tcBorders>
                  <w:noWrap w:val="0"/>
                  <w:vAlign w:val="center"/>
                </w:tcPr>
                <w:p w14:paraId="63272E8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sz w:val="21"/>
                      <w:szCs w:val="21"/>
                      <w:u w:val="none" w:color="auto"/>
                      <w:vertAlign w:val="baseline"/>
                      <w:lang w:val="en-US" w:eastAsia="zh-CN"/>
                    </w:rPr>
                  </w:pPr>
                  <w:r>
                    <w:rPr>
                      <w:rFonts w:hint="eastAsia" w:ascii="Times New Roman" w:hAnsi="Times New Roman" w:eastAsia="宋体" w:cs="Times New Roman"/>
                      <w:bCs/>
                      <w:sz w:val="21"/>
                      <w:szCs w:val="21"/>
                      <w:u w:val="none" w:color="auto"/>
                      <w:lang w:val="en-US" w:eastAsia="zh-CN"/>
                    </w:rPr>
                    <w:t>400</w:t>
                  </w:r>
                  <w:r>
                    <w:rPr>
                      <w:rFonts w:hint="default" w:ascii="Times New Roman" w:hAnsi="Times New Roman" w:eastAsia="宋体" w:cs="Times New Roman"/>
                      <w:bCs/>
                      <w:sz w:val="21"/>
                      <w:szCs w:val="21"/>
                      <w:u w:val="none" w:color="auto"/>
                    </w:rPr>
                    <w:t>mg/L</w:t>
                  </w:r>
                </w:p>
              </w:tc>
            </w:tr>
            <w:tr w14:paraId="2640877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0664658A">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729C0953">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1FC7A24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000000"/>
                      <w:sz w:val="21"/>
                      <w:szCs w:val="21"/>
                      <w:u w:val="none" w:color="auto"/>
                      <w:lang w:val="en-US" w:eastAsia="zh-CN"/>
                    </w:rPr>
                  </w:pPr>
                  <w:r>
                    <w:rPr>
                      <w:rFonts w:hint="default" w:ascii="Times New Roman" w:hAnsi="Times New Roman" w:eastAsia="宋体" w:cs="Times New Roman"/>
                      <w:b w:val="0"/>
                      <w:bCs/>
                      <w:u w:val="none" w:color="auto"/>
                    </w:rPr>
                    <w:t>NH</w:t>
                  </w:r>
                  <w:r>
                    <w:rPr>
                      <w:rFonts w:hint="default" w:ascii="Times New Roman" w:hAnsi="Times New Roman" w:eastAsia="宋体" w:cs="Times New Roman"/>
                      <w:b w:val="0"/>
                      <w:bCs/>
                      <w:u w:val="none" w:color="auto"/>
                      <w:vertAlign w:val="subscript"/>
                    </w:rPr>
                    <w:t>3</w:t>
                  </w:r>
                  <w:r>
                    <w:rPr>
                      <w:rFonts w:hint="default" w:ascii="Times New Roman" w:hAnsi="Times New Roman" w:eastAsia="宋体" w:cs="Times New Roman"/>
                      <w:b w:val="0"/>
                      <w:bCs/>
                      <w:u w:val="none" w:color="auto"/>
                    </w:rPr>
                    <w:t>-N</w:t>
                  </w:r>
                </w:p>
              </w:tc>
              <w:tc>
                <w:tcPr>
                  <w:tcW w:w="1788" w:type="pct"/>
                  <w:tcBorders>
                    <w:tl2br w:val="nil"/>
                    <w:tr2bl w:val="nil"/>
                  </w:tcBorders>
                  <w:noWrap w:val="0"/>
                  <w:vAlign w:val="center"/>
                </w:tcPr>
                <w:p w14:paraId="0424CDE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sz w:val="21"/>
                      <w:szCs w:val="21"/>
                      <w:highlight w:val="none"/>
                      <w:u w:val="none" w:color="auto"/>
                      <w:lang w:val="en-US" w:eastAsia="zh-CN"/>
                    </w:rPr>
                  </w:pPr>
                  <w:r>
                    <w:rPr>
                      <w:rFonts w:hint="eastAsia" w:ascii="Times New Roman" w:hAnsi="Times New Roman" w:eastAsia="宋体" w:cs="Times New Roman"/>
                      <w:bCs/>
                      <w:sz w:val="21"/>
                      <w:szCs w:val="21"/>
                      <w:u w:val="none" w:color="auto"/>
                      <w:lang w:val="en-US" w:eastAsia="zh-CN"/>
                    </w:rPr>
                    <w:t>/</w:t>
                  </w:r>
                </w:p>
              </w:tc>
            </w:tr>
            <w:tr w14:paraId="6C1EDF2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45145269">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77FE15BE">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1D52837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auto"/>
                      <w:spacing w:val="-4"/>
                      <w:sz w:val="21"/>
                      <w:szCs w:val="21"/>
                      <w:u w:val="none" w:color="auto"/>
                    </w:rPr>
                  </w:pPr>
                  <w:r>
                    <w:rPr>
                      <w:rFonts w:hint="default" w:ascii="Times New Roman" w:hAnsi="Times New Roman" w:eastAsia="宋体" w:cs="Times New Roman"/>
                      <w:b w:val="0"/>
                      <w:bCs/>
                      <w:u w:val="none" w:color="auto"/>
                    </w:rPr>
                    <w:t>TN</w:t>
                  </w:r>
                </w:p>
              </w:tc>
              <w:tc>
                <w:tcPr>
                  <w:tcW w:w="1788" w:type="pct"/>
                  <w:tcBorders>
                    <w:tl2br w:val="nil"/>
                    <w:tr2bl w:val="nil"/>
                  </w:tcBorders>
                  <w:noWrap w:val="0"/>
                  <w:vAlign w:val="center"/>
                </w:tcPr>
                <w:p w14:paraId="6E6DA5D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auto"/>
                      <w:sz w:val="21"/>
                      <w:szCs w:val="21"/>
                      <w:u w:val="none" w:color="auto"/>
                      <w:lang w:val="en-US" w:eastAsia="zh-CN"/>
                    </w:rPr>
                  </w:pPr>
                  <w:r>
                    <w:rPr>
                      <w:rFonts w:hint="eastAsia" w:ascii="Times New Roman" w:hAnsi="Times New Roman" w:eastAsia="宋体" w:cs="Times New Roman"/>
                      <w:bCs/>
                      <w:sz w:val="21"/>
                      <w:szCs w:val="21"/>
                      <w:u w:val="none" w:color="auto"/>
                      <w:lang w:val="en-US" w:eastAsia="zh-CN"/>
                    </w:rPr>
                    <w:t>/</w:t>
                  </w:r>
                </w:p>
              </w:tc>
            </w:tr>
            <w:tr w14:paraId="05F7206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79F714A7">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4C735C60">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2F756E6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b w:val="0"/>
                      <w:bCs/>
                      <w:color w:val="auto"/>
                      <w:spacing w:val="-4"/>
                      <w:sz w:val="21"/>
                      <w:szCs w:val="21"/>
                      <w:u w:val="none" w:color="auto"/>
                      <w:lang w:val="en-US" w:eastAsia="zh-CN"/>
                    </w:rPr>
                  </w:pPr>
                  <w:r>
                    <w:rPr>
                      <w:rFonts w:hint="default" w:ascii="Times New Roman" w:hAnsi="Times New Roman" w:eastAsia="宋体" w:cs="Times New Roman"/>
                      <w:b w:val="0"/>
                      <w:bCs/>
                      <w:u w:val="none" w:color="auto"/>
                    </w:rPr>
                    <w:t>TP</w:t>
                  </w:r>
                </w:p>
              </w:tc>
              <w:tc>
                <w:tcPr>
                  <w:tcW w:w="1788" w:type="pct"/>
                  <w:tcBorders>
                    <w:tl2br w:val="nil"/>
                    <w:tr2bl w:val="nil"/>
                  </w:tcBorders>
                  <w:noWrap w:val="0"/>
                  <w:vAlign w:val="center"/>
                </w:tcPr>
                <w:p w14:paraId="2FBB2B8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auto"/>
                      <w:sz w:val="21"/>
                      <w:szCs w:val="21"/>
                      <w:u w:val="none" w:color="auto"/>
                      <w:lang w:val="en-US" w:eastAsia="zh-CN"/>
                    </w:rPr>
                  </w:pPr>
                  <w:r>
                    <w:rPr>
                      <w:rFonts w:hint="eastAsia" w:ascii="Times New Roman" w:hAnsi="Times New Roman" w:eastAsia="宋体" w:cs="Times New Roman"/>
                      <w:bCs/>
                      <w:sz w:val="21"/>
                      <w:szCs w:val="21"/>
                      <w:u w:val="none" w:color="auto"/>
                      <w:lang w:val="en-US" w:eastAsia="zh-CN"/>
                    </w:rPr>
                    <w:t>/</w:t>
                  </w:r>
                </w:p>
              </w:tc>
            </w:tr>
            <w:tr w14:paraId="1D59F1A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7685E886">
                  <w:pPr>
                    <w:jc w:val="center"/>
                    <w:rPr>
                      <w:rFonts w:hint="eastAsia"/>
                      <w:color w:val="000000"/>
                      <w:sz w:val="21"/>
                      <w:szCs w:val="21"/>
                      <w:u w:val="none" w:color="auto"/>
                      <w:lang w:val="en-US" w:eastAsia="zh-CN"/>
                    </w:rPr>
                  </w:pPr>
                </w:p>
              </w:tc>
              <w:tc>
                <w:tcPr>
                  <w:tcW w:w="1378" w:type="pct"/>
                  <w:vMerge w:val="restart"/>
                  <w:tcBorders>
                    <w:tl2br w:val="nil"/>
                    <w:tr2bl w:val="nil"/>
                  </w:tcBorders>
                  <w:noWrap w:val="0"/>
                  <w:vAlign w:val="center"/>
                </w:tcPr>
                <w:p w14:paraId="246EB179">
                  <w:pPr>
                    <w:jc w:val="center"/>
                    <w:rPr>
                      <w:rFonts w:hint="eastAsia"/>
                      <w:color w:val="000000"/>
                      <w:sz w:val="21"/>
                      <w:szCs w:val="21"/>
                      <w:u w:val="none" w:color="auto"/>
                      <w:shd w:val="clear" w:color="auto" w:fill="FFFFFF"/>
                      <w:lang w:eastAsia="zh-CN"/>
                    </w:rPr>
                  </w:pPr>
                  <w:r>
                    <w:rPr>
                      <w:rFonts w:hint="default" w:ascii="Times New Roman" w:hAnsi="Times New Roman" w:eastAsia="宋体" w:cs="Times New Roman"/>
                      <w:bCs/>
                      <w:sz w:val="21"/>
                      <w:szCs w:val="21"/>
                      <w:u w:val="none" w:color="auto"/>
                    </w:rPr>
                    <w:t>新乡市贾屯污水处理厂收水标准</w:t>
                  </w:r>
                </w:p>
              </w:tc>
              <w:tc>
                <w:tcPr>
                  <w:tcW w:w="1180" w:type="pct"/>
                  <w:tcBorders>
                    <w:tl2br w:val="nil"/>
                    <w:tr2bl w:val="nil"/>
                  </w:tcBorders>
                  <w:noWrap w:val="0"/>
                  <w:vAlign w:val="center"/>
                </w:tcPr>
                <w:p w14:paraId="0FAF688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COD</w:t>
                  </w:r>
                </w:p>
              </w:tc>
              <w:tc>
                <w:tcPr>
                  <w:tcW w:w="1788" w:type="pct"/>
                  <w:tcBorders>
                    <w:tl2br w:val="nil"/>
                    <w:tr2bl w:val="nil"/>
                  </w:tcBorders>
                  <w:noWrap w:val="0"/>
                  <w:vAlign w:val="center"/>
                </w:tcPr>
                <w:p w14:paraId="6689F9F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450mg/L</w:t>
                  </w:r>
                </w:p>
              </w:tc>
            </w:tr>
            <w:tr w14:paraId="03835E8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3D0E786A">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47B66B6B">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65B5E0C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SS</w:t>
                  </w:r>
                </w:p>
              </w:tc>
              <w:tc>
                <w:tcPr>
                  <w:tcW w:w="1788" w:type="pct"/>
                  <w:tcBorders>
                    <w:tl2br w:val="nil"/>
                    <w:tr2bl w:val="nil"/>
                  </w:tcBorders>
                  <w:noWrap w:val="0"/>
                  <w:vAlign w:val="center"/>
                </w:tcPr>
                <w:p w14:paraId="090ED14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350mg/L</w:t>
                  </w:r>
                </w:p>
              </w:tc>
            </w:tr>
            <w:tr w14:paraId="16BDD12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6264F43F">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32217BA0">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7CD1429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NH</w:t>
                  </w:r>
                  <w:r>
                    <w:rPr>
                      <w:rFonts w:hint="default" w:ascii="Times New Roman" w:hAnsi="Times New Roman" w:eastAsia="宋体" w:cs="Times New Roman"/>
                      <w:bCs/>
                      <w:sz w:val="21"/>
                      <w:szCs w:val="21"/>
                      <w:u w:val="none" w:color="auto"/>
                      <w:vertAlign w:val="subscript"/>
                    </w:rPr>
                    <w:t>3</w:t>
                  </w:r>
                  <w:r>
                    <w:rPr>
                      <w:rFonts w:hint="default" w:ascii="Times New Roman" w:hAnsi="Times New Roman" w:eastAsia="宋体" w:cs="Times New Roman"/>
                      <w:bCs/>
                      <w:sz w:val="21"/>
                      <w:szCs w:val="21"/>
                      <w:u w:val="none" w:color="auto"/>
                    </w:rPr>
                    <w:t>-N</w:t>
                  </w:r>
                </w:p>
              </w:tc>
              <w:tc>
                <w:tcPr>
                  <w:tcW w:w="1788" w:type="pct"/>
                  <w:tcBorders>
                    <w:tl2br w:val="nil"/>
                    <w:tr2bl w:val="nil"/>
                  </w:tcBorders>
                  <w:noWrap w:val="0"/>
                  <w:vAlign w:val="center"/>
                </w:tcPr>
                <w:p w14:paraId="116F34C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35mg/L</w:t>
                  </w:r>
                </w:p>
              </w:tc>
            </w:tr>
            <w:tr w14:paraId="09C515C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349E29BF">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111FDA3A">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098D0A0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TP</w:t>
                  </w:r>
                </w:p>
              </w:tc>
              <w:tc>
                <w:tcPr>
                  <w:tcW w:w="1788" w:type="pct"/>
                  <w:tcBorders>
                    <w:tl2br w:val="nil"/>
                    <w:tr2bl w:val="nil"/>
                  </w:tcBorders>
                  <w:noWrap w:val="0"/>
                  <w:vAlign w:val="center"/>
                </w:tcPr>
                <w:p w14:paraId="2BA4C17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6mg/L</w:t>
                  </w:r>
                </w:p>
              </w:tc>
            </w:tr>
            <w:tr w14:paraId="0687C21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52" w:type="pct"/>
                  <w:vMerge w:val="continue"/>
                  <w:tcBorders>
                    <w:tl2br w:val="nil"/>
                    <w:tr2bl w:val="nil"/>
                  </w:tcBorders>
                  <w:noWrap w:val="0"/>
                  <w:vAlign w:val="center"/>
                </w:tcPr>
                <w:p w14:paraId="18C54D15">
                  <w:pPr>
                    <w:jc w:val="center"/>
                    <w:rPr>
                      <w:rFonts w:hint="eastAsia"/>
                      <w:color w:val="000000"/>
                      <w:sz w:val="21"/>
                      <w:szCs w:val="21"/>
                      <w:u w:val="none" w:color="auto"/>
                      <w:lang w:val="en-US" w:eastAsia="zh-CN"/>
                    </w:rPr>
                  </w:pPr>
                </w:p>
              </w:tc>
              <w:tc>
                <w:tcPr>
                  <w:tcW w:w="1378" w:type="pct"/>
                  <w:vMerge w:val="continue"/>
                  <w:tcBorders>
                    <w:tl2br w:val="nil"/>
                    <w:tr2bl w:val="nil"/>
                  </w:tcBorders>
                  <w:noWrap w:val="0"/>
                  <w:vAlign w:val="center"/>
                </w:tcPr>
                <w:p w14:paraId="4762438A">
                  <w:pPr>
                    <w:jc w:val="center"/>
                    <w:rPr>
                      <w:rFonts w:hint="eastAsia"/>
                      <w:color w:val="000000"/>
                      <w:sz w:val="21"/>
                      <w:szCs w:val="21"/>
                      <w:u w:val="none" w:color="auto"/>
                      <w:shd w:val="clear" w:color="auto" w:fill="FFFFFF"/>
                      <w:lang w:eastAsia="zh-CN"/>
                    </w:rPr>
                  </w:pPr>
                </w:p>
              </w:tc>
              <w:tc>
                <w:tcPr>
                  <w:tcW w:w="1180" w:type="pct"/>
                  <w:tcBorders>
                    <w:tl2br w:val="nil"/>
                    <w:tr2bl w:val="nil"/>
                  </w:tcBorders>
                  <w:noWrap w:val="0"/>
                  <w:vAlign w:val="center"/>
                </w:tcPr>
                <w:p w14:paraId="22D48FA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TN</w:t>
                  </w:r>
                </w:p>
              </w:tc>
              <w:tc>
                <w:tcPr>
                  <w:tcW w:w="1788" w:type="pct"/>
                  <w:tcBorders>
                    <w:tl2br w:val="nil"/>
                    <w:tr2bl w:val="nil"/>
                  </w:tcBorders>
                  <w:noWrap w:val="0"/>
                  <w:vAlign w:val="center"/>
                </w:tcPr>
                <w:p w14:paraId="2CFB049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sz w:val="21"/>
                      <w:szCs w:val="21"/>
                      <w:u w:val="none" w:color="auto"/>
                    </w:rPr>
                  </w:pPr>
                  <w:r>
                    <w:rPr>
                      <w:rFonts w:hint="default" w:ascii="Times New Roman" w:hAnsi="Times New Roman" w:eastAsia="宋体" w:cs="Times New Roman"/>
                      <w:bCs/>
                      <w:sz w:val="21"/>
                      <w:szCs w:val="21"/>
                      <w:u w:val="none" w:color="auto"/>
                    </w:rPr>
                    <w:t>45mg/L</w:t>
                  </w:r>
                </w:p>
              </w:tc>
            </w:tr>
          </w:tbl>
          <w:p w14:paraId="6F71583C">
            <w:pPr>
              <w:keepNext w:val="0"/>
              <w:keepLines w:val="0"/>
              <w:pageBreakBefore w:val="0"/>
              <w:widowControl w:val="0"/>
              <w:kinsoku/>
              <w:wordWrap/>
              <w:overflowPunct/>
              <w:topLinePunct w:val="0"/>
              <w:autoSpaceDE w:val="0"/>
              <w:autoSpaceDN w:val="0"/>
              <w:bidi w:val="0"/>
              <w:adjustRightInd w:val="0"/>
              <w:snapToGrid w:val="0"/>
              <w:spacing w:line="520" w:lineRule="exact"/>
              <w:ind w:firstLine="482" w:firstLineChars="200"/>
              <w:jc w:val="left"/>
              <w:textAlignment w:val="auto"/>
              <w:rPr>
                <w:rFonts w:hint="eastAsia" w:ascii="Times New Roman" w:hAnsi="宋体" w:eastAsia="宋体" w:cs="Times New Roman"/>
                <w:b/>
                <w:color w:val="000000"/>
                <w:sz w:val="24"/>
                <w:u w:val="none" w:color="auto"/>
                <w:lang w:val="en-US" w:eastAsia="zh-CN"/>
              </w:rPr>
            </w:pPr>
            <w:r>
              <w:rPr>
                <w:rFonts w:hint="eastAsia" w:ascii="Times New Roman" w:hAnsi="宋体" w:eastAsia="宋体" w:cs="Times New Roman"/>
                <w:b/>
                <w:color w:val="000000"/>
                <w:sz w:val="24"/>
                <w:u w:val="none" w:color="auto"/>
                <w:lang w:val="en-US" w:eastAsia="zh-CN"/>
              </w:rPr>
              <w:t>3、噪声</w:t>
            </w:r>
          </w:p>
          <w:p w14:paraId="5D2AB0AE">
            <w:pPr>
              <w:keepNext w:val="0"/>
              <w:keepLines w:val="0"/>
              <w:pageBreakBefore w:val="0"/>
              <w:widowControl w:val="0"/>
              <w:kinsoku/>
              <w:wordWrap/>
              <w:overflowPunct/>
              <w:topLinePunct w:val="0"/>
              <w:autoSpaceDE/>
              <w:autoSpaceDN/>
              <w:bidi w:val="0"/>
              <w:adjustRightInd w:val="0"/>
              <w:snapToGrid w:val="0"/>
              <w:spacing w:line="520" w:lineRule="exact"/>
              <w:ind w:left="0" w:firstLine="720" w:firstLineChars="300"/>
              <w:textAlignment w:val="auto"/>
              <w:rPr>
                <w:rFonts w:hint="default" w:ascii="Times New Roman" w:hAnsi="Times New Roman" w:eastAsia="宋体" w:cs="Times New Roman"/>
                <w:sz w:val="24"/>
                <w:u w:val="none" w:color="auto"/>
                <w:lang w:val="en-US" w:eastAsia="zh-CN"/>
              </w:rPr>
            </w:pPr>
            <w:r>
              <w:rPr>
                <w:rFonts w:hint="default" w:ascii="Times New Roman" w:hAnsi="Times New Roman" w:eastAsia="宋体" w:cs="Times New Roman"/>
                <w:sz w:val="24"/>
                <w:u w:val="none" w:color="auto"/>
                <w:lang w:val="en-US" w:eastAsia="zh-CN"/>
              </w:rPr>
              <w:t>运营期各厂界噪声执行《工业企业厂界环境噪声排放标准》（GB12348-2008）3类标准，具体标准值见下表。</w:t>
            </w:r>
          </w:p>
          <w:p w14:paraId="565457BD">
            <w:pPr>
              <w:keepNext w:val="0"/>
              <w:keepLines w:val="0"/>
              <w:pageBreakBefore w:val="0"/>
              <w:widowControl w:val="0"/>
              <w:kinsoku/>
              <w:wordWrap/>
              <w:overflowPunct/>
              <w:topLinePunct w:val="0"/>
              <w:autoSpaceDE w:val="0"/>
              <w:autoSpaceDN w:val="0"/>
              <w:bidi w:val="0"/>
              <w:adjustRightInd w:val="0"/>
              <w:snapToGrid w:val="0"/>
              <w:spacing w:line="440" w:lineRule="exact"/>
              <w:ind w:firstLine="482" w:firstLineChars="200"/>
              <w:jc w:val="center"/>
              <w:textAlignment w:val="auto"/>
              <w:rPr>
                <w:rFonts w:hint="default" w:hAnsi="宋体"/>
                <w:b/>
                <w:color w:val="000000"/>
                <w:sz w:val="24"/>
                <w:u w:val="none" w:color="auto"/>
                <w:lang w:val="en-US" w:eastAsia="zh-CN"/>
              </w:rPr>
            </w:pPr>
            <w:r>
              <w:rPr>
                <w:rFonts w:hint="eastAsia" w:hAnsi="宋体"/>
                <w:b/>
                <w:color w:val="000000"/>
                <w:sz w:val="24"/>
                <w:u w:val="none" w:color="auto"/>
              </w:rPr>
              <w:t>表3-</w:t>
            </w:r>
            <w:r>
              <w:rPr>
                <w:rFonts w:hint="eastAsia" w:hAnsi="宋体"/>
                <w:b/>
                <w:color w:val="000000"/>
                <w:sz w:val="24"/>
                <w:u w:val="none" w:color="auto"/>
                <w:lang w:val="en-US" w:eastAsia="zh-CN"/>
              </w:rPr>
              <w:t xml:space="preserve">6 </w:t>
            </w:r>
            <w:r>
              <w:rPr>
                <w:rFonts w:hint="eastAsia" w:hAnsi="宋体"/>
                <w:b/>
                <w:color w:val="000000"/>
                <w:sz w:val="24"/>
                <w:u w:val="none" w:color="auto"/>
              </w:rPr>
              <w:t xml:space="preserve"> </w:t>
            </w:r>
            <w:r>
              <w:rPr>
                <w:rFonts w:hint="eastAsia" w:hAnsi="宋体"/>
                <w:b/>
                <w:color w:val="000000"/>
                <w:sz w:val="24"/>
                <w:u w:val="none" w:color="auto"/>
                <w:lang w:val="en-US" w:eastAsia="zh-CN"/>
              </w:rPr>
              <w:t xml:space="preserve">  工业企业厂界环境噪声排放标准     单位：dB（A）</w:t>
            </w:r>
          </w:p>
          <w:tbl>
            <w:tblPr>
              <w:tblStyle w:val="32"/>
              <w:tblW w:w="7698"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2070"/>
              <w:gridCol w:w="2871"/>
            </w:tblGrid>
            <w:tr w14:paraId="6DEA0E1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90" w:type="pct"/>
                  <w:tcBorders>
                    <w:bottom w:val="single" w:color="000000" w:sz="8" w:space="0"/>
                    <w:tl2br w:val="nil"/>
                    <w:tr2bl w:val="nil"/>
                  </w:tcBorders>
                  <w:vAlign w:val="center"/>
                </w:tcPr>
                <w:p w14:paraId="5B13DB90">
                  <w:pPr>
                    <w:keepNext w:val="0"/>
                    <w:keepLines w:val="0"/>
                    <w:pageBreakBefore w:val="0"/>
                    <w:widowControl w:val="0"/>
                    <w:kinsoku/>
                    <w:wordWrap/>
                    <w:overflowPunct/>
                    <w:topLinePunct w:val="0"/>
                    <w:autoSpaceDE/>
                    <w:autoSpaceDN/>
                    <w:bidi w:val="0"/>
                    <w:adjustRightInd w:val="0"/>
                    <w:snapToGrid w:val="0"/>
                    <w:jc w:val="center"/>
                    <w:textAlignment w:val="auto"/>
                    <w:rPr>
                      <w:b/>
                      <w:szCs w:val="21"/>
                      <w:u w:val="none" w:color="auto"/>
                    </w:rPr>
                  </w:pPr>
                  <w:r>
                    <w:rPr>
                      <w:b/>
                      <w:szCs w:val="21"/>
                      <w:u w:val="none" w:color="auto"/>
                    </w:rPr>
                    <w:t>类别</w:t>
                  </w:r>
                </w:p>
              </w:tc>
              <w:tc>
                <w:tcPr>
                  <w:tcW w:w="1344" w:type="pct"/>
                  <w:tcBorders>
                    <w:bottom w:val="single" w:color="000000" w:sz="8" w:space="0"/>
                    <w:tl2br w:val="nil"/>
                    <w:tr2bl w:val="nil"/>
                  </w:tcBorders>
                  <w:vAlign w:val="center"/>
                </w:tcPr>
                <w:p w14:paraId="53B0DC0D">
                  <w:pPr>
                    <w:keepNext w:val="0"/>
                    <w:keepLines w:val="0"/>
                    <w:pageBreakBefore w:val="0"/>
                    <w:widowControl w:val="0"/>
                    <w:kinsoku/>
                    <w:wordWrap/>
                    <w:overflowPunct/>
                    <w:topLinePunct w:val="0"/>
                    <w:autoSpaceDE/>
                    <w:autoSpaceDN/>
                    <w:bidi w:val="0"/>
                    <w:adjustRightInd w:val="0"/>
                    <w:snapToGrid w:val="0"/>
                    <w:jc w:val="center"/>
                    <w:textAlignment w:val="auto"/>
                    <w:rPr>
                      <w:b/>
                      <w:szCs w:val="21"/>
                      <w:u w:val="none" w:color="auto"/>
                    </w:rPr>
                  </w:pPr>
                  <w:r>
                    <w:rPr>
                      <w:b/>
                      <w:szCs w:val="21"/>
                      <w:u w:val="none" w:color="auto"/>
                    </w:rPr>
                    <w:t>昼间</w:t>
                  </w:r>
                </w:p>
              </w:tc>
              <w:tc>
                <w:tcPr>
                  <w:tcW w:w="1864" w:type="pct"/>
                  <w:tcBorders>
                    <w:bottom w:val="single" w:color="000000" w:sz="8" w:space="0"/>
                    <w:tl2br w:val="nil"/>
                    <w:tr2bl w:val="nil"/>
                  </w:tcBorders>
                  <w:vAlign w:val="center"/>
                </w:tcPr>
                <w:p w14:paraId="4C761B7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b/>
                      <w:szCs w:val="21"/>
                      <w:u w:val="none" w:color="auto"/>
                      <w:lang w:val="en-US" w:eastAsia="zh-CN"/>
                    </w:rPr>
                  </w:pPr>
                  <w:r>
                    <w:rPr>
                      <w:rFonts w:hint="eastAsia"/>
                      <w:b/>
                      <w:szCs w:val="21"/>
                      <w:u w:val="none" w:color="auto"/>
                      <w:lang w:val="en-US" w:eastAsia="zh-CN"/>
                    </w:rPr>
                    <w:t>夜间</w:t>
                  </w:r>
                </w:p>
              </w:tc>
            </w:tr>
            <w:tr w14:paraId="53DD061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790" w:type="pct"/>
                  <w:tcBorders>
                    <w:top w:val="single" w:color="000000" w:sz="8" w:space="0"/>
                    <w:tl2br w:val="nil"/>
                    <w:tr2bl w:val="nil"/>
                  </w:tcBorders>
                  <w:vAlign w:val="center"/>
                </w:tcPr>
                <w:p w14:paraId="15AE8605">
                  <w:pPr>
                    <w:keepNext w:val="0"/>
                    <w:keepLines w:val="0"/>
                    <w:pageBreakBefore w:val="0"/>
                    <w:widowControl w:val="0"/>
                    <w:kinsoku/>
                    <w:wordWrap/>
                    <w:overflowPunct/>
                    <w:topLinePunct w:val="0"/>
                    <w:autoSpaceDE/>
                    <w:autoSpaceDN/>
                    <w:bidi w:val="0"/>
                    <w:adjustRightInd w:val="0"/>
                    <w:snapToGrid w:val="0"/>
                    <w:jc w:val="center"/>
                    <w:textAlignment w:val="auto"/>
                    <w:rPr>
                      <w:szCs w:val="21"/>
                      <w:u w:val="none" w:color="auto"/>
                    </w:rPr>
                  </w:pPr>
                  <w:r>
                    <w:rPr>
                      <w:rFonts w:hint="eastAsia"/>
                      <w:szCs w:val="21"/>
                      <w:u w:val="none" w:color="auto"/>
                    </w:rPr>
                    <w:t>3</w:t>
                  </w:r>
                  <w:r>
                    <w:rPr>
                      <w:szCs w:val="21"/>
                      <w:u w:val="none" w:color="auto"/>
                    </w:rPr>
                    <w:t>类</w:t>
                  </w:r>
                </w:p>
              </w:tc>
              <w:tc>
                <w:tcPr>
                  <w:tcW w:w="1344" w:type="pct"/>
                  <w:tcBorders>
                    <w:top w:val="single" w:color="000000" w:sz="8" w:space="0"/>
                    <w:tl2br w:val="nil"/>
                    <w:tr2bl w:val="nil"/>
                  </w:tcBorders>
                  <w:vAlign w:val="center"/>
                </w:tcPr>
                <w:p w14:paraId="191E3733">
                  <w:pPr>
                    <w:keepNext w:val="0"/>
                    <w:keepLines w:val="0"/>
                    <w:pageBreakBefore w:val="0"/>
                    <w:widowControl w:val="0"/>
                    <w:kinsoku/>
                    <w:wordWrap/>
                    <w:overflowPunct/>
                    <w:topLinePunct w:val="0"/>
                    <w:autoSpaceDE/>
                    <w:autoSpaceDN/>
                    <w:bidi w:val="0"/>
                    <w:adjustRightInd w:val="0"/>
                    <w:snapToGrid w:val="0"/>
                    <w:jc w:val="center"/>
                    <w:textAlignment w:val="auto"/>
                    <w:rPr>
                      <w:szCs w:val="21"/>
                      <w:u w:val="none" w:color="auto"/>
                    </w:rPr>
                  </w:pPr>
                  <w:r>
                    <w:rPr>
                      <w:rFonts w:hint="eastAsia"/>
                      <w:szCs w:val="21"/>
                      <w:u w:val="none" w:color="auto"/>
                    </w:rPr>
                    <w:t>65</w:t>
                  </w:r>
                </w:p>
              </w:tc>
              <w:tc>
                <w:tcPr>
                  <w:tcW w:w="1864" w:type="pct"/>
                  <w:tcBorders>
                    <w:top w:val="single" w:color="000000" w:sz="8" w:space="0"/>
                    <w:tl2br w:val="nil"/>
                    <w:tr2bl w:val="nil"/>
                  </w:tcBorders>
                  <w:vAlign w:val="center"/>
                </w:tcPr>
                <w:p w14:paraId="61B57F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szCs w:val="21"/>
                      <w:u w:val="none" w:color="auto"/>
                      <w:lang w:val="en-US" w:eastAsia="zh-CN"/>
                    </w:rPr>
                  </w:pPr>
                  <w:r>
                    <w:rPr>
                      <w:rFonts w:hint="eastAsia"/>
                      <w:szCs w:val="21"/>
                      <w:u w:val="none" w:color="auto"/>
                      <w:lang w:val="en-US" w:eastAsia="zh-CN"/>
                    </w:rPr>
                    <w:t>55</w:t>
                  </w:r>
                </w:p>
              </w:tc>
            </w:tr>
          </w:tbl>
          <w:p w14:paraId="594D32A7">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b/>
                <w:sz w:val="24"/>
                <w:u w:val="none" w:color="auto"/>
              </w:rPr>
            </w:pPr>
            <w:r>
              <w:rPr>
                <w:rFonts w:hint="eastAsia"/>
                <w:b/>
                <w:sz w:val="24"/>
                <w:u w:val="none" w:color="auto"/>
              </w:rPr>
              <w:t>4、</w:t>
            </w:r>
            <w:r>
              <w:rPr>
                <w:b/>
                <w:sz w:val="24"/>
                <w:u w:val="none" w:color="auto"/>
              </w:rPr>
              <w:t>固废</w:t>
            </w:r>
          </w:p>
          <w:p w14:paraId="56FD3C3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Times New Roman" w:hAnsi="Times New Roman" w:eastAsia="宋体" w:cs="Times New Roman"/>
                <w:bCs/>
                <w:sz w:val="24"/>
                <w:u w:val="none" w:color="auto"/>
              </w:rPr>
            </w:pPr>
            <w:r>
              <w:rPr>
                <w:rFonts w:hint="eastAsia" w:ascii="Times New Roman" w:hAnsi="Times New Roman" w:eastAsia="宋体" w:cs="Times New Roman"/>
                <w:bCs/>
                <w:sz w:val="24"/>
                <w:u w:val="none" w:color="auto"/>
              </w:rPr>
              <w:t>一般固废贮存、处置执行《一般工业固体废物贮存和填埋污染控制标准》（GB18599-2020）中防渗漏、防雨淋、防扬尘等环境保护要求。</w:t>
            </w:r>
          </w:p>
          <w:p w14:paraId="2A91DF7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eastAsia="宋体" w:cs="Times New Roman"/>
                <w:sz w:val="24"/>
                <w:u w:val="none" w:color="auto"/>
                <w:lang w:val="en-US" w:eastAsia="zh-CN"/>
              </w:rPr>
            </w:pPr>
            <w:r>
              <w:rPr>
                <w:rFonts w:hint="eastAsia" w:ascii="Times New Roman" w:hAnsi="Times New Roman" w:eastAsia="宋体" w:cs="Times New Roman"/>
                <w:bCs/>
                <w:sz w:val="24"/>
                <w:u w:val="none" w:color="auto"/>
              </w:rPr>
              <w:t>危险废物贮存、处置按照《危险废物贮存污染控制标准》（GB18597-2023）要求进行。</w:t>
            </w:r>
          </w:p>
        </w:tc>
      </w:tr>
      <w:tr w14:paraId="7E6114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422" w:type="dxa"/>
            <w:noWrap w:val="0"/>
            <w:vAlign w:val="center"/>
          </w:tcPr>
          <w:p w14:paraId="493CC1E6">
            <w:pPr>
              <w:adjustRightInd w:val="0"/>
              <w:snapToGrid w:val="0"/>
              <w:jc w:val="center"/>
              <w:rPr>
                <w:kern w:val="0"/>
                <w:szCs w:val="21"/>
                <w:u w:val="none" w:color="auto"/>
              </w:rPr>
            </w:pPr>
            <w:r>
              <w:rPr>
                <w:kern w:val="0"/>
                <w:szCs w:val="21"/>
                <w:u w:val="none" w:color="auto"/>
              </w:rPr>
              <w:t>总量</w:t>
            </w:r>
          </w:p>
          <w:p w14:paraId="381840C2">
            <w:pPr>
              <w:adjustRightInd w:val="0"/>
              <w:snapToGrid w:val="0"/>
              <w:jc w:val="center"/>
              <w:rPr>
                <w:kern w:val="0"/>
                <w:szCs w:val="21"/>
                <w:u w:val="none" w:color="auto"/>
              </w:rPr>
            </w:pPr>
            <w:r>
              <w:rPr>
                <w:kern w:val="0"/>
                <w:szCs w:val="21"/>
                <w:u w:val="none" w:color="auto"/>
              </w:rPr>
              <w:t>控制</w:t>
            </w:r>
          </w:p>
          <w:p w14:paraId="2FEDA71B">
            <w:pPr>
              <w:adjustRightInd w:val="0"/>
              <w:snapToGrid w:val="0"/>
              <w:jc w:val="center"/>
              <w:rPr>
                <w:kern w:val="0"/>
                <w:szCs w:val="21"/>
                <w:u w:val="none" w:color="auto"/>
              </w:rPr>
            </w:pPr>
            <w:r>
              <w:rPr>
                <w:kern w:val="0"/>
                <w:szCs w:val="21"/>
                <w:u w:val="none" w:color="auto"/>
              </w:rPr>
              <w:t>指标</w:t>
            </w:r>
          </w:p>
        </w:tc>
        <w:tc>
          <w:tcPr>
            <w:tcW w:w="8095" w:type="dxa"/>
            <w:noWrap w:val="0"/>
            <w:vAlign w:val="center"/>
          </w:tcPr>
          <w:p w14:paraId="6CFD1B6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bCs/>
                <w:color w:val="000000" w:themeColor="text1"/>
                <w:sz w:val="24"/>
                <w:u w:val="none" w:color="auto"/>
                <w14:textFill>
                  <w14:solidFill>
                    <w14:schemeClr w14:val="tx1"/>
                  </w14:solidFill>
                </w14:textFill>
              </w:rPr>
            </w:pPr>
          </w:p>
          <w:p w14:paraId="2FD1903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bCs/>
                <w:color w:val="000000" w:themeColor="text1"/>
                <w:sz w:val="24"/>
                <w:u w:val="none" w:color="auto"/>
                <w14:textFill>
                  <w14:solidFill>
                    <w14:schemeClr w14:val="tx1"/>
                  </w14:solidFill>
                </w14:textFill>
              </w:rPr>
            </w:pPr>
          </w:p>
          <w:p w14:paraId="51CD913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bCs/>
                <w:color w:val="000000" w:themeColor="text1"/>
                <w:sz w:val="24"/>
                <w:u w:val="none" w:color="auto"/>
                <w14:textFill>
                  <w14:solidFill>
                    <w14:schemeClr w14:val="tx1"/>
                  </w14:solidFill>
                </w14:textFill>
              </w:rPr>
            </w:pPr>
          </w:p>
          <w:p w14:paraId="0C4D59A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Times New Roman" w:hAnsi="Times New Roman" w:eastAsia="宋体" w:cs="Times New Roman"/>
                <w:bCs/>
                <w:color w:val="000000" w:themeColor="text1"/>
                <w:sz w:val="24"/>
                <w:u w:val="none" w:color="auto"/>
                <w14:textFill>
                  <w14:solidFill>
                    <w14:schemeClr w14:val="tx1"/>
                  </w14:solidFill>
                </w14:textFill>
              </w:rPr>
            </w:pPr>
            <w:r>
              <w:rPr>
                <w:rFonts w:hint="eastAsia"/>
                <w:bCs/>
                <w:color w:val="000000" w:themeColor="text1"/>
                <w:sz w:val="24"/>
                <w:u w:val="none" w:color="auto"/>
                <w14:textFill>
                  <w14:solidFill>
                    <w14:schemeClr w14:val="tx1"/>
                  </w14:solidFill>
                </w14:textFill>
              </w:rPr>
              <w:t>根据《新乡市生态环境局关于转发&lt;河南省生态环境厅关于印发建设项目主要污染物排放总量指标管理工作内部规程的通知&gt;的通知》，建设项目环</w:t>
            </w:r>
            <w:r>
              <w:rPr>
                <w:rFonts w:hint="eastAsia" w:ascii="Times New Roman" w:hAnsi="Times New Roman" w:eastAsia="宋体" w:cs="Times New Roman"/>
                <w:bCs/>
                <w:color w:val="000000" w:themeColor="text1"/>
                <w:sz w:val="24"/>
                <w:u w:val="none" w:color="auto"/>
                <w14:textFill>
                  <w14:solidFill>
                    <w14:schemeClr w14:val="tx1"/>
                  </w14:solidFill>
                </w14:textFill>
              </w:rPr>
              <w:t>境影响评价文件中应明确建设项目主要污染物排放总量指标及替代方案。</w:t>
            </w:r>
          </w:p>
          <w:p w14:paraId="2B8CF61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cs="Times New Roman"/>
                <w:bCs/>
                <w:color w:val="000000" w:themeColor="text1"/>
                <w:sz w:val="24"/>
                <w:szCs w:val="24"/>
                <w:u w:val="none" w:color="auto"/>
                <w:lang w:val="pt-BR" w:eastAsia="zh-CN"/>
                <w14:textFill>
                  <w14:solidFill>
                    <w14:schemeClr w14:val="tx1"/>
                  </w14:solidFill>
                </w14:textFill>
              </w:rPr>
            </w:pPr>
            <w:r>
              <w:rPr>
                <w:rFonts w:hint="eastAsia" w:cs="Times New Roman"/>
                <w:bCs/>
                <w:color w:val="000000" w:themeColor="text1"/>
                <w:sz w:val="24"/>
                <w:szCs w:val="24"/>
                <w:u w:val="none" w:color="auto"/>
                <w:lang w:val="pt-BR" w:eastAsia="zh-CN"/>
                <w14:textFill>
                  <w14:solidFill>
                    <w14:schemeClr w14:val="tx1"/>
                  </w14:solidFill>
                </w14:textFill>
              </w:rPr>
              <w:t>本项目建成后全厂污染物排放量为：非甲烷总烃1.88t/a、颗粒物0.0293t/at/a、COD1.1942t/a、NH</w:t>
            </w:r>
            <w:r>
              <w:rPr>
                <w:rFonts w:hint="eastAsia" w:cs="Times New Roman"/>
                <w:bCs/>
                <w:color w:val="000000" w:themeColor="text1"/>
                <w:sz w:val="24"/>
                <w:szCs w:val="24"/>
                <w:u w:val="none" w:color="auto"/>
                <w:vertAlign w:val="subscript"/>
                <w:lang w:val="pt-BR" w:eastAsia="zh-CN"/>
                <w14:textFill>
                  <w14:solidFill>
                    <w14:schemeClr w14:val="tx1"/>
                  </w14:solidFill>
                </w14:textFill>
              </w:rPr>
              <w:t>3</w:t>
            </w:r>
            <w:r>
              <w:rPr>
                <w:rFonts w:hint="eastAsia" w:cs="Times New Roman"/>
                <w:bCs/>
                <w:color w:val="000000" w:themeColor="text1"/>
                <w:sz w:val="24"/>
                <w:szCs w:val="24"/>
                <w:u w:val="none" w:color="auto"/>
                <w:lang w:val="pt-BR" w:eastAsia="zh-CN"/>
                <w14:textFill>
                  <w14:solidFill>
                    <w14:schemeClr w14:val="tx1"/>
                  </w14:solidFill>
                </w14:textFill>
              </w:rPr>
              <w:t>-N0.0259 t/a、TP0.0119 t/a 。</w:t>
            </w:r>
          </w:p>
          <w:p w14:paraId="18C24D5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r>
              <w:rPr>
                <w:rFonts w:hint="eastAsia" w:cs="Times New Roman"/>
                <w:bCs/>
                <w:color w:val="000000" w:themeColor="text1"/>
                <w:sz w:val="24"/>
                <w:szCs w:val="24"/>
                <w:u w:val="none" w:color="auto"/>
                <w:lang w:val="pt-BR" w:eastAsia="zh-CN"/>
                <w14:textFill>
                  <w14:solidFill>
                    <w14:schemeClr w14:val="tx1"/>
                  </w14:solidFill>
                </w14:textFill>
              </w:rPr>
              <w:t>本项目大气污染物需实行倍量替代，替代指标非甲烷总烃3.76t/a、颗粒物0.0586t/a。水污染物需进行单倍替代，替代指标COD1.1942t/a、NH</w:t>
            </w:r>
            <w:r>
              <w:rPr>
                <w:rFonts w:hint="eastAsia" w:cs="Times New Roman"/>
                <w:bCs/>
                <w:color w:val="000000" w:themeColor="text1"/>
                <w:sz w:val="24"/>
                <w:szCs w:val="24"/>
                <w:u w:val="none" w:color="auto"/>
                <w:vertAlign w:val="subscript"/>
                <w:lang w:val="pt-BR" w:eastAsia="zh-CN"/>
                <w14:textFill>
                  <w14:solidFill>
                    <w14:schemeClr w14:val="tx1"/>
                  </w14:solidFill>
                </w14:textFill>
              </w:rPr>
              <w:t>3</w:t>
            </w:r>
            <w:r>
              <w:rPr>
                <w:rFonts w:hint="eastAsia" w:cs="Times New Roman"/>
                <w:bCs/>
                <w:color w:val="000000" w:themeColor="text1"/>
                <w:sz w:val="24"/>
                <w:szCs w:val="24"/>
                <w:u w:val="none" w:color="auto"/>
                <w:lang w:val="pt-BR" w:eastAsia="zh-CN"/>
                <w14:textFill>
                  <w14:solidFill>
                    <w14:schemeClr w14:val="tx1"/>
                  </w14:solidFill>
                </w14:textFill>
              </w:rPr>
              <w:t>-N0.0259 t/a、TP0.0119 t/a 。</w:t>
            </w:r>
          </w:p>
          <w:p w14:paraId="1E90755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2DD163D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418ED56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12E9273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1E65803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453C4EEA">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60C1B95B">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58D21ACD">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370435C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24C8BAA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0E4C061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0ED72DDF">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551D43D0">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1339333B">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3B3BA5EB">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p w14:paraId="5D899EA3">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imes New Roman" w:hAnsi="Times New Roman" w:eastAsia="宋体" w:cs="Times New Roman"/>
                <w:bCs/>
                <w:color w:val="000000" w:themeColor="text1"/>
                <w:sz w:val="24"/>
                <w:u w:val="none" w:color="auto"/>
                <w:lang w:val="zh-CN" w:eastAsia="zh-CN"/>
                <w14:textFill>
                  <w14:solidFill>
                    <w14:schemeClr w14:val="tx1"/>
                  </w14:solidFill>
                </w14:textFill>
              </w:rPr>
            </w:pPr>
          </w:p>
        </w:tc>
      </w:tr>
    </w:tbl>
    <w:p w14:paraId="7E527CAD">
      <w:pPr>
        <w:pStyle w:val="29"/>
        <w:jc w:val="center"/>
        <w:outlineLvl w:val="0"/>
        <w:rPr>
          <w:rFonts w:ascii="Times New Roman" w:hAnsi="Times New Roman" w:eastAsia="黑体"/>
          <w:b/>
          <w:bCs/>
          <w:kern w:val="2"/>
          <w:sz w:val="30"/>
          <w:szCs w:val="30"/>
          <w:u w:val="none" w:color="auto"/>
        </w:rPr>
        <w:sectPr>
          <w:pgSz w:w="11907" w:h="16840"/>
          <w:pgMar w:top="1440" w:right="1803" w:bottom="1440" w:left="1803" w:header="851" w:footer="851" w:gutter="0"/>
          <w:pgBorders>
            <w:top w:val="none" w:sz="0" w:space="0"/>
            <w:left w:val="none" w:sz="0" w:space="0"/>
            <w:bottom w:val="none" w:sz="0" w:space="0"/>
            <w:right w:val="none" w:sz="0" w:space="0"/>
          </w:pgBorders>
          <w:pgNumType w:fmt="decimal"/>
          <w:cols w:space="720" w:num="1"/>
          <w:docGrid w:linePitch="312" w:charSpace="0"/>
        </w:sectPr>
      </w:pPr>
      <w:r>
        <w:rPr>
          <w:rFonts w:ascii="Times New Roman" w:hAnsi="Times New Roman" w:eastAsia="黑体"/>
          <w:snapToGrid w:val="0"/>
          <w:sz w:val="36"/>
          <w:szCs w:val="36"/>
          <w:highlight w:val="yellow"/>
          <w:u w:val="none" w:color="auto"/>
        </w:rPr>
        <w:br w:type="page"/>
      </w:r>
      <w:bookmarkEnd w:id="8"/>
      <w:bookmarkEnd w:id="9"/>
      <w:bookmarkEnd w:id="10"/>
      <w:bookmarkStart w:id="34" w:name="_Toc21573"/>
      <w:bookmarkStart w:id="35" w:name="_Toc18743"/>
      <w:bookmarkStart w:id="36" w:name="_Toc20021"/>
    </w:p>
    <w:bookmarkEnd w:id="34"/>
    <w:bookmarkEnd w:id="35"/>
    <w:bookmarkEnd w:id="36"/>
    <w:p w14:paraId="542F6299">
      <w:pPr>
        <w:pStyle w:val="29"/>
        <w:jc w:val="center"/>
        <w:outlineLvl w:val="0"/>
        <w:rPr>
          <w:rFonts w:ascii="Times New Roman" w:hAnsi="Times New Roman" w:eastAsia="黑体"/>
          <w:snapToGrid w:val="0"/>
          <w:sz w:val="30"/>
          <w:szCs w:val="30"/>
          <w:highlight w:val="yellow"/>
          <w:u w:val="none" w:color="auto"/>
        </w:rPr>
      </w:pPr>
      <w:bookmarkStart w:id="37" w:name="_Toc3733"/>
      <w:bookmarkStart w:id="38" w:name="_Toc22233"/>
      <w:bookmarkStart w:id="39" w:name="_Toc180"/>
      <w:bookmarkStart w:id="40" w:name="_Toc29963"/>
      <w:bookmarkStart w:id="41" w:name="_Toc8557"/>
      <w:bookmarkStart w:id="42" w:name="_Toc32307"/>
      <w:r>
        <w:rPr>
          <w:rFonts w:ascii="Times New Roman" w:hAnsi="Times New Roman" w:eastAsia="黑体"/>
          <w:b/>
          <w:bCs/>
          <w:kern w:val="2"/>
          <w:sz w:val="30"/>
          <w:szCs w:val="30"/>
          <w:u w:val="none" w:color="auto"/>
        </w:rPr>
        <w:t>四、主要环境影响和保护措施</w:t>
      </w:r>
      <w:bookmarkEnd w:id="37"/>
      <w:bookmarkEnd w:id="38"/>
      <w:bookmarkEnd w:id="39"/>
    </w:p>
    <w:tbl>
      <w:tblPr>
        <w:tblStyle w:val="32"/>
        <w:tblW w:w="87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4"/>
        <w:gridCol w:w="8118"/>
      </w:tblGrid>
      <w:tr w14:paraId="424A30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9" w:hRule="atLeast"/>
          <w:jc w:val="center"/>
        </w:trPr>
        <w:tc>
          <w:tcPr>
            <w:tcW w:w="664" w:type="dxa"/>
            <w:noWrap w:val="0"/>
            <w:tcMar>
              <w:left w:w="28" w:type="dxa"/>
              <w:right w:w="28" w:type="dxa"/>
            </w:tcMar>
            <w:vAlign w:val="center"/>
          </w:tcPr>
          <w:p w14:paraId="20D9E87E">
            <w:pPr>
              <w:pStyle w:val="29"/>
              <w:adjustRightInd w:val="0"/>
              <w:snapToGrid w:val="0"/>
              <w:spacing w:before="0" w:beforeAutospacing="0" w:after="0" w:afterAutospacing="0"/>
              <w:jc w:val="center"/>
              <w:rPr>
                <w:rFonts w:ascii="Times New Roman" w:hAnsi="Times New Roman"/>
                <w:kern w:val="2"/>
                <w:sz w:val="21"/>
                <w:szCs w:val="21"/>
                <w:u w:val="none" w:color="auto"/>
              </w:rPr>
            </w:pPr>
            <w:r>
              <w:rPr>
                <w:rFonts w:ascii="Times New Roman" w:hAnsi="Times New Roman"/>
                <w:kern w:val="2"/>
                <w:sz w:val="21"/>
                <w:szCs w:val="21"/>
                <w:u w:val="none" w:color="auto"/>
              </w:rPr>
              <w:t>施工</w:t>
            </w:r>
          </w:p>
          <w:p w14:paraId="70130726">
            <w:pPr>
              <w:pStyle w:val="29"/>
              <w:adjustRightInd w:val="0"/>
              <w:snapToGrid w:val="0"/>
              <w:spacing w:before="0" w:beforeAutospacing="0" w:after="0" w:afterAutospacing="0"/>
              <w:jc w:val="center"/>
              <w:rPr>
                <w:rFonts w:ascii="Times New Roman" w:hAnsi="Times New Roman"/>
                <w:kern w:val="2"/>
                <w:sz w:val="21"/>
                <w:szCs w:val="21"/>
                <w:u w:val="none" w:color="auto"/>
              </w:rPr>
            </w:pPr>
            <w:r>
              <w:rPr>
                <w:rFonts w:ascii="Times New Roman" w:hAnsi="Times New Roman"/>
                <w:kern w:val="2"/>
                <w:sz w:val="21"/>
                <w:szCs w:val="21"/>
                <w:u w:val="none" w:color="auto"/>
              </w:rPr>
              <w:t>期环</w:t>
            </w:r>
          </w:p>
          <w:p w14:paraId="080A47CC">
            <w:pPr>
              <w:pStyle w:val="29"/>
              <w:adjustRightInd w:val="0"/>
              <w:snapToGrid w:val="0"/>
              <w:spacing w:before="0" w:beforeAutospacing="0" w:after="0" w:afterAutospacing="0"/>
              <w:jc w:val="center"/>
              <w:rPr>
                <w:rFonts w:ascii="Times New Roman" w:hAnsi="Times New Roman"/>
                <w:kern w:val="2"/>
                <w:sz w:val="21"/>
                <w:szCs w:val="21"/>
                <w:u w:val="none" w:color="auto"/>
              </w:rPr>
            </w:pPr>
            <w:r>
              <w:rPr>
                <w:rFonts w:ascii="Times New Roman" w:hAnsi="Times New Roman"/>
                <w:kern w:val="2"/>
                <w:sz w:val="21"/>
                <w:szCs w:val="21"/>
                <w:u w:val="none" w:color="auto"/>
              </w:rPr>
              <w:t>境保</w:t>
            </w:r>
          </w:p>
          <w:p w14:paraId="0EC9F719">
            <w:pPr>
              <w:pStyle w:val="29"/>
              <w:adjustRightInd w:val="0"/>
              <w:snapToGrid w:val="0"/>
              <w:spacing w:before="0" w:beforeAutospacing="0" w:after="0" w:afterAutospacing="0"/>
              <w:jc w:val="center"/>
              <w:rPr>
                <w:rFonts w:ascii="Times New Roman" w:hAnsi="Times New Roman"/>
                <w:kern w:val="2"/>
                <w:sz w:val="21"/>
                <w:szCs w:val="21"/>
                <w:u w:val="none" w:color="auto"/>
              </w:rPr>
            </w:pPr>
            <w:r>
              <w:rPr>
                <w:rFonts w:ascii="Times New Roman" w:hAnsi="Times New Roman"/>
                <w:kern w:val="2"/>
                <w:sz w:val="21"/>
                <w:szCs w:val="21"/>
                <w:u w:val="none" w:color="auto"/>
              </w:rPr>
              <w:t>护措</w:t>
            </w:r>
          </w:p>
          <w:p w14:paraId="721C2C30">
            <w:pPr>
              <w:pStyle w:val="29"/>
              <w:adjustRightInd w:val="0"/>
              <w:snapToGrid w:val="0"/>
              <w:spacing w:before="0" w:beforeAutospacing="0" w:after="0" w:afterAutospacing="0"/>
              <w:jc w:val="center"/>
              <w:rPr>
                <w:rFonts w:ascii="Times New Roman" w:hAnsi="Times New Roman"/>
                <w:bCs/>
                <w:kern w:val="2"/>
                <w:sz w:val="21"/>
                <w:szCs w:val="21"/>
                <w:u w:val="none" w:color="auto"/>
              </w:rPr>
            </w:pPr>
            <w:r>
              <w:rPr>
                <w:rFonts w:ascii="Times New Roman" w:hAnsi="Times New Roman"/>
                <w:kern w:val="2"/>
                <w:sz w:val="21"/>
                <w:szCs w:val="21"/>
                <w:u w:val="none" w:color="auto"/>
              </w:rPr>
              <w:t>施</w:t>
            </w:r>
          </w:p>
        </w:tc>
        <w:tc>
          <w:tcPr>
            <w:tcW w:w="8118" w:type="dxa"/>
            <w:noWrap w:val="0"/>
            <w:vAlign w:val="center"/>
          </w:tcPr>
          <w:p w14:paraId="45D58431">
            <w:pPr>
              <w:pStyle w:val="15"/>
              <w:adjustRightInd w:val="0"/>
              <w:snapToGrid w:val="0"/>
              <w:spacing w:line="360" w:lineRule="auto"/>
              <w:ind w:firstLine="480" w:firstLineChars="200"/>
              <w:rPr>
                <w:rFonts w:hint="eastAsia" w:eastAsia="宋体"/>
                <w:u w:val="none" w:color="auto"/>
                <w:lang w:val="en-US" w:eastAsia="zh-CN"/>
              </w:rPr>
            </w:pPr>
            <w:r>
              <w:rPr>
                <w:sz w:val="24"/>
                <w:u w:val="none" w:color="auto"/>
              </w:rPr>
              <w:t>本项目利用已建厂房，不涉及土建施工，施工期仅为设备安装</w:t>
            </w:r>
            <w:r>
              <w:rPr>
                <w:rFonts w:hint="eastAsia"/>
                <w:sz w:val="24"/>
                <w:u w:val="none" w:color="auto"/>
              </w:rPr>
              <w:t>及厂房改造</w:t>
            </w:r>
            <w:r>
              <w:rPr>
                <w:sz w:val="24"/>
                <w:u w:val="none" w:color="auto"/>
              </w:rPr>
              <w:t>，且施工期较短，本次评价不再分析施工期的环境影响及保护措施。</w:t>
            </w:r>
          </w:p>
        </w:tc>
      </w:tr>
      <w:tr w14:paraId="7CDA5D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664" w:type="dxa"/>
            <w:noWrap w:val="0"/>
            <w:tcMar>
              <w:left w:w="28" w:type="dxa"/>
              <w:right w:w="28" w:type="dxa"/>
            </w:tcMar>
            <w:vAlign w:val="center"/>
          </w:tcPr>
          <w:p w14:paraId="370B0907">
            <w:pPr>
              <w:adjustRightInd w:val="0"/>
              <w:snapToGrid w:val="0"/>
              <w:jc w:val="center"/>
              <w:rPr>
                <w:bCs/>
                <w:sz w:val="21"/>
                <w:szCs w:val="21"/>
                <w:u w:val="none" w:color="auto"/>
              </w:rPr>
            </w:pPr>
            <w:r>
              <w:rPr>
                <w:bCs/>
                <w:sz w:val="21"/>
                <w:szCs w:val="21"/>
                <w:u w:val="none" w:color="auto"/>
              </w:rPr>
              <w:t>运营</w:t>
            </w:r>
          </w:p>
          <w:p w14:paraId="12CB7C19">
            <w:pPr>
              <w:adjustRightInd w:val="0"/>
              <w:snapToGrid w:val="0"/>
              <w:jc w:val="center"/>
              <w:rPr>
                <w:bCs/>
                <w:sz w:val="21"/>
                <w:szCs w:val="21"/>
                <w:u w:val="none" w:color="auto"/>
              </w:rPr>
            </w:pPr>
            <w:r>
              <w:rPr>
                <w:bCs/>
                <w:sz w:val="21"/>
                <w:szCs w:val="21"/>
                <w:u w:val="none" w:color="auto"/>
              </w:rPr>
              <w:t>期环</w:t>
            </w:r>
          </w:p>
          <w:p w14:paraId="02E40ADD">
            <w:pPr>
              <w:adjustRightInd w:val="0"/>
              <w:snapToGrid w:val="0"/>
              <w:jc w:val="center"/>
              <w:rPr>
                <w:bCs/>
                <w:sz w:val="21"/>
                <w:szCs w:val="21"/>
                <w:u w:val="none" w:color="auto"/>
              </w:rPr>
            </w:pPr>
            <w:r>
              <w:rPr>
                <w:bCs/>
                <w:sz w:val="21"/>
                <w:szCs w:val="21"/>
                <w:u w:val="none" w:color="auto"/>
              </w:rPr>
              <w:t>境影</w:t>
            </w:r>
          </w:p>
          <w:p w14:paraId="7FA19FBE">
            <w:pPr>
              <w:adjustRightInd w:val="0"/>
              <w:snapToGrid w:val="0"/>
              <w:jc w:val="center"/>
              <w:rPr>
                <w:bCs/>
                <w:sz w:val="21"/>
                <w:szCs w:val="21"/>
                <w:u w:val="none" w:color="auto"/>
              </w:rPr>
            </w:pPr>
            <w:r>
              <w:rPr>
                <w:bCs/>
                <w:sz w:val="21"/>
                <w:szCs w:val="21"/>
                <w:u w:val="none" w:color="auto"/>
              </w:rPr>
              <w:t>响和</w:t>
            </w:r>
          </w:p>
          <w:p w14:paraId="764B0E97">
            <w:pPr>
              <w:adjustRightInd w:val="0"/>
              <w:snapToGrid w:val="0"/>
              <w:jc w:val="center"/>
              <w:rPr>
                <w:bCs/>
                <w:sz w:val="21"/>
                <w:szCs w:val="21"/>
                <w:u w:val="none" w:color="auto"/>
              </w:rPr>
            </w:pPr>
            <w:r>
              <w:rPr>
                <w:bCs/>
                <w:sz w:val="21"/>
                <w:szCs w:val="21"/>
                <w:u w:val="none" w:color="auto"/>
              </w:rPr>
              <w:t>保护</w:t>
            </w:r>
          </w:p>
          <w:p w14:paraId="511DBD45">
            <w:pPr>
              <w:pStyle w:val="29"/>
              <w:adjustRightInd w:val="0"/>
              <w:snapToGrid w:val="0"/>
              <w:spacing w:before="0" w:beforeAutospacing="0" w:after="0" w:afterAutospacing="0"/>
              <w:jc w:val="center"/>
              <w:rPr>
                <w:rFonts w:ascii="Times New Roman" w:hAnsi="Times New Roman"/>
                <w:kern w:val="2"/>
                <w:sz w:val="21"/>
                <w:szCs w:val="21"/>
                <w:u w:val="none" w:color="auto"/>
              </w:rPr>
            </w:pPr>
            <w:r>
              <w:rPr>
                <w:bCs/>
                <w:sz w:val="21"/>
                <w:szCs w:val="21"/>
                <w:u w:val="none" w:color="auto"/>
              </w:rPr>
              <w:t>措施</w:t>
            </w:r>
          </w:p>
        </w:tc>
        <w:tc>
          <w:tcPr>
            <w:tcW w:w="8118" w:type="dxa"/>
            <w:noWrap w:val="0"/>
            <w:vAlign w:val="center"/>
          </w:tcPr>
          <w:p w14:paraId="616BB00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eastAsia="宋体"/>
                <w:b w:val="0"/>
                <w:bCs w:val="0"/>
                <w:sz w:val="24"/>
                <w:u w:val="none" w:color="auto"/>
                <w:lang w:val="en-US" w:eastAsia="zh-CN"/>
              </w:rPr>
            </w:pPr>
            <w:r>
              <w:rPr>
                <w:rFonts w:hint="eastAsia"/>
                <w:b w:val="0"/>
                <w:bCs w:val="0"/>
                <w:sz w:val="24"/>
                <w:u w:val="none" w:color="auto"/>
                <w:lang w:val="en-US" w:eastAsia="zh-CN"/>
              </w:rPr>
              <w:t>本项目运营期间对环境的影响主要是生产过程中产生的废气、废水、噪声和固废，具体分析如下：</w:t>
            </w:r>
          </w:p>
          <w:p w14:paraId="3414B074">
            <w:pPr>
              <w:pStyle w:val="15"/>
              <w:keepNext w:val="0"/>
              <w:keepLines w:val="0"/>
              <w:pageBreakBefore w:val="0"/>
              <w:widowControl w:val="0"/>
              <w:numPr>
                <w:ilvl w:val="0"/>
                <w:numId w:val="19"/>
              </w:numPr>
              <w:kinsoku/>
              <w:wordWrap/>
              <w:overflowPunct/>
              <w:topLinePunct w:val="0"/>
              <w:autoSpaceDE/>
              <w:autoSpaceDN/>
              <w:bidi w:val="0"/>
              <w:adjustRightInd w:val="0"/>
              <w:snapToGrid w:val="0"/>
              <w:spacing w:line="440" w:lineRule="exact"/>
              <w:ind w:firstLine="482" w:firstLineChars="200"/>
              <w:textAlignment w:val="auto"/>
              <w:rPr>
                <w:rFonts w:hint="eastAsia" w:ascii="Times New Roman" w:hAnsi="Times New Roman"/>
                <w:b/>
                <w:bCs/>
                <w:sz w:val="24"/>
                <w:u w:val="none" w:color="auto"/>
                <w:lang w:val="en-US" w:eastAsia="zh-CN"/>
              </w:rPr>
            </w:pPr>
            <w:r>
              <w:rPr>
                <w:rFonts w:hint="eastAsia" w:ascii="Times New Roman" w:hAnsi="Times New Roman"/>
                <w:b/>
                <w:bCs/>
                <w:sz w:val="24"/>
                <w:u w:val="none" w:color="auto"/>
                <w:lang w:val="en-US" w:eastAsia="zh-CN"/>
              </w:rPr>
              <w:t>废气</w:t>
            </w:r>
          </w:p>
          <w:p w14:paraId="0B2881CE">
            <w:pPr>
              <w:adjustRightInd w:val="0"/>
              <w:snapToGrid w:val="0"/>
              <w:spacing w:line="440" w:lineRule="exact"/>
              <w:ind w:firstLine="482" w:firstLineChars="200"/>
              <w:jc w:val="both"/>
              <w:textAlignment w:val="baseline"/>
              <w:rPr>
                <w:rFonts w:hint="default"/>
                <w:b/>
                <w:bCs/>
                <w:color w:val="000000"/>
                <w:sz w:val="24"/>
                <w:u w:val="none" w:color="auto"/>
                <w:lang w:val="en-US" w:eastAsia="zh-CN"/>
              </w:rPr>
            </w:pPr>
            <w:r>
              <w:rPr>
                <w:rFonts w:hint="eastAsia"/>
                <w:b/>
                <w:bCs/>
                <w:color w:val="000000"/>
                <w:sz w:val="24"/>
                <w:u w:val="none" w:color="auto"/>
                <w:lang w:val="en-US" w:eastAsia="zh-CN"/>
              </w:rPr>
              <w:t>（一）有组织废气</w:t>
            </w:r>
          </w:p>
          <w:p w14:paraId="68E3F263">
            <w:pPr>
              <w:pStyle w:val="15"/>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default" w:ascii="Times New Roman" w:hAnsi="Times New Roman" w:cs="Times New Roman"/>
                <w:b/>
                <w:bCs/>
                <w:color w:val="000000" w:themeColor="text1"/>
                <w:sz w:val="24"/>
                <w:u w:val="none" w:color="auto"/>
                <w:lang w:val="en-US" w:eastAsia="zh-CN"/>
                <w14:textFill>
                  <w14:solidFill>
                    <w14:schemeClr w14:val="tx1"/>
                  </w14:solidFill>
                </w14:textFill>
              </w:rPr>
            </w:pPr>
            <w:r>
              <w:rPr>
                <w:rFonts w:hint="eastAsia" w:ascii="Times New Roman" w:hAnsi="Times New Roman" w:cs="Times New Roman"/>
                <w:b/>
                <w:bCs/>
                <w:color w:val="000000" w:themeColor="text1"/>
                <w:sz w:val="24"/>
                <w:u w:val="none" w:color="auto"/>
                <w:lang w:val="en-US" w:eastAsia="zh-CN"/>
                <w14:textFill>
                  <w14:solidFill>
                    <w14:schemeClr w14:val="tx1"/>
                  </w14:solidFill>
                </w14:textFill>
              </w:rPr>
              <w:t>1、注液废气</w:t>
            </w:r>
          </w:p>
          <w:p w14:paraId="733D6FE1">
            <w:pPr>
              <w:pStyle w:val="15"/>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Times New Roman" w:hAnsi="Times New Roman" w:cs="Times New Roman"/>
                <w:b w:val="0"/>
                <w:bCs w:val="0"/>
                <w:sz w:val="24"/>
                <w:u w:val="none" w:color="auto"/>
                <w:lang w:val="en-US" w:eastAsia="zh-CN"/>
              </w:rPr>
            </w:pPr>
            <w:r>
              <w:rPr>
                <w:rFonts w:hint="eastAsia" w:ascii="Times New Roman" w:hAnsi="Times New Roman" w:cs="Times New Roman"/>
                <w:b w:val="0"/>
                <w:bCs w:val="0"/>
                <w:color w:val="000000" w:themeColor="text1"/>
                <w:sz w:val="24"/>
                <w:u w:val="none" w:color="auto"/>
                <w:lang w:val="en-US" w:eastAsia="zh-CN"/>
                <w14:textFill>
                  <w14:solidFill>
                    <w14:schemeClr w14:val="tx1"/>
                  </w14:solidFill>
                </w14:textFill>
              </w:rPr>
              <w:t>注液工序中，将组装后的</w:t>
            </w:r>
            <w:r>
              <w:rPr>
                <w:rFonts w:hint="default" w:ascii="Times New Roman" w:hAnsi="Times New Roman" w:eastAsia="宋体" w:cs="Times New Roman"/>
                <w:sz w:val="24"/>
                <w:u w:val="none" w:color="auto"/>
              </w:rPr>
              <w:t>全自动装配注液线上的</w:t>
            </w:r>
            <w:r>
              <w:rPr>
                <w:rFonts w:hint="eastAsia" w:ascii="Times New Roman" w:hAnsi="Times New Roman" w:eastAsia="宋体" w:cs="Times New Roman"/>
                <w:sz w:val="24"/>
                <w:u w:val="none" w:color="auto"/>
              </w:rPr>
              <w:t>手套箱直线注液</w:t>
            </w:r>
            <w:r>
              <w:rPr>
                <w:rFonts w:hint="eastAsia" w:cs="Times New Roman"/>
                <w:sz w:val="24"/>
                <w:u w:val="none" w:color="auto"/>
                <w:lang w:val="en-US" w:eastAsia="zh-CN"/>
              </w:rPr>
              <w:t>线</w:t>
            </w:r>
            <w:r>
              <w:rPr>
                <w:rFonts w:hint="default" w:ascii="Times New Roman" w:hAnsi="Times New Roman" w:eastAsia="宋体" w:cs="Times New Roman"/>
                <w:sz w:val="24"/>
                <w:u w:val="none" w:color="auto"/>
              </w:rPr>
              <w:t>进行注液</w:t>
            </w:r>
            <w:r>
              <w:rPr>
                <w:rFonts w:hint="eastAsia" w:ascii="Times New Roman" w:hAnsi="Times New Roman" w:eastAsia="宋体" w:cs="Times New Roman"/>
                <w:sz w:val="24"/>
                <w:u w:val="none" w:color="auto"/>
                <w:lang w:eastAsia="zh-CN"/>
              </w:rPr>
              <w:t>，</w:t>
            </w:r>
            <w:r>
              <w:rPr>
                <w:rFonts w:hint="eastAsia" w:ascii="Times New Roman" w:hAnsi="Times New Roman" w:cs="Times New Roman"/>
                <w:b w:val="0"/>
                <w:bCs w:val="0"/>
                <w:color w:val="000000" w:themeColor="text1"/>
                <w:sz w:val="24"/>
                <w:u w:val="none" w:color="auto"/>
                <w:lang w:val="en-US" w:eastAsia="zh-CN"/>
                <w14:textFill>
                  <w14:solidFill>
                    <w14:schemeClr w14:val="tx1"/>
                  </w14:solidFill>
                </w14:textFill>
              </w:rPr>
              <w:t>注液材料为外购的成品电解液</w:t>
            </w:r>
            <w:r>
              <w:rPr>
                <w:rFonts w:hint="eastAsia" w:ascii="Times New Roman" w:hAnsi="Times New Roman" w:cs="Times New Roman"/>
                <w:b w:val="0"/>
                <w:bCs w:val="0"/>
                <w:sz w:val="24"/>
                <w:u w:val="none" w:color="auto"/>
                <w:lang w:val="en-US" w:eastAsia="zh-CN"/>
              </w:rPr>
              <w:t>，本项目使用的电解液由溶剂（碳酸二甲酯）和六氟磷酸锂组成。此过程溶剂会有少量的挥发，识别为非甲烷总烃。废气通过真空注液机的真空尾气管道排入活性炭吸附-脱附+催化燃烧装置治理，尾气经1根25m高排气筒（DA001）排放。</w:t>
            </w:r>
          </w:p>
          <w:p w14:paraId="16DC4F97">
            <w:pPr>
              <w:pStyle w:val="15"/>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Times New Roman" w:hAnsi="Times New Roman" w:cs="Times New Roman"/>
                <w:b w:val="0"/>
                <w:bCs w:val="0"/>
                <w:color w:val="000000" w:themeColor="text1"/>
                <w:sz w:val="24"/>
                <w:u w:val="none" w:color="auto"/>
                <w:lang w:val="en-US" w:eastAsia="zh-CN"/>
                <w14:textFill>
                  <w14:solidFill>
                    <w14:schemeClr w14:val="tx1"/>
                  </w14:solidFill>
                </w14:textFill>
              </w:rPr>
            </w:pPr>
            <w:r>
              <w:rPr>
                <w:rFonts w:hint="eastAsia" w:ascii="Times New Roman" w:hAnsi="Times New Roman" w:cs="Times New Roman"/>
                <w:b w:val="0"/>
                <w:bCs w:val="0"/>
                <w:color w:val="000000" w:themeColor="text1"/>
                <w:sz w:val="24"/>
                <w:u w:val="none" w:color="auto"/>
                <w:lang w:val="en-US" w:eastAsia="zh-CN"/>
                <w14:textFill>
                  <w14:solidFill>
                    <w14:schemeClr w14:val="tx1"/>
                  </w14:solidFill>
                </w14:textFill>
              </w:rPr>
              <w:t>依据《污染源源强核算技术指南 准则》（HJ884-2018），本项目可采用类比法进行源强核算，本项目与《新乡市弘力电源科技有限公司年产9000万支高倍率高容量锂离子电池技改项目》锂离子电池的生产工艺、原辅材料种类一致，污染防治措施相同，具有可类比性。因此本项目参照新乡市弘力电源科技有限公司年产9000万支高倍率高容量锂离子电池技改项目验收监测报告监测数据（检测单位：河南中碳应用监测技术有限公司，报告编号：ZTJC240A1580820），注液工序注液量594t/a，年工作5280h，注液量为0.113t/h，非甲烷总烃有组织产生速率0.266~0.283kg/h，本次取0.283kg/h，本项目电解液用量1778.27t/a，年工作7920h，则注液量为0.225t/h，非甲烷总烃有组织产生速率为0.563kg/h，产生量为4.46t/a。</w:t>
            </w:r>
          </w:p>
          <w:p w14:paraId="2E69F6E8">
            <w:pPr>
              <w:tabs>
                <w:tab w:val="left" w:pos="3620"/>
              </w:tabs>
              <w:adjustRightInd w:val="0"/>
              <w:snapToGrid w:val="0"/>
              <w:spacing w:line="440" w:lineRule="exact"/>
              <w:ind w:firstLine="480" w:firstLineChars="200"/>
              <w:rPr>
                <w:rFonts w:hint="default" w:hAnsi="宋体"/>
                <w:color w:val="000000" w:themeColor="text1"/>
                <w:sz w:val="24"/>
                <w:szCs w:val="24"/>
                <w:u w:val="none" w:color="auto"/>
                <w:lang w:val="en-US" w:eastAsia="zh-CN"/>
                <w14:textFill>
                  <w14:solidFill>
                    <w14:schemeClr w14:val="tx1"/>
                  </w14:solidFill>
                </w14:textFill>
              </w:rPr>
            </w:pPr>
            <w:r>
              <w:rPr>
                <w:rFonts w:hint="eastAsia" w:hAnsi="宋体"/>
                <w:sz w:val="24"/>
                <w:szCs w:val="24"/>
                <w:u w:val="none" w:color="auto"/>
                <w:lang w:val="en-US" w:eastAsia="zh-CN"/>
              </w:rPr>
              <w:t>注液工序产生的非甲烷总烃经密闭管道收集后引入活性炭吸附脱附+催化燃烧装置处理，尾气最终通过一根25m高排气筒（DA001）排放，配套风机风量为15000m</w:t>
            </w:r>
            <w:r>
              <w:rPr>
                <w:rFonts w:hint="eastAsia" w:hAnsi="宋体"/>
                <w:sz w:val="24"/>
                <w:szCs w:val="24"/>
                <w:u w:val="none" w:color="auto"/>
                <w:vertAlign w:val="superscript"/>
                <w:lang w:val="en-US" w:eastAsia="zh-CN"/>
              </w:rPr>
              <w:t>3</w:t>
            </w:r>
            <w:r>
              <w:rPr>
                <w:rFonts w:hint="eastAsia" w:hAnsi="宋体"/>
                <w:sz w:val="24"/>
                <w:szCs w:val="24"/>
                <w:u w:val="none" w:color="auto"/>
                <w:lang w:val="en-US" w:eastAsia="zh-CN"/>
              </w:rPr>
              <w:t>/h，治理效率按照95%计，年工作时间7920h，则注液工序有组织排放量0.223t/a。</w:t>
            </w:r>
          </w:p>
          <w:p w14:paraId="073F0F3A">
            <w:pPr>
              <w:tabs>
                <w:tab w:val="left" w:pos="3620"/>
              </w:tabs>
              <w:adjustRightInd w:val="0"/>
              <w:snapToGrid w:val="0"/>
              <w:spacing w:line="440" w:lineRule="exact"/>
              <w:ind w:firstLine="482" w:firstLineChars="200"/>
              <w:rPr>
                <w:rFonts w:hint="default" w:ascii="Times New Roman" w:hAnsi="Times New Roman" w:eastAsia="宋体" w:cs="Times New Roman"/>
                <w:b/>
                <w:bCs/>
                <w:sz w:val="24"/>
                <w:szCs w:val="24"/>
                <w:u w:val="none" w:color="auto"/>
                <w:lang w:val="en-US" w:eastAsia="zh-CN"/>
              </w:rPr>
            </w:pPr>
            <w:r>
              <w:rPr>
                <w:rFonts w:hint="eastAsia" w:ascii="Times New Roman" w:hAnsi="Times New Roman" w:eastAsia="宋体" w:cs="Times New Roman"/>
                <w:b/>
                <w:bCs/>
                <w:sz w:val="24"/>
                <w:szCs w:val="24"/>
                <w:u w:val="none" w:color="auto"/>
                <w:lang w:val="en-US" w:eastAsia="zh-CN"/>
              </w:rPr>
              <w:t>2、</w:t>
            </w:r>
            <w:r>
              <w:rPr>
                <w:rFonts w:hint="eastAsia" w:cs="Times New Roman"/>
                <w:b/>
                <w:bCs/>
                <w:sz w:val="24"/>
                <w:szCs w:val="24"/>
                <w:u w:val="none" w:color="auto"/>
                <w:lang w:val="en-US" w:eastAsia="zh-CN"/>
              </w:rPr>
              <w:t>正</w:t>
            </w:r>
            <w:r>
              <w:rPr>
                <w:rFonts w:hint="default" w:ascii="Times New Roman" w:hAnsi="Times New Roman" w:eastAsia="宋体" w:cs="Times New Roman"/>
                <w:b/>
                <w:bCs/>
                <w:sz w:val="24"/>
                <w:szCs w:val="24"/>
                <w:u w:val="none" w:color="auto"/>
              </w:rPr>
              <w:t>极配料及涂布烘干废气</w:t>
            </w:r>
          </w:p>
          <w:p w14:paraId="039D787B">
            <w:pPr>
              <w:pStyle w:val="14"/>
              <w:keepNext w:val="0"/>
              <w:keepLines w:val="0"/>
              <w:pageBreakBefore w:val="0"/>
              <w:widowControl w:val="0"/>
              <w:kinsoku/>
              <w:wordWrap/>
              <w:overflowPunct/>
              <w:topLinePunct w:val="0"/>
              <w:autoSpaceDE/>
              <w:autoSpaceDN/>
              <w:bidi w:val="0"/>
              <w:snapToGrid w:val="0"/>
              <w:spacing w:before="0" w:line="440" w:lineRule="exact"/>
              <w:ind w:left="0" w:right="0" w:firstLine="480"/>
              <w:textAlignment w:val="auto"/>
              <w:rPr>
                <w:rFonts w:hint="eastAsia" w:ascii="Times New Roman" w:hAnsi="宋体" w:eastAsia="宋体" w:cs="Times New Roman"/>
                <w:kern w:val="2"/>
                <w:sz w:val="24"/>
                <w:szCs w:val="24"/>
                <w:u w:val="none" w:color="auto"/>
                <w:lang w:val="en-US" w:eastAsia="zh-CN" w:bidi="ar-SA"/>
              </w:rPr>
            </w:pPr>
            <w:r>
              <w:rPr>
                <w:rFonts w:hint="default" w:ascii="Times New Roman" w:hAnsi="宋体" w:eastAsia="宋体" w:cs="Times New Roman"/>
                <w:kern w:val="2"/>
                <w:sz w:val="24"/>
                <w:szCs w:val="24"/>
                <w:u w:val="none" w:color="auto"/>
                <w:lang w:val="en-US" w:eastAsia="zh-CN" w:bidi="ar-SA"/>
              </w:rPr>
              <w:t>①</w:t>
            </w:r>
            <w:r>
              <w:rPr>
                <w:rFonts w:hint="eastAsia" w:ascii="Times New Roman" w:hAnsi="宋体" w:eastAsia="宋体" w:cs="Times New Roman"/>
                <w:kern w:val="2"/>
                <w:sz w:val="24"/>
                <w:szCs w:val="24"/>
                <w:u w:val="none" w:color="auto"/>
                <w:lang w:val="en-US" w:eastAsia="zh-CN" w:bidi="ar-SA"/>
              </w:rPr>
              <w:t>正极配料废气</w:t>
            </w:r>
          </w:p>
          <w:p w14:paraId="48B900A1">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textAlignment w:val="auto"/>
              <w:rPr>
                <w:rFonts w:hint="default" w:hAnsi="宋体" w:eastAsia="宋体"/>
                <w:sz w:val="24"/>
                <w:szCs w:val="24"/>
                <w:u w:val="none" w:color="auto"/>
                <w:lang w:val="en-US" w:eastAsia="zh-CN"/>
              </w:rPr>
            </w:pPr>
            <w:r>
              <w:rPr>
                <w:rFonts w:hint="eastAsia" w:hAnsi="宋体"/>
                <w:sz w:val="24"/>
                <w:szCs w:val="24"/>
                <w:u w:val="none" w:color="auto"/>
                <w:lang w:val="en-US" w:eastAsia="zh-CN"/>
              </w:rPr>
              <w:t>在正极配料工序中，使用往复式真空泵向搅拌机注入溶剂（NMP）时，会产生一些真空尾气，投料完成后，关闭搅拌机上的真空阀门，搅拌机处于密闭状态，搅拌过程中不会有粉尘和有机废气产生。但搅拌结束后，需进行抽真空处理，以消除搅拌过程中浆料内产生的气泡，也会产生一些真空尾气，识别为非甲烷总烃，产生量较小，本项目仅作定性分析。</w:t>
            </w:r>
            <w:r>
              <w:rPr>
                <w:rFonts w:ascii="Times New Roman" w:hAnsi="Times New Roman" w:cs="Times New Roman"/>
                <w:kern w:val="2"/>
                <w:sz w:val="24"/>
                <w:szCs w:val="24"/>
                <w:u w:val="none" w:color="auto"/>
                <w:lang w:bidi="en-US"/>
              </w:rPr>
              <w:t>治理措施为：将真空泵尾气排放口通入</w:t>
            </w:r>
            <w:r>
              <w:rPr>
                <w:rFonts w:ascii="Times New Roman" w:hAnsi="Times New Roman" w:cs="Times New Roman"/>
                <w:sz w:val="24"/>
                <w:u w:val="none" w:color="auto"/>
              </w:rPr>
              <w:t>NMP回收系统</w:t>
            </w:r>
            <w:r>
              <w:rPr>
                <w:rFonts w:ascii="Times New Roman" w:hAnsi="Times New Roman" w:cs="Times New Roman"/>
                <w:kern w:val="2"/>
                <w:sz w:val="24"/>
                <w:szCs w:val="24"/>
                <w:u w:val="none" w:color="auto"/>
                <w:lang w:bidi="en-US"/>
              </w:rPr>
              <w:t>治理</w:t>
            </w:r>
            <w:r>
              <w:rPr>
                <w:rFonts w:hint="eastAsia" w:cs="Times New Roman"/>
                <w:kern w:val="2"/>
                <w:sz w:val="24"/>
                <w:szCs w:val="24"/>
                <w:u w:val="none" w:color="auto"/>
                <w:lang w:val="en-US" w:eastAsia="zh-CN" w:bidi="en-US"/>
              </w:rPr>
              <w:t>后，尾气经</w:t>
            </w:r>
            <w:r>
              <w:rPr>
                <w:rFonts w:hint="eastAsia" w:cs="Times New Roman"/>
                <w:sz w:val="24"/>
                <w:u w:val="none" w:color="auto"/>
                <w:lang w:val="en-US" w:eastAsia="zh-CN"/>
              </w:rPr>
              <w:t>一根25m高排气筒（DA001）排放</w:t>
            </w:r>
            <w:r>
              <w:rPr>
                <w:rFonts w:hint="eastAsia" w:cs="Times New Roman"/>
                <w:kern w:val="2"/>
                <w:sz w:val="24"/>
                <w:szCs w:val="24"/>
                <w:u w:val="none" w:color="auto"/>
                <w:lang w:val="en-US" w:eastAsia="zh-CN" w:bidi="en-US"/>
              </w:rPr>
              <w:t>。</w:t>
            </w:r>
          </w:p>
          <w:p w14:paraId="43A193CB">
            <w:pPr>
              <w:pStyle w:val="14"/>
              <w:keepNext w:val="0"/>
              <w:keepLines w:val="0"/>
              <w:pageBreakBefore w:val="0"/>
              <w:widowControl w:val="0"/>
              <w:kinsoku/>
              <w:wordWrap/>
              <w:overflowPunct/>
              <w:topLinePunct w:val="0"/>
              <w:autoSpaceDE/>
              <w:autoSpaceDN/>
              <w:bidi w:val="0"/>
              <w:snapToGrid w:val="0"/>
              <w:spacing w:before="0" w:line="440" w:lineRule="exact"/>
              <w:ind w:left="0" w:right="0" w:firstLine="480"/>
              <w:textAlignment w:val="auto"/>
              <w:rPr>
                <w:rFonts w:hint="default" w:ascii="Times New Roman" w:hAnsi="宋体" w:eastAsia="宋体" w:cs="Times New Roman"/>
                <w:kern w:val="2"/>
                <w:sz w:val="24"/>
                <w:szCs w:val="24"/>
                <w:u w:val="none" w:color="auto"/>
                <w:lang w:val="en-US" w:eastAsia="zh-CN" w:bidi="ar-SA"/>
              </w:rPr>
            </w:pPr>
            <w:r>
              <w:rPr>
                <w:rFonts w:hint="default" w:ascii="Times New Roman" w:hAnsi="宋体" w:eastAsia="宋体" w:cs="Times New Roman"/>
                <w:kern w:val="2"/>
                <w:sz w:val="24"/>
                <w:szCs w:val="24"/>
                <w:u w:val="none" w:color="auto"/>
                <w:lang w:val="en-US" w:eastAsia="zh-CN" w:bidi="ar-SA"/>
              </w:rPr>
              <w:t>②</w:t>
            </w:r>
            <w:r>
              <w:rPr>
                <w:rFonts w:hint="eastAsia" w:ascii="Times New Roman" w:hAnsi="宋体" w:eastAsia="宋体" w:cs="Times New Roman"/>
                <w:kern w:val="2"/>
                <w:sz w:val="24"/>
                <w:szCs w:val="24"/>
                <w:u w:val="none" w:color="auto"/>
                <w:lang w:val="en-US" w:eastAsia="zh-CN" w:bidi="ar-SA"/>
              </w:rPr>
              <w:t>涂布烘干废气</w:t>
            </w:r>
          </w:p>
          <w:p w14:paraId="51F3071E">
            <w:pPr>
              <w:pStyle w:val="98"/>
              <w:keepNext w:val="0"/>
              <w:keepLines w:val="0"/>
              <w:pageBreakBefore w:val="0"/>
              <w:widowControl w:val="0"/>
              <w:kinsoku/>
              <w:wordWrap/>
              <w:overflowPunct/>
              <w:topLinePunct w:val="0"/>
              <w:autoSpaceDE/>
              <w:autoSpaceDN/>
              <w:bidi w:val="0"/>
              <w:spacing w:line="440" w:lineRule="exact"/>
              <w:ind w:firstLine="480"/>
              <w:textAlignment w:val="auto"/>
              <w:rPr>
                <w:rFonts w:hint="default" w:cs="Times New Roman" w:hAnsiTheme="minorEastAsia" w:eastAsiaTheme="minorEastAsia"/>
                <w:u w:val="none" w:color="auto"/>
                <w:lang w:val="en-US" w:eastAsia="zh-CN"/>
              </w:rPr>
            </w:pPr>
            <w:r>
              <w:rPr>
                <w:rFonts w:cs="Times New Roman" w:hAnsiTheme="minorEastAsia" w:eastAsiaTheme="minorEastAsia"/>
                <w:u w:val="none" w:color="auto"/>
              </w:rPr>
              <w:t>本项目</w:t>
            </w:r>
            <w:r>
              <w:rPr>
                <w:rFonts w:cs="Times New Roman" w:hAnsiTheme="minorEastAsia" w:eastAsiaTheme="minorEastAsia"/>
                <w:kern w:val="0"/>
                <w:u w:val="none" w:color="auto"/>
              </w:rPr>
              <w:t>通过涂布机将正、负极浆料分别均匀地涂在铝箔（正极）和铜箔（负极）上，涂布机为流水涂布生产线，涂布工序位于密闭涂布间，涂布完成后随即进入配套烘干系统，</w:t>
            </w:r>
            <w:r>
              <w:rPr>
                <w:rFonts w:cs="Times New Roman" w:hAnsiTheme="minorEastAsia" w:eastAsiaTheme="minorEastAsia"/>
                <w:spacing w:val="-4"/>
                <w:u w:val="none" w:color="auto"/>
              </w:rPr>
              <w:t>整个涂布烘干系统采用全封闭形式</w:t>
            </w:r>
            <w:r>
              <w:rPr>
                <w:rFonts w:cs="Times New Roman" w:hAnsiTheme="minorEastAsia" w:eastAsiaTheme="minorEastAsia"/>
                <w:kern w:val="0"/>
                <w:u w:val="none" w:color="auto"/>
              </w:rPr>
              <w:t>。</w:t>
            </w:r>
            <w:r>
              <w:rPr>
                <w:rFonts w:cs="Times New Roman" w:hAnsiTheme="minorEastAsia" w:eastAsiaTheme="minorEastAsia"/>
                <w:u w:val="none" w:color="auto"/>
              </w:rPr>
              <w:t>在正极涂布过程中，在涂布机进料口位置会伴有少量的废气污染物</w:t>
            </w:r>
            <w:r>
              <w:rPr>
                <w:rFonts w:cs="Times New Roman" w:eastAsiaTheme="minorEastAsia"/>
                <w:u w:val="none" w:color="auto"/>
              </w:rPr>
              <w:t>NMP</w:t>
            </w:r>
            <w:r>
              <w:rPr>
                <w:rFonts w:cs="Times New Roman" w:hAnsiTheme="minorEastAsia" w:eastAsiaTheme="minorEastAsia"/>
                <w:u w:val="none" w:color="auto"/>
              </w:rPr>
              <w:t>挥发，主要产生在涂布机的涂</w:t>
            </w:r>
            <w:r>
              <w:rPr>
                <w:rFonts w:hint="eastAsia" w:cs="Times New Roman" w:hAnsiTheme="minorEastAsia" w:eastAsiaTheme="minorEastAsia"/>
                <w:u w:val="none" w:color="auto"/>
              </w:rPr>
              <w:t>布</w:t>
            </w:r>
            <w:r>
              <w:rPr>
                <w:rFonts w:cs="Times New Roman" w:hAnsiTheme="minorEastAsia" w:eastAsiaTheme="minorEastAsia"/>
                <w:u w:val="none" w:color="auto"/>
              </w:rPr>
              <w:t>槽处。烘干过程会产生</w:t>
            </w:r>
            <w:r>
              <w:rPr>
                <w:rFonts w:cs="Times New Roman" w:eastAsiaTheme="minorEastAsia"/>
                <w:u w:val="none" w:color="auto"/>
              </w:rPr>
              <w:t>NMP</w:t>
            </w:r>
            <w:r>
              <w:rPr>
                <w:rFonts w:cs="Times New Roman" w:hAnsiTheme="minorEastAsia" w:eastAsiaTheme="minorEastAsia"/>
                <w:u w:val="none" w:color="auto"/>
              </w:rPr>
              <w:t>（</w:t>
            </w:r>
            <w:r>
              <w:rPr>
                <w:rFonts w:cs="Times New Roman" w:eastAsiaTheme="minorEastAsia"/>
                <w:u w:val="none" w:color="auto"/>
              </w:rPr>
              <w:t>N-</w:t>
            </w:r>
            <w:r>
              <w:rPr>
                <w:rFonts w:cs="Times New Roman" w:hAnsiTheme="minorEastAsia" w:eastAsiaTheme="minorEastAsia"/>
                <w:u w:val="none" w:color="auto"/>
              </w:rPr>
              <w:t>甲基吡咯烷酮）废气，该废气以非甲烷总烃计。</w:t>
            </w:r>
            <w:r>
              <w:rPr>
                <w:rFonts w:hint="eastAsia" w:cs="Times New Roman" w:hAnsiTheme="minorEastAsia" w:eastAsiaTheme="minorEastAsia"/>
                <w:u w:val="none" w:color="auto"/>
                <w:lang w:val="en-US" w:eastAsia="zh-CN"/>
              </w:rPr>
              <w:t>本项目收集效率按照99.99%计，涂布烘干废气经收集后引入NMP回收装置治理，尾气经一根25m高排气筒（DA001）排放。</w:t>
            </w:r>
          </w:p>
          <w:p w14:paraId="41ACA107">
            <w:pPr>
              <w:pStyle w:val="98"/>
              <w:keepNext w:val="0"/>
              <w:keepLines w:val="0"/>
              <w:pageBreakBefore w:val="0"/>
              <w:widowControl w:val="0"/>
              <w:kinsoku/>
              <w:wordWrap/>
              <w:overflowPunct/>
              <w:topLinePunct w:val="0"/>
              <w:autoSpaceDE/>
              <w:autoSpaceDN/>
              <w:bidi w:val="0"/>
              <w:spacing w:line="440" w:lineRule="exact"/>
              <w:ind w:firstLine="480"/>
              <w:textAlignment w:val="auto"/>
              <w:rPr>
                <w:rFonts w:hint="eastAsia" w:cs="Times New Roman" w:hAnsiTheme="minorEastAsia" w:eastAsiaTheme="minorEastAsia"/>
                <w:u w:val="none" w:color="auto"/>
                <w:lang w:val="en-US" w:eastAsia="zh-CN"/>
              </w:rPr>
            </w:pPr>
            <w:r>
              <w:rPr>
                <w:rFonts w:hint="eastAsia" w:cs="Times New Roman" w:hAnsiTheme="minorEastAsia" w:eastAsiaTheme="minorEastAsia"/>
                <w:u w:val="none" w:color="auto"/>
                <w:lang w:val="en-US" w:eastAsia="zh-CN"/>
              </w:rPr>
              <w:t>综上，本项目正极配料废气以及涂布烘干废气经收集后引入一套NMP回收装置（余热回收+高塔式三级水喷淋）进行处理，风机风量为 60000m</w:t>
            </w:r>
            <w:r>
              <w:rPr>
                <w:rFonts w:hint="eastAsia" w:cs="Times New Roman" w:hAnsiTheme="minorEastAsia" w:eastAsiaTheme="minorEastAsia"/>
                <w:u w:val="none" w:color="auto"/>
                <w:vertAlign w:val="superscript"/>
                <w:lang w:val="en-US" w:eastAsia="zh-CN"/>
              </w:rPr>
              <w:t>3</w:t>
            </w:r>
            <w:r>
              <w:rPr>
                <w:rFonts w:hint="eastAsia" w:cs="Times New Roman" w:hAnsiTheme="minorEastAsia" w:eastAsiaTheme="minorEastAsia"/>
                <w:u w:val="none" w:color="auto"/>
                <w:lang w:val="en-US" w:eastAsia="zh-CN"/>
              </w:rPr>
              <w:t>/h。NMP 回收系统工作原理：正极涂布烘干废气（120℃）先经余热回收单元收集高温废气的热能，热能经热交换器加热进入涂布机的新风，新风加热后温升可达40℃以上，可显著降低蒸汽热能的损耗。根据《锂电池电极涂布机 NMP 废气处理回收工艺改进与施工》（周伟波，《中国科技信息：能源与环境》，2007（8）:27-30）一文对NMP 冷凝实验测量结果，当正极涂布烘干废气冷却到 60℃时，达到其露点温度，NMP 在气流中已饱和，开始析出冷凝液，本项目废气经余热单元回收后 ，温度在40℃左右，NMP开始冷凝， NMP 回收效率取值 50%；</w:t>
            </w:r>
            <w:r>
              <w:rPr>
                <w:rFonts w:hint="eastAsia"/>
                <w:u w:val="none" w:color="auto"/>
              </w:rPr>
              <w:t>本项目</w:t>
            </w:r>
            <w:r>
              <w:rPr>
                <w:rFonts w:cs="Times New Roman"/>
                <w:u w:val="none" w:color="auto"/>
              </w:rPr>
              <w:t>NMP</w:t>
            </w:r>
            <w:r>
              <w:rPr>
                <w:rFonts w:hint="eastAsia"/>
                <w:u w:val="none" w:color="auto"/>
              </w:rPr>
              <w:t>使用量</w:t>
            </w:r>
            <w:r>
              <w:rPr>
                <w:rFonts w:hint="eastAsia"/>
                <w:u w:val="none" w:color="auto"/>
                <w:lang w:val="en-US" w:eastAsia="zh-CN"/>
              </w:rPr>
              <w:t>为</w:t>
            </w:r>
            <w:r>
              <w:rPr>
                <w:rFonts w:hint="eastAsia" w:ascii="Times New Roman" w:cs="Times New Roman" w:hAnsiTheme="minorEastAsia" w:eastAsiaTheme="minorEastAsia"/>
                <w:u w:val="none" w:color="auto"/>
                <w:lang w:val="en-US" w:eastAsia="zh-CN"/>
              </w:rPr>
              <w:t>1280.92t/a</w:t>
            </w:r>
            <w:r>
              <w:rPr>
                <w:rFonts w:hint="eastAsia" w:cs="Times New Roman" w:hAnsiTheme="minorEastAsia" w:eastAsiaTheme="minorEastAsia"/>
                <w:u w:val="none" w:color="auto"/>
                <w:lang w:val="en-US" w:eastAsia="zh-CN"/>
              </w:rPr>
              <w:t>，则</w:t>
            </w:r>
            <w:r>
              <w:rPr>
                <w:rFonts w:hint="eastAsia"/>
                <w:color w:val="000000" w:themeColor="text1"/>
                <w:u w:val="none" w:color="auto"/>
                <w14:textFill>
                  <w14:solidFill>
                    <w14:schemeClr w14:val="tx1"/>
                  </w14:solidFill>
                </w14:textFill>
              </w:rPr>
              <w:t>涂布烘干工序</w:t>
            </w:r>
            <w:r>
              <w:rPr>
                <w:rFonts w:hint="eastAsia"/>
                <w:color w:val="000000" w:themeColor="text1"/>
                <w:u w:val="none" w:color="auto"/>
                <w:lang w:val="en-US" w:eastAsia="zh-CN"/>
                <w14:textFill>
                  <w14:solidFill>
                    <w14:schemeClr w14:val="tx1"/>
                  </w14:solidFill>
                </w14:textFill>
              </w:rPr>
              <w:t>有组织</w:t>
            </w:r>
            <w:r>
              <w:rPr>
                <w:rFonts w:hint="eastAsia"/>
                <w:color w:val="000000" w:themeColor="text1"/>
                <w:u w:val="none" w:color="auto"/>
                <w14:textFill>
                  <w14:solidFill>
                    <w14:schemeClr w14:val="tx1"/>
                  </w14:solidFill>
                </w14:textFill>
              </w:rPr>
              <w:t>非甲烷总烃</w:t>
            </w:r>
            <w:r>
              <w:rPr>
                <w:rFonts w:hint="eastAsia"/>
                <w:color w:val="000000" w:themeColor="text1"/>
                <w:u w:val="none" w:color="auto"/>
                <w:lang w:val="en-US" w:eastAsia="zh-CN"/>
                <w14:textFill>
                  <w14:solidFill>
                    <w14:schemeClr w14:val="tx1"/>
                  </w14:solidFill>
                </w14:textFill>
              </w:rPr>
              <w:t>收集量为1280.8</w:t>
            </w:r>
            <w:r>
              <w:rPr>
                <w:rFonts w:hint="eastAsia" w:ascii="Times New Roman" w:cs="Times New Roman" w:hAnsiTheme="minorEastAsia" w:eastAsiaTheme="minorEastAsia"/>
                <w:u w:val="none" w:color="auto"/>
                <w:lang w:val="en-US" w:eastAsia="zh-CN"/>
              </w:rPr>
              <w:t>t/a</w:t>
            </w:r>
            <w:r>
              <w:rPr>
                <w:rFonts w:hint="eastAsia" w:cs="Times New Roman" w:hAnsiTheme="minorEastAsia" w:eastAsiaTheme="minorEastAsia"/>
                <w:u w:val="none" w:color="auto"/>
                <w:lang w:val="en-US" w:eastAsia="zh-CN"/>
              </w:rPr>
              <w:t>，经冷凝后进入高塔水喷淋的NMP的量为640.4</w:t>
            </w:r>
            <w:r>
              <w:rPr>
                <w:rFonts w:hint="eastAsia" w:ascii="Times New Roman" w:cs="Times New Roman" w:hAnsiTheme="minorEastAsia" w:eastAsiaTheme="minorEastAsia"/>
                <w:u w:val="none" w:color="auto"/>
                <w:lang w:val="en-US" w:eastAsia="zh-CN"/>
              </w:rPr>
              <w:t>t/a</w:t>
            </w:r>
            <w:r>
              <w:rPr>
                <w:rFonts w:hint="eastAsia" w:cs="Times New Roman" w:hAnsiTheme="minorEastAsia" w:eastAsiaTheme="minorEastAsia"/>
                <w:u w:val="none" w:color="auto"/>
                <w:lang w:val="en-US" w:eastAsia="zh-CN"/>
              </w:rPr>
              <w:t>，年工作时间为7920h，则非甲烷总烃产生速率为80.86kg/h。</w:t>
            </w:r>
            <w:r>
              <w:rPr>
                <w:rFonts w:hint="eastAsia"/>
                <w:color w:val="000000" w:themeColor="text1"/>
                <w:u w:val="none" w:color="auto"/>
                <w:lang w:val="en-US" w:eastAsia="zh-CN"/>
                <w14:textFill>
                  <w14:solidFill>
                    <w14:schemeClr w14:val="tx1"/>
                  </w14:solidFill>
                </w14:textFill>
              </w:rPr>
              <w:t>本项目含 NMP 废气治理设施采用三级高效水喷淋塔，废气依次经一级、二级、三级喷淋单元。一级、二级喷淋单元采用吸收液循环喷淋；一级喷淋 NMP 去除效率按 80% 计，二级喷淋去除效率按 70% 计。第三级喷淋单元采用纯水喷淋，配套精密布水器，纯水均匀分布于规整填料表面与废气充分接触；因纯水初始 NMP 浓度极低，气液传质推动力大，吸收效果优异，第三级喷淋去除效率按 96% 计，</w:t>
            </w:r>
            <w:r>
              <w:rPr>
                <w:rFonts w:ascii="宋体" w:hAnsi="宋体" w:eastAsia="宋体" w:cs="宋体"/>
                <w:sz w:val="24"/>
                <w:szCs w:val="24"/>
              </w:rPr>
              <w:t>经核算，三级喷淋装置综合</w:t>
            </w:r>
            <w:r>
              <w:rPr>
                <w:rFonts w:hint="eastAsia" w:ascii="Times New Roman" w:hAnsi="Times New Roman" w:eastAsia="宋体" w:cs="宋体"/>
                <w:color w:val="000000" w:themeColor="text1"/>
                <w:u w:val="none" w:color="auto"/>
                <w:lang w:val="en-US" w:eastAsia="zh-CN"/>
                <w14:textFill>
                  <w14:solidFill>
                    <w14:schemeClr w14:val="tx1"/>
                  </w14:solidFill>
                </w14:textFill>
              </w:rPr>
              <w:t xml:space="preserve"> NMP 去除效率约 99.7</w:t>
            </w:r>
            <w:r>
              <w:rPr>
                <w:rFonts w:hint="eastAsia" w:cs="宋体"/>
                <w:color w:val="000000" w:themeColor="text1"/>
                <w:u w:val="none" w:color="auto"/>
                <w:lang w:val="en-US" w:eastAsia="zh-CN"/>
                <w14:textFill>
                  <w14:solidFill>
                    <w14:schemeClr w14:val="tx1"/>
                  </w14:solidFill>
                </w14:textFill>
              </w:rPr>
              <w:t>6</w:t>
            </w:r>
            <w:r>
              <w:rPr>
                <w:rFonts w:hint="eastAsia" w:ascii="Times New Roman" w:hAnsi="Times New Roman" w:eastAsia="宋体" w:cs="宋体"/>
                <w:color w:val="000000" w:themeColor="text1"/>
                <w:u w:val="none" w:color="auto"/>
                <w:lang w:val="en-US" w:eastAsia="zh-CN"/>
                <w14:textFill>
                  <w14:solidFill>
                    <w14:schemeClr w14:val="tx1"/>
                  </w14:solidFill>
                </w14:textFill>
              </w:rPr>
              <w:t>%。</w:t>
            </w:r>
          </w:p>
          <w:p w14:paraId="7B12E66B">
            <w:pPr>
              <w:pStyle w:val="98"/>
              <w:keepNext w:val="0"/>
              <w:keepLines w:val="0"/>
              <w:pageBreakBefore w:val="0"/>
              <w:widowControl w:val="0"/>
              <w:kinsoku/>
              <w:wordWrap/>
              <w:overflowPunct/>
              <w:topLinePunct w:val="0"/>
              <w:autoSpaceDE/>
              <w:autoSpaceDN/>
              <w:bidi w:val="0"/>
              <w:spacing w:line="440" w:lineRule="exact"/>
              <w:textAlignment w:val="auto"/>
              <w:rPr>
                <w:rFonts w:hint="default"/>
                <w:b/>
                <w:bCs/>
                <w:color w:val="000000" w:themeColor="text1"/>
                <w:u w:val="none" w:color="auto"/>
                <w:lang w:val="en-US" w:eastAsia="zh-CN"/>
                <w14:textFill>
                  <w14:solidFill>
                    <w14:schemeClr w14:val="tx1"/>
                  </w14:solidFill>
                </w14:textFill>
              </w:rPr>
            </w:pPr>
            <w:r>
              <w:rPr>
                <w:rFonts w:hint="eastAsia"/>
                <w:b/>
                <w:bCs/>
                <w:color w:val="000000" w:themeColor="text1"/>
                <w:u w:val="none" w:color="auto"/>
                <w:lang w:val="en-US" w:eastAsia="zh-CN"/>
                <w14:textFill>
                  <w14:solidFill>
                    <w14:schemeClr w14:val="tx1"/>
                  </w14:solidFill>
                </w14:textFill>
              </w:rPr>
              <w:t>3、</w:t>
            </w:r>
            <w:r>
              <w:rPr>
                <w:rFonts w:hint="eastAsia"/>
                <w:b/>
                <w:bCs/>
                <w:szCs w:val="21"/>
                <w:u w:val="none" w:color="auto"/>
              </w:rPr>
              <w:t>正负极配料</w:t>
            </w:r>
            <w:r>
              <w:rPr>
                <w:rFonts w:hint="eastAsia"/>
                <w:b/>
                <w:bCs/>
                <w:szCs w:val="21"/>
                <w:u w:val="none" w:color="auto"/>
                <w:lang w:eastAsia="zh-CN"/>
              </w:rPr>
              <w:t>、</w:t>
            </w:r>
            <w:r>
              <w:rPr>
                <w:rFonts w:hint="eastAsia"/>
                <w:b/>
                <w:bCs/>
                <w:szCs w:val="21"/>
                <w:u w:val="none" w:color="auto"/>
                <w:lang w:val="en-US" w:eastAsia="zh-CN"/>
              </w:rPr>
              <w:t>投料</w:t>
            </w:r>
            <w:r>
              <w:rPr>
                <w:rFonts w:hint="eastAsia"/>
                <w:b/>
                <w:bCs/>
                <w:szCs w:val="21"/>
                <w:u w:val="none" w:color="auto"/>
              </w:rPr>
              <w:t>工序</w:t>
            </w:r>
          </w:p>
          <w:p w14:paraId="7001E5E8">
            <w:pPr>
              <w:pStyle w:val="98"/>
              <w:keepNext w:val="0"/>
              <w:keepLines w:val="0"/>
              <w:pageBreakBefore w:val="0"/>
              <w:widowControl w:val="0"/>
              <w:kinsoku/>
              <w:wordWrap/>
              <w:overflowPunct/>
              <w:topLinePunct w:val="0"/>
              <w:autoSpaceDE/>
              <w:autoSpaceDN/>
              <w:bidi w:val="0"/>
              <w:spacing w:line="440" w:lineRule="exact"/>
              <w:ind w:firstLine="480"/>
              <w:textAlignment w:val="auto"/>
              <w:rPr>
                <w:rFonts w:hint="eastAsia"/>
                <w:color w:val="000000" w:themeColor="text1"/>
                <w:highlight w:val="none"/>
                <w:u w:val="none" w:color="auto"/>
                <w:lang w:val="en-US" w:eastAsia="zh-CN"/>
                <w14:textFill>
                  <w14:solidFill>
                    <w14:schemeClr w14:val="tx1"/>
                  </w14:solidFill>
                </w14:textFill>
              </w:rPr>
            </w:pPr>
            <w:r>
              <w:rPr>
                <w:rFonts w:hint="default"/>
                <w:color w:val="000000" w:themeColor="text1"/>
                <w:u w:val="none" w:color="auto"/>
                <w:lang w:val="en-US" w:eastAsia="zh-CN"/>
                <w14:textFill>
                  <w14:solidFill>
                    <w14:schemeClr w14:val="tx1"/>
                  </w14:solidFill>
                </w14:textFill>
              </w:rPr>
              <w:t>本项目</w:t>
            </w:r>
            <w:r>
              <w:rPr>
                <w:rFonts w:hint="eastAsia"/>
                <w:color w:val="000000" w:themeColor="text1"/>
                <w:u w:val="none" w:color="auto"/>
                <w:lang w:val="en-US" w:eastAsia="zh-CN"/>
                <w14:textFill>
                  <w14:solidFill>
                    <w14:schemeClr w14:val="tx1"/>
                  </w14:solidFill>
                </w14:textFill>
              </w:rPr>
              <w:t>正</w:t>
            </w:r>
            <w:r>
              <w:rPr>
                <w:rFonts w:hint="default"/>
                <w:color w:val="000000" w:themeColor="text1"/>
                <w:u w:val="none" w:color="auto"/>
                <w:lang w:val="en-US" w:eastAsia="zh-CN"/>
                <w14:textFill>
                  <w14:solidFill>
                    <w14:schemeClr w14:val="tx1"/>
                  </w14:solidFill>
                </w14:textFill>
              </w:rPr>
              <w:t>负极上料配料过程中部分原料为粉末状物料，此环节会有颗粒物产生。</w:t>
            </w:r>
            <w:r>
              <w:rPr>
                <w:rFonts w:hint="eastAsia"/>
                <w:color w:val="000000" w:themeColor="text1"/>
                <w:u w:val="none" w:color="auto"/>
                <w:lang w:val="en-US" w:eastAsia="zh-CN"/>
                <w14:textFill>
                  <w14:solidFill>
                    <w14:schemeClr w14:val="tx1"/>
                  </w14:solidFill>
                </w14:textFill>
              </w:rPr>
              <w:t>项目设置有密闭投料间，</w:t>
            </w:r>
            <w:r>
              <w:rPr>
                <w:sz w:val="24"/>
                <w:u w:val="none" w:color="auto"/>
              </w:rPr>
              <w:t>投料过程为：真空上料系统利用真空泵（文丘里原理）产生真空，真空产生的负压将物料从进料管入口吸入；在分离容器的过滤仓内</w:t>
            </w:r>
            <w:r>
              <w:rPr>
                <w:rFonts w:hint="eastAsia"/>
                <w:sz w:val="24"/>
                <w:u w:val="none" w:color="auto"/>
                <w:lang w:val="en-US" w:eastAsia="zh-CN"/>
              </w:rPr>
              <w:t>均</w:t>
            </w:r>
            <w:r>
              <w:rPr>
                <w:sz w:val="24"/>
                <w:u w:val="none" w:color="auto"/>
              </w:rPr>
              <w:t>设置有滤芯</w:t>
            </w:r>
            <w:r>
              <w:rPr>
                <w:rFonts w:hint="eastAsia"/>
                <w:sz w:val="24"/>
                <w:u w:val="none" w:color="auto"/>
                <w:lang w:val="en-US" w:eastAsia="zh-CN"/>
              </w:rPr>
              <w:t>除尘器，处</w:t>
            </w:r>
            <w:r>
              <w:rPr>
                <w:rFonts w:hint="eastAsia"/>
                <w:color w:val="000000" w:themeColor="text1"/>
                <w:highlight w:val="none"/>
                <w:u w:val="none" w:color="auto"/>
                <w:lang w:val="en-US" w:eastAsia="zh-CN"/>
                <w14:textFill>
                  <w14:solidFill>
                    <w14:schemeClr w14:val="tx1"/>
                  </w14:solidFill>
                </w14:textFill>
              </w:rPr>
              <w:t>理后的废气经25m高排气筒（DA002）排放。</w:t>
            </w:r>
          </w:p>
          <w:p w14:paraId="386D4E8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eastAsiaTheme="minorEastAsia"/>
                <w:color w:val="000000" w:themeColor="text1"/>
                <w:sz w:val="24"/>
                <w:u w:val="none" w:color="auto"/>
                <w:lang w:val="en-US" w:eastAsia="zh-CN"/>
                <w14:textFill>
                  <w14:solidFill>
                    <w14:schemeClr w14:val="tx1"/>
                  </w14:solidFill>
                </w14:textFill>
              </w:rPr>
            </w:pPr>
            <w:r>
              <w:rPr>
                <w:rFonts w:hint="eastAsia" w:ascii="Times New Roman" w:hAnsi="Times New Roman" w:cs="Times New Roman" w:eastAsiaTheme="minorEastAsia"/>
                <w:color w:val="000000" w:themeColor="text1"/>
                <w:kern w:val="2"/>
                <w:sz w:val="24"/>
                <w:szCs w:val="24"/>
                <w:u w:val="none" w:color="auto"/>
                <w:lang w:val="en-US" w:eastAsia="zh-CN" w:bidi="ar-SA"/>
                <w14:textFill>
                  <w14:solidFill>
                    <w14:schemeClr w14:val="tx1"/>
                  </w14:solidFill>
                </w14:textFill>
              </w:rPr>
              <w:t>本项目使用的粉状物料为锰酸锂2831.96t/a、石墨粉1418.5t/a</w:t>
            </w:r>
            <w:r>
              <w:rPr>
                <w:rFonts w:hint="eastAsia" w:cs="Times New Roman" w:eastAsiaTheme="minorEastAsia"/>
                <w:color w:val="000000" w:themeColor="text1"/>
                <w:kern w:val="2"/>
                <w:sz w:val="24"/>
                <w:szCs w:val="24"/>
                <w:u w:val="none" w:color="auto"/>
                <w:lang w:val="en-US" w:eastAsia="zh-CN" w:bidi="ar-SA"/>
                <w14:textFill>
                  <w14:solidFill>
                    <w14:schemeClr w14:val="tx1"/>
                  </w14:solidFill>
                </w14:textFill>
              </w:rPr>
              <w:t>、镍钴锰酸锂2t/a</w:t>
            </w:r>
            <w:r>
              <w:rPr>
                <w:rFonts w:hint="eastAsia" w:ascii="Times New Roman" w:hAnsi="Times New Roman" w:cs="Times New Roman" w:eastAsiaTheme="minorEastAsia"/>
                <w:color w:val="000000" w:themeColor="text1"/>
                <w:kern w:val="2"/>
                <w:sz w:val="24"/>
                <w:szCs w:val="24"/>
                <w:u w:val="none" w:color="auto"/>
                <w:lang w:val="en-US" w:eastAsia="zh-CN" w:bidi="ar-SA"/>
                <w14:textFill>
                  <w14:solidFill>
                    <w14:schemeClr w14:val="tx1"/>
                  </w14:solidFill>
                </w14:textFill>
              </w:rPr>
              <w:t>，</w:t>
            </w:r>
            <w:r>
              <w:rPr>
                <w:rFonts w:hint="default" w:eastAsiaTheme="minorEastAsia"/>
                <w:color w:val="000000" w:themeColor="text1"/>
                <w:sz w:val="24"/>
                <w:u w:val="none" w:color="auto"/>
                <w:lang w:val="en-US"/>
                <w14:textFill>
                  <w14:solidFill>
                    <w14:schemeClr w14:val="tx1"/>
                  </w14:solidFill>
                </w14:textFill>
              </w:rPr>
              <w:t>本项目粉状物料密度均大于碳黑，按照最不利原则，参照《逸散性工业粉尘控制技术》中碳黑尘的逸散系数为0.1kg/t原料，本次评价投料工段粉尘的产生系数取0.1kg/t原料，本项目粉状物料投料量</w:t>
            </w:r>
            <w:r>
              <w:rPr>
                <w:rFonts w:hint="eastAsia" w:eastAsiaTheme="minorEastAsia"/>
                <w:color w:val="000000" w:themeColor="text1"/>
                <w:sz w:val="24"/>
                <w:u w:val="none" w:color="auto"/>
                <w:lang w:val="en-US" w:eastAsia="zh-CN"/>
                <w14:textFill>
                  <w14:solidFill>
                    <w14:schemeClr w14:val="tx1"/>
                  </w14:solidFill>
                </w14:textFill>
              </w:rPr>
              <w:t>合计</w:t>
            </w:r>
            <w:r>
              <w:rPr>
                <w:rFonts w:hint="default" w:eastAsiaTheme="minorEastAsia"/>
                <w:color w:val="000000" w:themeColor="text1"/>
                <w:sz w:val="24"/>
                <w:u w:val="none" w:color="auto"/>
                <w:lang w:val="en-US"/>
                <w14:textFill>
                  <w14:solidFill>
                    <w14:schemeClr w14:val="tx1"/>
                  </w14:solidFill>
                </w14:textFill>
              </w:rPr>
              <w:t>为</w:t>
            </w:r>
            <w:r>
              <w:rPr>
                <w:rFonts w:hint="eastAsia" w:eastAsiaTheme="minorEastAsia"/>
                <w:color w:val="000000" w:themeColor="text1"/>
                <w:sz w:val="24"/>
                <w:u w:val="none" w:color="auto"/>
                <w:lang w:val="en-US" w:eastAsia="zh-CN"/>
                <w14:textFill>
                  <w14:solidFill>
                    <w14:schemeClr w14:val="tx1"/>
                  </w14:solidFill>
                </w14:textFill>
              </w:rPr>
              <w:t>4250.46</w:t>
            </w:r>
            <w:r>
              <w:rPr>
                <w:rFonts w:hint="default" w:eastAsiaTheme="minorEastAsia"/>
                <w:color w:val="000000" w:themeColor="text1"/>
                <w:sz w:val="24"/>
                <w:u w:val="none" w:color="auto"/>
                <w:lang w:val="en-US"/>
                <w14:textFill>
                  <w14:solidFill>
                    <w14:schemeClr w14:val="tx1"/>
                  </w14:solidFill>
                </w14:textFill>
              </w:rPr>
              <w:t>t/a，则</w:t>
            </w:r>
            <w:r>
              <w:rPr>
                <w:rFonts w:hint="eastAsia" w:eastAsiaTheme="minorEastAsia"/>
                <w:color w:val="000000" w:themeColor="text1"/>
                <w:sz w:val="24"/>
                <w:u w:val="none" w:color="auto"/>
                <w:lang w:val="en-US" w:eastAsia="zh-CN"/>
                <w14:textFill>
                  <w14:solidFill>
                    <w14:schemeClr w14:val="tx1"/>
                  </w14:solidFill>
                </w14:textFill>
              </w:rPr>
              <w:t>颗粒物</w:t>
            </w:r>
            <w:r>
              <w:rPr>
                <w:rFonts w:hint="default" w:eastAsiaTheme="minorEastAsia"/>
                <w:color w:val="000000" w:themeColor="text1"/>
                <w:sz w:val="24"/>
                <w:u w:val="none" w:color="auto"/>
                <w:lang w:val="en-US"/>
                <w14:textFill>
                  <w14:solidFill>
                    <w14:schemeClr w14:val="tx1"/>
                  </w14:solidFill>
                </w14:textFill>
              </w:rPr>
              <w:t>产生量为</w:t>
            </w:r>
            <w:r>
              <w:rPr>
                <w:rFonts w:hint="eastAsia" w:eastAsiaTheme="minorEastAsia"/>
                <w:color w:val="000000" w:themeColor="text1"/>
                <w:sz w:val="24"/>
                <w:u w:val="none" w:color="auto"/>
                <w:lang w:val="en-US" w:eastAsia="zh-CN"/>
                <w14:textFill>
                  <w14:solidFill>
                    <w14:schemeClr w14:val="tx1"/>
                  </w14:solidFill>
                </w14:textFill>
              </w:rPr>
              <w:t>0.425</w:t>
            </w:r>
            <w:r>
              <w:rPr>
                <w:rFonts w:hint="default" w:eastAsiaTheme="minorEastAsia"/>
                <w:color w:val="000000" w:themeColor="text1"/>
                <w:sz w:val="24"/>
                <w:u w:val="none" w:color="auto"/>
                <w:lang w:val="en-US"/>
                <w14:textFill>
                  <w14:solidFill>
                    <w14:schemeClr w14:val="tx1"/>
                  </w14:solidFill>
                </w14:textFill>
              </w:rPr>
              <w:t>t/a，</w:t>
            </w:r>
            <w:r>
              <w:rPr>
                <w:rFonts w:hint="eastAsia" w:eastAsiaTheme="minorEastAsia"/>
                <w:color w:val="000000" w:themeColor="text1"/>
                <w:sz w:val="24"/>
                <w:u w:val="none" w:color="auto"/>
                <w:lang w:val="en-US" w:eastAsia="zh-CN"/>
                <w14:textFill>
                  <w14:solidFill>
                    <w14:schemeClr w14:val="tx1"/>
                  </w14:solidFill>
                </w14:textFill>
              </w:rPr>
              <w:t>收集按照98%计，</w:t>
            </w:r>
            <w:r>
              <w:rPr>
                <w:rFonts w:hint="default" w:eastAsiaTheme="minorEastAsia"/>
                <w:color w:val="000000" w:themeColor="text1"/>
                <w:sz w:val="24"/>
                <w:u w:val="none" w:color="auto"/>
                <w:lang w:val="en-US"/>
                <w14:textFill>
                  <w14:solidFill>
                    <w14:schemeClr w14:val="tx1"/>
                  </w14:solidFill>
                </w14:textFill>
              </w:rPr>
              <w:t>投料时间以平均每天4小时计，合计约1320小时</w:t>
            </w:r>
            <w:r>
              <w:rPr>
                <w:rFonts w:hint="eastAsia" w:eastAsiaTheme="minorEastAsia"/>
                <w:color w:val="000000" w:themeColor="text1"/>
                <w:sz w:val="24"/>
                <w:u w:val="none" w:color="auto"/>
                <w:lang w:val="en-US" w:eastAsia="zh-CN"/>
                <w14:textFill>
                  <w14:solidFill>
                    <w14:schemeClr w14:val="tx1"/>
                  </w14:solidFill>
                </w14:textFill>
              </w:rPr>
              <w:t>，</w:t>
            </w:r>
            <w:r>
              <w:rPr>
                <w:rFonts w:hint="default" w:eastAsiaTheme="minorEastAsia"/>
                <w:color w:val="000000" w:themeColor="text1"/>
                <w:sz w:val="24"/>
                <w:u w:val="none" w:color="auto"/>
                <w:lang w:val="en-US"/>
                <w14:textFill>
                  <w14:solidFill>
                    <w14:schemeClr w14:val="tx1"/>
                  </w14:solidFill>
                </w14:textFill>
              </w:rPr>
              <w:t>除尘效率</w:t>
            </w:r>
            <w:r>
              <w:rPr>
                <w:rFonts w:hint="eastAsia" w:eastAsiaTheme="minorEastAsia"/>
                <w:color w:val="000000" w:themeColor="text1"/>
                <w:sz w:val="24"/>
                <w:u w:val="none" w:color="auto"/>
                <w:lang w:val="en-US" w:eastAsia="zh-CN"/>
                <w14:textFill>
                  <w14:solidFill>
                    <w14:schemeClr w14:val="tx1"/>
                  </w14:solidFill>
                </w14:textFill>
              </w:rPr>
              <w:t>按照95</w:t>
            </w:r>
            <w:r>
              <w:rPr>
                <w:rFonts w:hint="default" w:eastAsiaTheme="minorEastAsia"/>
                <w:color w:val="000000" w:themeColor="text1"/>
                <w:sz w:val="24"/>
                <w:u w:val="none" w:color="auto"/>
                <w:lang w:val="en-US"/>
                <w14:textFill>
                  <w14:solidFill>
                    <w14:schemeClr w14:val="tx1"/>
                  </w14:solidFill>
                </w14:textFill>
              </w:rPr>
              <w:t>%</w:t>
            </w:r>
            <w:r>
              <w:rPr>
                <w:rFonts w:hint="eastAsia" w:eastAsiaTheme="minorEastAsia"/>
                <w:color w:val="000000" w:themeColor="text1"/>
                <w:sz w:val="24"/>
                <w:u w:val="none" w:color="auto"/>
                <w:lang w:val="en-US" w:eastAsia="zh-CN"/>
                <w14:textFill>
                  <w14:solidFill>
                    <w14:schemeClr w14:val="tx1"/>
                  </w14:solidFill>
                </w14:textFill>
              </w:rPr>
              <w:t>计</w:t>
            </w:r>
            <w:r>
              <w:rPr>
                <w:rFonts w:hint="default" w:eastAsiaTheme="minorEastAsia"/>
                <w:color w:val="000000" w:themeColor="text1"/>
                <w:sz w:val="24"/>
                <w:u w:val="none" w:color="auto"/>
                <w:lang w:val="en-US"/>
                <w14:textFill>
                  <w14:solidFill>
                    <w14:schemeClr w14:val="tx1"/>
                  </w14:solidFill>
                </w14:textFill>
              </w:rPr>
              <w:t>，</w:t>
            </w:r>
            <w:r>
              <w:rPr>
                <w:rFonts w:hint="eastAsia" w:eastAsiaTheme="minorEastAsia"/>
                <w:color w:val="000000" w:themeColor="text1"/>
                <w:sz w:val="24"/>
                <w:u w:val="none" w:color="auto"/>
                <w:lang w:val="en-US" w:eastAsia="zh-CN"/>
                <w14:textFill>
                  <w14:solidFill>
                    <w14:schemeClr w14:val="tx1"/>
                  </w14:solidFill>
                </w14:textFill>
              </w:rPr>
              <w:t>设计风量均按照2000m</w:t>
            </w:r>
            <w:r>
              <w:rPr>
                <w:rFonts w:hint="eastAsia" w:eastAsiaTheme="minorEastAsia"/>
                <w:color w:val="000000" w:themeColor="text1"/>
                <w:sz w:val="24"/>
                <w:u w:val="none" w:color="auto"/>
                <w:vertAlign w:val="superscript"/>
                <w:lang w:val="en-US" w:eastAsia="zh-CN"/>
                <w14:textFill>
                  <w14:solidFill>
                    <w14:schemeClr w14:val="tx1"/>
                  </w14:solidFill>
                </w14:textFill>
              </w:rPr>
              <w:t>3</w:t>
            </w:r>
            <w:r>
              <w:rPr>
                <w:rFonts w:hint="eastAsia" w:eastAsiaTheme="minorEastAsia"/>
                <w:color w:val="000000" w:themeColor="text1"/>
                <w:sz w:val="24"/>
                <w:u w:val="none" w:color="auto"/>
                <w:lang w:val="en-US" w:eastAsia="zh-CN"/>
                <w14:textFill>
                  <w14:solidFill>
                    <w14:schemeClr w14:val="tx1"/>
                  </w14:solidFill>
                </w14:textFill>
              </w:rPr>
              <w:t>/h，则合计风机风量为4000m</w:t>
            </w:r>
            <w:r>
              <w:rPr>
                <w:rFonts w:hint="eastAsia" w:eastAsiaTheme="minorEastAsia"/>
                <w:color w:val="000000" w:themeColor="text1"/>
                <w:sz w:val="24"/>
                <w:u w:val="none" w:color="auto"/>
                <w:vertAlign w:val="superscript"/>
                <w:lang w:val="en-US" w:eastAsia="zh-CN"/>
                <w14:textFill>
                  <w14:solidFill>
                    <w14:schemeClr w14:val="tx1"/>
                  </w14:solidFill>
                </w14:textFill>
              </w:rPr>
              <w:t>3</w:t>
            </w:r>
            <w:r>
              <w:rPr>
                <w:rFonts w:hint="eastAsia" w:eastAsiaTheme="minorEastAsia"/>
                <w:color w:val="000000" w:themeColor="text1"/>
                <w:sz w:val="24"/>
                <w:u w:val="none" w:color="auto"/>
                <w:lang w:val="en-US" w:eastAsia="zh-CN"/>
                <w14:textFill>
                  <w14:solidFill>
                    <w14:schemeClr w14:val="tx1"/>
                  </w14:solidFill>
                </w14:textFill>
              </w:rPr>
              <w:t>/h，则有组织颗粒物收集量为0.4165</w:t>
            </w:r>
            <w:r>
              <w:rPr>
                <w:rFonts w:hint="default" w:eastAsiaTheme="minorEastAsia"/>
                <w:color w:val="000000" w:themeColor="text1"/>
                <w:sz w:val="24"/>
                <w:u w:val="none" w:color="auto"/>
                <w:lang w:val="en-US"/>
                <w14:textFill>
                  <w14:solidFill>
                    <w14:schemeClr w14:val="tx1"/>
                  </w14:solidFill>
                </w14:textFill>
              </w:rPr>
              <w:t>t/a</w:t>
            </w:r>
            <w:r>
              <w:rPr>
                <w:rFonts w:hint="eastAsia" w:eastAsiaTheme="minorEastAsia"/>
                <w:color w:val="000000" w:themeColor="text1"/>
                <w:sz w:val="24"/>
                <w:u w:val="none" w:color="auto"/>
                <w:lang w:val="en-US" w:eastAsia="zh-CN"/>
                <w14:textFill>
                  <w14:solidFill>
                    <w14:schemeClr w14:val="tx1"/>
                  </w14:solidFill>
                </w14:textFill>
              </w:rPr>
              <w:t>，收集速率为0.316kg/h。</w:t>
            </w:r>
          </w:p>
          <w:p w14:paraId="53B58FC4">
            <w:pPr>
              <w:tabs>
                <w:tab w:val="left" w:pos="3620"/>
              </w:tabs>
              <w:adjustRightInd w:val="0"/>
              <w:snapToGrid w:val="0"/>
              <w:spacing w:line="440" w:lineRule="exact"/>
              <w:ind w:firstLine="480" w:firstLineChars="200"/>
              <w:rPr>
                <w:rFonts w:hint="default" w:hAnsi="宋体"/>
                <w:color w:val="000000" w:themeColor="text1"/>
                <w:sz w:val="24"/>
                <w:szCs w:val="24"/>
                <w:u w:val="none" w:color="auto"/>
                <w:lang w:val="en-US" w:eastAsia="zh-CN"/>
                <w14:textFill>
                  <w14:solidFill>
                    <w14:schemeClr w14:val="tx1"/>
                  </w14:solidFill>
                </w14:textFill>
              </w:rPr>
            </w:pPr>
            <w:r>
              <w:rPr>
                <w:rFonts w:hint="eastAsia" w:hAnsi="宋体"/>
                <w:sz w:val="24"/>
                <w:szCs w:val="24"/>
                <w:u w:val="none" w:color="auto"/>
                <w:lang w:val="en-US" w:eastAsia="zh-CN"/>
              </w:rPr>
              <w:t>4、污水处理设施废气</w:t>
            </w:r>
          </w:p>
          <w:p w14:paraId="402C6D68">
            <w:pPr>
              <w:tabs>
                <w:tab w:val="left" w:pos="3620"/>
              </w:tabs>
              <w:adjustRightInd w:val="0"/>
              <w:snapToGrid w:val="0"/>
              <w:spacing w:line="440" w:lineRule="exact"/>
              <w:ind w:firstLine="480" w:firstLineChars="200"/>
              <w:rPr>
                <w:rFonts w:hint="eastAsia" w:hAnsi="宋体"/>
                <w:sz w:val="24"/>
                <w:szCs w:val="24"/>
                <w:u w:val="none" w:color="auto"/>
                <w:lang w:val="en-US" w:eastAsia="zh-CN"/>
              </w:rPr>
            </w:pPr>
            <w:r>
              <w:rPr>
                <w:rFonts w:hint="eastAsia" w:hAnsi="宋体"/>
                <w:sz w:val="24"/>
                <w:szCs w:val="24"/>
                <w:u w:val="none" w:color="auto"/>
                <w:lang w:val="en-US" w:eastAsia="zh-CN"/>
              </w:rPr>
              <w:t>本项目污水处理站工艺为</w:t>
            </w:r>
            <w:r>
              <w:rPr>
                <w:rFonts w:hint="default" w:eastAsia="宋体"/>
                <w:bCs/>
                <w:sz w:val="24"/>
                <w:szCs w:val="24"/>
                <w:u w:val="none" w:color="auto"/>
                <w:lang w:val="en-US" w:eastAsia="zh-CN"/>
              </w:rPr>
              <w:t>“混凝沉淀+水解酸化+AO工艺”</w:t>
            </w:r>
            <w:r>
              <w:rPr>
                <w:rFonts w:hint="eastAsia" w:eastAsia="宋体"/>
                <w:bCs/>
                <w:sz w:val="24"/>
                <w:szCs w:val="24"/>
                <w:u w:val="none" w:color="auto"/>
                <w:lang w:val="en-US" w:eastAsia="zh-CN"/>
              </w:rPr>
              <w:t>，</w:t>
            </w:r>
            <w:r>
              <w:rPr>
                <w:rFonts w:hint="eastAsia" w:hAnsi="宋体"/>
                <w:sz w:val="24"/>
                <w:szCs w:val="24"/>
                <w:u w:val="none" w:color="auto"/>
                <w:lang w:val="en-US" w:eastAsia="zh-CN"/>
              </w:rPr>
              <w:t>根据污水处理相关经验，产生恶臭的节点主要是生化处理单元和污泥处理单元，本项目废水处理设施处理设施设生化处理工艺，污泥浓缩处理，因此本项目污水处理站运行期间会产生恶臭，恶臭的代表污染物为氨、硫化氢及臭气浓度，其产生量的大小与废水停留时间、废水进水水质、运行工况和当时气象条件等诸多因素有关。</w:t>
            </w:r>
          </w:p>
          <w:p w14:paraId="4A02BFDD">
            <w:pPr>
              <w:tabs>
                <w:tab w:val="left" w:pos="3620"/>
              </w:tabs>
              <w:adjustRightInd w:val="0"/>
              <w:snapToGrid w:val="0"/>
              <w:spacing w:line="440" w:lineRule="exact"/>
              <w:ind w:firstLine="480" w:firstLineChars="200"/>
              <w:rPr>
                <w:rFonts w:hint="eastAsia" w:ascii="宋体" w:hAnsi="宋体" w:eastAsia="宋体" w:cs="宋体"/>
                <w:sz w:val="24"/>
                <w:szCs w:val="24"/>
                <w:u w:val="none" w:color="auto"/>
                <w:lang w:val="en-US" w:eastAsia="zh-CN"/>
              </w:rPr>
            </w:pPr>
            <w:r>
              <w:rPr>
                <w:rFonts w:hint="eastAsia" w:ascii="宋体" w:hAnsi="宋体" w:eastAsia="宋体" w:cs="宋体"/>
                <w:sz w:val="24"/>
                <w:szCs w:val="24"/>
                <w:u w:val="none" w:color="auto"/>
              </w:rPr>
              <w:t>臭气排污系数一般使用单位时间内单位面积的散发量来表征，本项目废水处理系统产生恶臭的环节主要为生化池和污泥脱水间等。项目引用《城市污水处理厂恶臭影响及对策分析》（王喜红 洛阳市环境保护设计研究所）中污水厂主要处理设施氨气和硫化氢产生强度</w:t>
            </w:r>
            <w:r>
              <w:rPr>
                <w:rFonts w:hint="eastAsia" w:ascii="宋体" w:hAnsi="宋体" w:eastAsia="宋体" w:cs="宋体"/>
                <w:sz w:val="24"/>
                <w:szCs w:val="24"/>
                <w:u w:val="none" w:color="auto"/>
                <w:lang w:val="en-US" w:eastAsia="zh-CN"/>
              </w:rPr>
              <w:t>见下表。</w:t>
            </w:r>
          </w:p>
          <w:p w14:paraId="7E79445B">
            <w:pPr>
              <w:tabs>
                <w:tab w:val="left" w:pos="3620"/>
              </w:tabs>
              <w:adjustRightInd w:val="0"/>
              <w:snapToGrid w:val="0"/>
              <w:spacing w:line="440" w:lineRule="exact"/>
              <w:ind w:firstLine="482" w:firstLineChars="200"/>
              <w:rPr>
                <w:rFonts w:hint="default" w:ascii="Times New Roman" w:hAnsi="Times New Roman" w:eastAsia="宋体" w:cs="Times New Roman"/>
                <w:b/>
                <w:bCs/>
                <w:color w:val="000000" w:themeColor="text1"/>
                <w:sz w:val="24"/>
                <w:szCs w:val="24"/>
                <w:u w:val="none" w:color="auto"/>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u w:val="none" w:color="auto"/>
                <w:lang w:val="en-US" w:eastAsia="zh-CN"/>
                <w14:textFill>
                  <w14:solidFill>
                    <w14:schemeClr w14:val="tx1"/>
                  </w14:solidFill>
                </w14:textFill>
              </w:rPr>
              <w:t>表4-1    单位面积恶臭污染物排放源强    单位：mg/s﹒m</w:t>
            </w:r>
            <w:r>
              <w:rPr>
                <w:rFonts w:hint="default" w:ascii="Times New Roman" w:hAnsi="Times New Roman" w:eastAsia="宋体" w:cs="Times New Roman"/>
                <w:b/>
                <w:bCs/>
                <w:color w:val="000000" w:themeColor="text1"/>
                <w:sz w:val="24"/>
                <w:szCs w:val="24"/>
                <w:u w:val="none" w:color="auto"/>
                <w:vertAlign w:val="superscript"/>
                <w:lang w:val="en-US" w:eastAsia="zh-CN"/>
                <w14:textFill>
                  <w14:solidFill>
                    <w14:schemeClr w14:val="tx1"/>
                  </w14:solidFill>
                </w14:textFill>
              </w:rPr>
              <w:t>2</w:t>
            </w:r>
          </w:p>
          <w:tbl>
            <w:tblPr>
              <w:tblStyle w:val="32"/>
              <w:tblW w:w="7698"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2566"/>
              <w:gridCol w:w="2566"/>
              <w:gridCol w:w="2566"/>
            </w:tblGrid>
            <w:tr w14:paraId="482AE34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9" w:hRule="atLeast"/>
                <w:jc w:val="center"/>
              </w:trPr>
              <w:tc>
                <w:tcPr>
                  <w:tcW w:w="2566" w:type="dxa"/>
                  <w:tcBorders>
                    <w:bottom w:val="single" w:color="000000" w:sz="8" w:space="0"/>
                    <w:tl2br w:val="nil"/>
                    <w:tr2bl w:val="nil"/>
                  </w:tcBorders>
                  <w:noWrap w:val="0"/>
                  <w:vAlign w:val="center"/>
                </w:tcPr>
                <w:p w14:paraId="60C687F8">
                  <w:pPr>
                    <w:pStyle w:val="96"/>
                    <w:rPr>
                      <w:b/>
                      <w:bCs/>
                      <w:u w:val="none" w:color="auto"/>
                    </w:rPr>
                  </w:pPr>
                  <w:r>
                    <w:rPr>
                      <w:b/>
                      <w:bCs/>
                      <w:u w:val="none" w:color="auto"/>
                    </w:rPr>
                    <w:t>构筑物名称</w:t>
                  </w:r>
                </w:p>
              </w:tc>
              <w:tc>
                <w:tcPr>
                  <w:tcW w:w="2566" w:type="dxa"/>
                  <w:tcBorders>
                    <w:bottom w:val="single" w:color="000000" w:sz="8" w:space="0"/>
                    <w:tl2br w:val="nil"/>
                    <w:tr2bl w:val="nil"/>
                  </w:tcBorders>
                  <w:noWrap w:val="0"/>
                  <w:vAlign w:val="center"/>
                </w:tcPr>
                <w:p w14:paraId="63A627FA">
                  <w:pPr>
                    <w:pStyle w:val="96"/>
                    <w:rPr>
                      <w:b/>
                      <w:bCs/>
                      <w:u w:val="none" w:color="auto"/>
                    </w:rPr>
                  </w:pPr>
                  <w:r>
                    <w:rPr>
                      <w:b/>
                      <w:bCs/>
                      <w:u w:val="none" w:color="auto"/>
                    </w:rPr>
                    <w:t>H</w:t>
                  </w:r>
                  <w:r>
                    <w:rPr>
                      <w:b/>
                      <w:bCs/>
                      <w:u w:val="none" w:color="auto"/>
                      <w:vertAlign w:val="subscript"/>
                    </w:rPr>
                    <w:t>2</w:t>
                  </w:r>
                  <w:r>
                    <w:rPr>
                      <w:b/>
                      <w:bCs/>
                      <w:u w:val="none" w:color="auto"/>
                    </w:rPr>
                    <w:t>S</w:t>
                  </w:r>
                </w:p>
              </w:tc>
              <w:tc>
                <w:tcPr>
                  <w:tcW w:w="2566" w:type="dxa"/>
                  <w:tcBorders>
                    <w:bottom w:val="single" w:color="000000" w:sz="8" w:space="0"/>
                    <w:tl2br w:val="nil"/>
                    <w:tr2bl w:val="nil"/>
                  </w:tcBorders>
                  <w:noWrap w:val="0"/>
                  <w:vAlign w:val="center"/>
                </w:tcPr>
                <w:p w14:paraId="30F414A1">
                  <w:pPr>
                    <w:pStyle w:val="96"/>
                    <w:rPr>
                      <w:b/>
                      <w:bCs/>
                      <w:u w:val="none" w:color="auto"/>
                    </w:rPr>
                  </w:pPr>
                  <w:r>
                    <w:rPr>
                      <w:b/>
                      <w:bCs/>
                      <w:u w:val="none" w:color="auto"/>
                    </w:rPr>
                    <w:t>NH</w:t>
                  </w:r>
                  <w:r>
                    <w:rPr>
                      <w:b/>
                      <w:bCs/>
                      <w:u w:val="none" w:color="auto"/>
                      <w:vertAlign w:val="subscript"/>
                    </w:rPr>
                    <w:t>3</w:t>
                  </w:r>
                </w:p>
              </w:tc>
            </w:tr>
            <w:tr w14:paraId="27141BA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0" w:hRule="atLeast"/>
                <w:jc w:val="center"/>
              </w:trPr>
              <w:tc>
                <w:tcPr>
                  <w:tcW w:w="2566" w:type="dxa"/>
                  <w:tcBorders>
                    <w:top w:val="single" w:color="000000" w:sz="8" w:space="0"/>
                    <w:tl2br w:val="nil"/>
                    <w:tr2bl w:val="nil"/>
                  </w:tcBorders>
                  <w:noWrap w:val="0"/>
                  <w:vAlign w:val="center"/>
                </w:tcPr>
                <w:p w14:paraId="7411A7E9">
                  <w:pPr>
                    <w:pStyle w:val="96"/>
                    <w:rPr>
                      <w:b w:val="0"/>
                      <w:bCs w:val="0"/>
                      <w:u w:val="none" w:color="auto"/>
                    </w:rPr>
                  </w:pPr>
                  <w:r>
                    <w:rPr>
                      <w:b w:val="0"/>
                      <w:bCs w:val="0"/>
                      <w:u w:val="none" w:color="auto"/>
                    </w:rPr>
                    <w:t>生物处理池</w:t>
                  </w:r>
                </w:p>
              </w:tc>
              <w:tc>
                <w:tcPr>
                  <w:tcW w:w="2566" w:type="dxa"/>
                  <w:tcBorders>
                    <w:top w:val="single" w:color="000000" w:sz="8" w:space="0"/>
                    <w:tl2br w:val="nil"/>
                    <w:tr2bl w:val="nil"/>
                  </w:tcBorders>
                  <w:noWrap w:val="0"/>
                  <w:vAlign w:val="center"/>
                </w:tcPr>
                <w:p w14:paraId="56F71FF7">
                  <w:pPr>
                    <w:pStyle w:val="96"/>
                    <w:rPr>
                      <w:b w:val="0"/>
                      <w:bCs w:val="0"/>
                      <w:u w:val="none" w:color="auto"/>
                    </w:rPr>
                  </w:pPr>
                  <w:r>
                    <w:rPr>
                      <w:b w:val="0"/>
                      <w:bCs w:val="0"/>
                      <w:u w:val="none" w:color="auto"/>
                    </w:rPr>
                    <w:t>0.26×10</w:t>
                  </w:r>
                  <w:r>
                    <w:rPr>
                      <w:b w:val="0"/>
                      <w:bCs w:val="0"/>
                      <w:u w:val="none" w:color="auto"/>
                      <w:vertAlign w:val="superscript"/>
                    </w:rPr>
                    <w:t>-3</w:t>
                  </w:r>
                </w:p>
              </w:tc>
              <w:tc>
                <w:tcPr>
                  <w:tcW w:w="2566" w:type="dxa"/>
                  <w:tcBorders>
                    <w:top w:val="single" w:color="000000" w:sz="8" w:space="0"/>
                    <w:tl2br w:val="nil"/>
                    <w:tr2bl w:val="nil"/>
                  </w:tcBorders>
                  <w:noWrap w:val="0"/>
                  <w:vAlign w:val="center"/>
                </w:tcPr>
                <w:p w14:paraId="0A68D9A3">
                  <w:pPr>
                    <w:pStyle w:val="96"/>
                    <w:rPr>
                      <w:b w:val="0"/>
                      <w:bCs w:val="0"/>
                      <w:u w:val="none" w:color="auto"/>
                    </w:rPr>
                  </w:pPr>
                  <w:r>
                    <w:rPr>
                      <w:b w:val="0"/>
                      <w:bCs w:val="0"/>
                      <w:u w:val="none" w:color="auto"/>
                    </w:rPr>
                    <w:t>0.0049</w:t>
                  </w:r>
                </w:p>
              </w:tc>
            </w:tr>
            <w:tr w14:paraId="5A78512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09" w:hRule="atLeast"/>
                <w:jc w:val="center"/>
              </w:trPr>
              <w:tc>
                <w:tcPr>
                  <w:tcW w:w="2566" w:type="dxa"/>
                  <w:tcBorders>
                    <w:tl2br w:val="nil"/>
                    <w:tr2bl w:val="nil"/>
                  </w:tcBorders>
                  <w:noWrap w:val="0"/>
                  <w:vAlign w:val="center"/>
                </w:tcPr>
                <w:p w14:paraId="527C18B9">
                  <w:pPr>
                    <w:pStyle w:val="96"/>
                    <w:rPr>
                      <w:b w:val="0"/>
                      <w:bCs w:val="0"/>
                      <w:u w:val="none" w:color="auto"/>
                    </w:rPr>
                  </w:pPr>
                  <w:r>
                    <w:rPr>
                      <w:b w:val="0"/>
                      <w:bCs w:val="0"/>
                      <w:u w:val="none" w:color="auto"/>
                    </w:rPr>
                    <w:t>污泥浓缩池</w:t>
                  </w:r>
                </w:p>
              </w:tc>
              <w:tc>
                <w:tcPr>
                  <w:tcW w:w="2566" w:type="dxa"/>
                  <w:tcBorders>
                    <w:tl2br w:val="nil"/>
                    <w:tr2bl w:val="nil"/>
                  </w:tcBorders>
                  <w:noWrap w:val="0"/>
                  <w:vAlign w:val="center"/>
                </w:tcPr>
                <w:p w14:paraId="5ED926DC">
                  <w:pPr>
                    <w:pStyle w:val="96"/>
                    <w:rPr>
                      <w:b w:val="0"/>
                      <w:bCs w:val="0"/>
                      <w:u w:val="none" w:color="auto"/>
                    </w:rPr>
                  </w:pPr>
                  <w:r>
                    <w:rPr>
                      <w:b w:val="0"/>
                      <w:bCs w:val="0"/>
                      <w:u w:val="none" w:color="auto"/>
                    </w:rPr>
                    <w:t>0.</w:t>
                  </w:r>
                  <w:r>
                    <w:rPr>
                      <w:rFonts w:hint="eastAsia"/>
                      <w:b w:val="0"/>
                      <w:bCs w:val="0"/>
                      <w:u w:val="none" w:color="auto"/>
                    </w:rPr>
                    <w:t>03</w:t>
                  </w:r>
                  <w:r>
                    <w:rPr>
                      <w:b w:val="0"/>
                      <w:bCs w:val="0"/>
                      <w:u w:val="none" w:color="auto"/>
                    </w:rPr>
                    <w:t>×10</w:t>
                  </w:r>
                  <w:r>
                    <w:rPr>
                      <w:b w:val="0"/>
                      <w:bCs w:val="0"/>
                      <w:u w:val="none" w:color="auto"/>
                      <w:vertAlign w:val="superscript"/>
                    </w:rPr>
                    <w:t>-3</w:t>
                  </w:r>
                </w:p>
              </w:tc>
              <w:tc>
                <w:tcPr>
                  <w:tcW w:w="2566" w:type="dxa"/>
                  <w:tcBorders>
                    <w:tl2br w:val="nil"/>
                    <w:tr2bl w:val="nil"/>
                  </w:tcBorders>
                  <w:noWrap w:val="0"/>
                  <w:vAlign w:val="center"/>
                </w:tcPr>
                <w:p w14:paraId="5A6FD6EF">
                  <w:pPr>
                    <w:pStyle w:val="96"/>
                    <w:rPr>
                      <w:b w:val="0"/>
                      <w:bCs w:val="0"/>
                      <w:u w:val="none" w:color="auto"/>
                    </w:rPr>
                  </w:pPr>
                  <w:r>
                    <w:rPr>
                      <w:rFonts w:hint="eastAsia"/>
                      <w:b w:val="0"/>
                      <w:bCs w:val="0"/>
                      <w:u w:val="none" w:color="auto"/>
                    </w:rPr>
                    <w:t>0.103</w:t>
                  </w:r>
                </w:p>
              </w:tc>
            </w:tr>
          </w:tbl>
          <w:p w14:paraId="2C6E2D30">
            <w:pPr>
              <w:tabs>
                <w:tab w:val="left" w:pos="3620"/>
              </w:tabs>
              <w:adjustRightInd w:val="0"/>
              <w:snapToGrid w:val="0"/>
              <w:spacing w:line="440" w:lineRule="exact"/>
              <w:ind w:firstLine="480" w:firstLineChars="200"/>
              <w:rPr>
                <w:rFonts w:hint="eastAsia" w:ascii="宋体" w:hAnsi="宋体" w:eastAsia="宋体" w:cs="宋体"/>
                <w:color w:val="000000" w:themeColor="text1"/>
                <w:sz w:val="24"/>
                <w:szCs w:val="24"/>
                <w:u w:val="none" w:color="auto"/>
                <w:lang w:val="en-US" w:eastAsia="zh-CN"/>
                <w14:textFill>
                  <w14:solidFill>
                    <w14:schemeClr w14:val="tx1"/>
                  </w14:solidFill>
                </w14:textFill>
              </w:rPr>
            </w:pPr>
            <w:r>
              <w:rPr>
                <w:rFonts w:hint="eastAsia" w:ascii="宋体" w:hAnsi="宋体" w:eastAsia="宋体" w:cs="宋体"/>
                <w:color w:val="000000" w:themeColor="text1"/>
                <w:sz w:val="24"/>
                <w:szCs w:val="24"/>
                <w:u w:val="none" w:color="auto"/>
                <w:lang w:val="en-US" w:eastAsia="zh-CN"/>
                <w14:textFill>
                  <w14:solidFill>
                    <w14:schemeClr w14:val="tx1"/>
                  </w14:solidFill>
                </w14:textFill>
              </w:rPr>
              <w:t>结合本项目废水处理站的设计实际情况，恶臭的主要产生节点有废水处理设施的水解酸化池、</w:t>
            </w:r>
            <w:r>
              <w:rPr>
                <w:rFonts w:hint="eastAsia" w:ascii="宋体" w:hAnsi="宋体" w:cs="宋体"/>
                <w:color w:val="000000" w:themeColor="text1"/>
                <w:sz w:val="24"/>
                <w:szCs w:val="24"/>
                <w:u w:val="none" w:color="auto"/>
                <w:lang w:val="en-US" w:eastAsia="zh-CN"/>
                <w14:textFill>
                  <w14:solidFill>
                    <w14:schemeClr w14:val="tx1"/>
                  </w14:solidFill>
                </w14:textFill>
              </w:rPr>
              <w:t>缺氧池、好氧池</w:t>
            </w:r>
            <w:r>
              <w:rPr>
                <w:rFonts w:hint="eastAsia" w:ascii="宋体" w:hAnsi="宋体" w:eastAsia="宋体" w:cs="宋体"/>
                <w:color w:val="000000" w:themeColor="text1"/>
                <w:sz w:val="24"/>
                <w:szCs w:val="24"/>
                <w:u w:val="none" w:color="auto"/>
                <w:lang w:val="en-US" w:eastAsia="zh-CN"/>
                <w14:textFill>
                  <w14:solidFill>
                    <w14:schemeClr w14:val="tx1"/>
                  </w14:solidFill>
                </w14:textFill>
              </w:rPr>
              <w:t>和污泥浓缩池等。根据上表的产污系数，本项目废水站恶臭源强见下表。</w:t>
            </w:r>
          </w:p>
          <w:p w14:paraId="73DEEE30">
            <w:pPr>
              <w:tabs>
                <w:tab w:val="left" w:pos="3620"/>
              </w:tabs>
              <w:adjustRightInd w:val="0"/>
              <w:snapToGrid w:val="0"/>
              <w:spacing w:line="440" w:lineRule="exact"/>
              <w:ind w:firstLine="482" w:firstLineChars="200"/>
              <w:jc w:val="center"/>
              <w:rPr>
                <w:rFonts w:hint="eastAsia" w:ascii="宋体" w:hAnsi="宋体" w:eastAsia="宋体" w:cs="宋体"/>
                <w:sz w:val="24"/>
                <w:szCs w:val="24"/>
                <w:u w:val="none" w:color="auto"/>
              </w:rPr>
            </w:pPr>
            <w:r>
              <w:rPr>
                <w:rFonts w:hint="default" w:ascii="Times New Roman" w:hAnsi="Times New Roman" w:eastAsia="宋体" w:cs="Times New Roman"/>
                <w:b/>
                <w:bCs/>
                <w:color w:val="000000" w:themeColor="text1"/>
                <w:sz w:val="24"/>
                <w:szCs w:val="24"/>
                <w:u w:val="none" w:color="auto"/>
                <w:lang w:val="en-US" w:eastAsia="zh-CN"/>
                <w14:textFill>
                  <w14:solidFill>
                    <w14:schemeClr w14:val="tx1"/>
                  </w14:solidFill>
                </w14:textFill>
              </w:rPr>
              <w:t>表4-</w:t>
            </w:r>
            <w:r>
              <w:rPr>
                <w:rFonts w:hint="eastAsia" w:ascii="Times New Roman" w:hAnsi="Times New Roman" w:eastAsia="宋体" w:cs="Times New Roman"/>
                <w:b/>
                <w:bCs/>
                <w:color w:val="000000" w:themeColor="text1"/>
                <w:sz w:val="24"/>
                <w:szCs w:val="24"/>
                <w:u w:val="none" w:color="auto"/>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u w:val="none" w:color="auto"/>
                <w:lang w:val="en-US" w:eastAsia="zh-CN"/>
                <w14:textFill>
                  <w14:solidFill>
                    <w14:schemeClr w14:val="tx1"/>
                  </w14:solidFill>
                </w14:textFill>
              </w:rPr>
              <w:t xml:space="preserve">    废水处理站恶臭污染物源强计算表</w:t>
            </w:r>
          </w:p>
          <w:tbl>
            <w:tblPr>
              <w:tblStyle w:val="32"/>
              <w:tblW w:w="7578"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627"/>
              <w:gridCol w:w="1627"/>
              <w:gridCol w:w="1492"/>
              <w:gridCol w:w="1534"/>
              <w:gridCol w:w="1298"/>
            </w:tblGrid>
            <w:tr w14:paraId="2CC1CF3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627" w:type="dxa"/>
                  <w:vMerge w:val="restart"/>
                  <w:tcBorders>
                    <w:tl2br w:val="nil"/>
                    <w:tr2bl w:val="nil"/>
                  </w:tcBorders>
                  <w:noWrap w:val="0"/>
                  <w:vAlign w:val="center"/>
                </w:tcPr>
                <w:p w14:paraId="71772255">
                  <w:pPr>
                    <w:pStyle w:val="96"/>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处理单元</w:t>
                  </w:r>
                </w:p>
              </w:tc>
              <w:tc>
                <w:tcPr>
                  <w:tcW w:w="1627" w:type="dxa"/>
                  <w:vMerge w:val="restart"/>
                  <w:tcBorders>
                    <w:tl2br w:val="nil"/>
                    <w:tr2bl w:val="nil"/>
                  </w:tcBorders>
                  <w:noWrap w:val="0"/>
                  <w:vAlign w:val="center"/>
                </w:tcPr>
                <w:p w14:paraId="42D916A5">
                  <w:pPr>
                    <w:pStyle w:val="96"/>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构筑物名称</w:t>
                  </w:r>
                </w:p>
              </w:tc>
              <w:tc>
                <w:tcPr>
                  <w:tcW w:w="1492" w:type="dxa"/>
                  <w:vMerge w:val="restart"/>
                  <w:tcBorders>
                    <w:tl2br w:val="nil"/>
                    <w:tr2bl w:val="nil"/>
                  </w:tcBorders>
                  <w:noWrap w:val="0"/>
                  <w:vAlign w:val="center"/>
                </w:tcPr>
                <w:p w14:paraId="75C60961">
                  <w:pPr>
                    <w:pStyle w:val="96"/>
                    <w:rPr>
                      <w:rFonts w:hint="eastAsia" w:ascii="Times New Roman" w:hAnsi="Times New Roman" w:eastAsia="宋体" w:cs="Times New Roman"/>
                      <w:b/>
                      <w:bCs/>
                      <w:u w:val="none" w:color="auto"/>
                      <w:lang w:eastAsia="zh-CN"/>
                    </w:rPr>
                  </w:pPr>
                  <w:r>
                    <w:rPr>
                      <w:rFonts w:hint="default" w:ascii="Times New Roman" w:hAnsi="Times New Roman" w:eastAsia="宋体" w:cs="Times New Roman"/>
                      <w:b/>
                      <w:bCs/>
                      <w:u w:val="none" w:color="auto"/>
                    </w:rPr>
                    <w:t>构筑物面积</w:t>
                  </w:r>
                  <w:r>
                    <w:rPr>
                      <w:rFonts w:hint="eastAsia" w:ascii="Times New Roman" w:hAnsi="Times New Roman" w:eastAsia="宋体" w:cs="Times New Roman"/>
                      <w:b/>
                      <w:bCs/>
                      <w:u w:val="none" w:color="auto"/>
                      <w:lang w:eastAsia="zh-CN"/>
                    </w:rPr>
                    <w:t>（</w:t>
                  </w:r>
                  <w:r>
                    <w:rPr>
                      <w:rFonts w:hint="eastAsia" w:ascii="Times New Roman" w:hAnsi="Times New Roman" w:eastAsia="宋体" w:cs="Times New Roman"/>
                      <w:b/>
                      <w:bCs/>
                      <w:u w:val="none" w:color="auto"/>
                      <w:lang w:val="en-US" w:eastAsia="zh-CN"/>
                    </w:rPr>
                    <w:t>m</w:t>
                  </w:r>
                  <w:r>
                    <w:rPr>
                      <w:rFonts w:hint="eastAsia" w:ascii="Times New Roman" w:hAnsi="Times New Roman" w:eastAsia="宋体" w:cs="Times New Roman"/>
                      <w:b/>
                      <w:bCs/>
                      <w:u w:val="none" w:color="auto"/>
                      <w:vertAlign w:val="superscript"/>
                      <w:lang w:val="en-US" w:eastAsia="zh-CN"/>
                    </w:rPr>
                    <w:t>2</w:t>
                  </w:r>
                  <w:r>
                    <w:rPr>
                      <w:rFonts w:hint="eastAsia" w:ascii="Times New Roman" w:hAnsi="Times New Roman" w:eastAsia="宋体" w:cs="Times New Roman"/>
                      <w:b/>
                      <w:bCs/>
                      <w:u w:val="none" w:color="auto"/>
                      <w:lang w:eastAsia="zh-CN"/>
                    </w:rPr>
                    <w:t>）</w:t>
                  </w:r>
                </w:p>
              </w:tc>
              <w:tc>
                <w:tcPr>
                  <w:tcW w:w="2832" w:type="dxa"/>
                  <w:gridSpan w:val="2"/>
                  <w:tcBorders>
                    <w:tl2br w:val="nil"/>
                    <w:tr2bl w:val="nil"/>
                  </w:tcBorders>
                  <w:noWrap w:val="0"/>
                  <w:vAlign w:val="center"/>
                </w:tcPr>
                <w:p w14:paraId="365C323A">
                  <w:pPr>
                    <w:pStyle w:val="96"/>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源强（t/a）</w:t>
                  </w:r>
                </w:p>
              </w:tc>
            </w:tr>
            <w:tr w14:paraId="1BBEFC7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83" w:hRule="atLeast"/>
                <w:jc w:val="center"/>
              </w:trPr>
              <w:tc>
                <w:tcPr>
                  <w:tcW w:w="1627" w:type="dxa"/>
                  <w:vMerge w:val="continue"/>
                  <w:tcBorders>
                    <w:tl2br w:val="nil"/>
                    <w:tr2bl w:val="nil"/>
                  </w:tcBorders>
                  <w:noWrap w:val="0"/>
                  <w:vAlign w:val="center"/>
                </w:tcPr>
                <w:p w14:paraId="1015907D">
                  <w:pPr>
                    <w:pStyle w:val="96"/>
                    <w:rPr>
                      <w:rFonts w:hint="default" w:ascii="Times New Roman" w:hAnsi="Times New Roman" w:eastAsia="宋体" w:cs="Times New Roman"/>
                      <w:b/>
                      <w:bCs/>
                      <w:u w:val="none" w:color="auto"/>
                    </w:rPr>
                  </w:pPr>
                </w:p>
              </w:tc>
              <w:tc>
                <w:tcPr>
                  <w:tcW w:w="1627" w:type="dxa"/>
                  <w:vMerge w:val="continue"/>
                  <w:tcBorders>
                    <w:tl2br w:val="nil"/>
                    <w:tr2bl w:val="nil"/>
                  </w:tcBorders>
                  <w:noWrap w:val="0"/>
                  <w:vAlign w:val="center"/>
                </w:tcPr>
                <w:p w14:paraId="5C7AE5E0">
                  <w:pPr>
                    <w:pStyle w:val="96"/>
                    <w:rPr>
                      <w:rFonts w:hint="default" w:ascii="Times New Roman" w:hAnsi="Times New Roman" w:eastAsia="宋体" w:cs="Times New Roman"/>
                      <w:b/>
                      <w:bCs/>
                      <w:u w:val="none" w:color="auto"/>
                    </w:rPr>
                  </w:pPr>
                </w:p>
              </w:tc>
              <w:tc>
                <w:tcPr>
                  <w:tcW w:w="1492" w:type="dxa"/>
                  <w:vMerge w:val="continue"/>
                  <w:tcBorders>
                    <w:tl2br w:val="nil"/>
                    <w:tr2bl w:val="nil"/>
                  </w:tcBorders>
                  <w:noWrap w:val="0"/>
                  <w:vAlign w:val="center"/>
                </w:tcPr>
                <w:p w14:paraId="48ACEC11">
                  <w:pPr>
                    <w:pStyle w:val="96"/>
                    <w:rPr>
                      <w:rFonts w:hint="default" w:ascii="Times New Roman" w:hAnsi="Times New Roman" w:eastAsia="宋体" w:cs="Times New Roman"/>
                      <w:b/>
                      <w:bCs/>
                      <w:u w:val="none" w:color="auto"/>
                    </w:rPr>
                  </w:pPr>
                </w:p>
              </w:tc>
              <w:tc>
                <w:tcPr>
                  <w:tcW w:w="1534" w:type="dxa"/>
                  <w:tcBorders>
                    <w:tl2br w:val="nil"/>
                    <w:tr2bl w:val="nil"/>
                  </w:tcBorders>
                  <w:noWrap w:val="0"/>
                  <w:vAlign w:val="center"/>
                </w:tcPr>
                <w:p w14:paraId="07B19F75">
                  <w:pPr>
                    <w:pStyle w:val="96"/>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H</w:t>
                  </w:r>
                  <w:r>
                    <w:rPr>
                      <w:rFonts w:hint="default" w:ascii="Times New Roman" w:hAnsi="Times New Roman" w:eastAsia="宋体" w:cs="Times New Roman"/>
                      <w:b/>
                      <w:bCs/>
                      <w:u w:val="none" w:color="auto"/>
                      <w:vertAlign w:val="subscript"/>
                    </w:rPr>
                    <w:t>2</w:t>
                  </w:r>
                  <w:r>
                    <w:rPr>
                      <w:rFonts w:hint="default" w:ascii="Times New Roman" w:hAnsi="Times New Roman" w:eastAsia="宋体" w:cs="Times New Roman"/>
                      <w:b/>
                      <w:bCs/>
                      <w:u w:val="none" w:color="auto"/>
                    </w:rPr>
                    <w:t>S</w:t>
                  </w:r>
                </w:p>
              </w:tc>
              <w:tc>
                <w:tcPr>
                  <w:tcW w:w="1298" w:type="dxa"/>
                  <w:tcBorders>
                    <w:tl2br w:val="nil"/>
                    <w:tr2bl w:val="nil"/>
                  </w:tcBorders>
                  <w:noWrap w:val="0"/>
                  <w:vAlign w:val="center"/>
                </w:tcPr>
                <w:p w14:paraId="2968A007">
                  <w:pPr>
                    <w:pStyle w:val="96"/>
                    <w:rPr>
                      <w:rFonts w:hint="default" w:ascii="Times New Roman" w:hAnsi="Times New Roman" w:eastAsia="宋体" w:cs="Times New Roman"/>
                      <w:b/>
                      <w:bCs/>
                      <w:u w:val="none" w:color="auto"/>
                    </w:rPr>
                  </w:pPr>
                  <w:r>
                    <w:rPr>
                      <w:rFonts w:hint="default" w:ascii="Times New Roman" w:hAnsi="Times New Roman" w:eastAsia="宋体" w:cs="Times New Roman"/>
                      <w:b/>
                      <w:bCs/>
                      <w:u w:val="none" w:color="auto"/>
                    </w:rPr>
                    <w:t>NH</w:t>
                  </w:r>
                  <w:r>
                    <w:rPr>
                      <w:rFonts w:hint="default" w:ascii="Times New Roman" w:hAnsi="Times New Roman" w:eastAsia="宋体" w:cs="Times New Roman"/>
                      <w:b/>
                      <w:bCs/>
                      <w:u w:val="none" w:color="auto"/>
                      <w:vertAlign w:val="subscript"/>
                    </w:rPr>
                    <w:t>3</w:t>
                  </w:r>
                </w:p>
              </w:tc>
            </w:tr>
            <w:tr w14:paraId="67E79FE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83" w:hRule="atLeast"/>
                <w:jc w:val="center"/>
              </w:trPr>
              <w:tc>
                <w:tcPr>
                  <w:tcW w:w="1627" w:type="dxa"/>
                  <w:vMerge w:val="restart"/>
                  <w:tcBorders>
                    <w:tl2br w:val="nil"/>
                    <w:tr2bl w:val="nil"/>
                  </w:tcBorders>
                  <w:noWrap w:val="0"/>
                  <w:vAlign w:val="center"/>
                </w:tcPr>
                <w:p w14:paraId="3FFD32BA">
                  <w:pPr>
                    <w:pStyle w:val="96"/>
                    <w:rPr>
                      <w:rFonts w:hint="default" w:ascii="Times New Roman" w:hAnsi="Times New Roman" w:eastAsia="宋体" w:cs="Times New Roman"/>
                      <w:b w:val="0"/>
                      <w:bCs w:val="0"/>
                      <w:u w:val="none" w:color="auto"/>
                    </w:rPr>
                  </w:pPr>
                  <w:r>
                    <w:rPr>
                      <w:rFonts w:hint="default" w:ascii="Times New Roman" w:hAnsi="Times New Roman" w:eastAsia="宋体" w:cs="Times New Roman"/>
                      <w:b w:val="0"/>
                      <w:bCs w:val="0"/>
                      <w:u w:val="none" w:color="auto"/>
                    </w:rPr>
                    <w:t>生物处理池</w:t>
                  </w:r>
                </w:p>
              </w:tc>
              <w:tc>
                <w:tcPr>
                  <w:tcW w:w="1627" w:type="dxa"/>
                  <w:tcBorders>
                    <w:tl2br w:val="nil"/>
                    <w:tr2bl w:val="nil"/>
                  </w:tcBorders>
                  <w:noWrap w:val="0"/>
                  <w:vAlign w:val="center"/>
                </w:tcPr>
                <w:p w14:paraId="02D33749">
                  <w:pPr>
                    <w:pStyle w:val="96"/>
                    <w:rPr>
                      <w:rFonts w:hint="default" w:ascii="Times New Roman" w:hAnsi="Times New Roman" w:eastAsia="宋体" w:cs="Times New Roman"/>
                      <w:b w:val="0"/>
                      <w:bCs w:val="0"/>
                      <w:u w:val="none" w:color="auto"/>
                    </w:rPr>
                  </w:pPr>
                  <w:r>
                    <w:rPr>
                      <w:rFonts w:hint="default" w:ascii="Times New Roman" w:hAnsi="Times New Roman" w:eastAsia="宋体" w:cs="Times New Roman"/>
                      <w:b w:val="0"/>
                      <w:bCs w:val="0"/>
                      <w:u w:val="none" w:color="auto"/>
                    </w:rPr>
                    <w:t>水解酸化池</w:t>
                  </w:r>
                </w:p>
              </w:tc>
              <w:tc>
                <w:tcPr>
                  <w:tcW w:w="1492" w:type="dxa"/>
                  <w:tcBorders>
                    <w:tl2br w:val="nil"/>
                    <w:tr2bl w:val="nil"/>
                  </w:tcBorders>
                  <w:noWrap w:val="0"/>
                  <w:vAlign w:val="center"/>
                </w:tcPr>
                <w:p w14:paraId="09684726">
                  <w:pPr>
                    <w:pStyle w:val="96"/>
                    <w:rPr>
                      <w:rFonts w:hint="default"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67</w:t>
                  </w:r>
                </w:p>
              </w:tc>
              <w:tc>
                <w:tcPr>
                  <w:tcW w:w="1534" w:type="dxa"/>
                  <w:tcBorders>
                    <w:tl2br w:val="nil"/>
                    <w:tr2bl w:val="nil"/>
                  </w:tcBorders>
                  <w:noWrap w:val="0"/>
                  <w:vAlign w:val="center"/>
                </w:tcPr>
                <w:p w14:paraId="7605C8A1">
                  <w:pPr>
                    <w:pStyle w:val="96"/>
                    <w:rPr>
                      <w:rFonts w:hint="default"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0.0005</w:t>
                  </w:r>
                </w:p>
              </w:tc>
              <w:tc>
                <w:tcPr>
                  <w:tcW w:w="1298" w:type="dxa"/>
                  <w:tcBorders>
                    <w:tl2br w:val="nil"/>
                    <w:tr2bl w:val="nil"/>
                  </w:tcBorders>
                  <w:noWrap w:val="0"/>
                  <w:vAlign w:val="center"/>
                </w:tcPr>
                <w:p w14:paraId="05F22D5B">
                  <w:pPr>
                    <w:pStyle w:val="96"/>
                    <w:rPr>
                      <w:rFonts w:hint="default"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0.0094</w:t>
                  </w:r>
                </w:p>
              </w:tc>
            </w:tr>
            <w:tr w14:paraId="3D5B1B5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83" w:hRule="atLeast"/>
                <w:jc w:val="center"/>
              </w:trPr>
              <w:tc>
                <w:tcPr>
                  <w:tcW w:w="1627" w:type="dxa"/>
                  <w:vMerge w:val="continue"/>
                  <w:tcBorders>
                    <w:tl2br w:val="nil"/>
                    <w:tr2bl w:val="nil"/>
                  </w:tcBorders>
                  <w:noWrap w:val="0"/>
                  <w:vAlign w:val="center"/>
                </w:tcPr>
                <w:p w14:paraId="62F23DC3">
                  <w:pPr>
                    <w:pStyle w:val="96"/>
                    <w:rPr>
                      <w:rFonts w:hint="default" w:ascii="Times New Roman" w:hAnsi="Times New Roman" w:eastAsia="宋体" w:cs="Times New Roman"/>
                      <w:b w:val="0"/>
                      <w:bCs w:val="0"/>
                      <w:u w:val="none" w:color="auto"/>
                    </w:rPr>
                  </w:pPr>
                </w:p>
              </w:tc>
              <w:tc>
                <w:tcPr>
                  <w:tcW w:w="1627" w:type="dxa"/>
                  <w:tcBorders>
                    <w:tl2br w:val="nil"/>
                    <w:tr2bl w:val="nil"/>
                  </w:tcBorders>
                  <w:noWrap w:val="0"/>
                  <w:vAlign w:val="center"/>
                </w:tcPr>
                <w:p w14:paraId="3D78E067">
                  <w:pPr>
                    <w:pStyle w:val="96"/>
                    <w:rPr>
                      <w:rFonts w:hint="default" w:ascii="Times New Roman" w:hAnsi="Times New Roman" w:eastAsia="宋体" w:cs="Times New Roman"/>
                      <w:b w:val="0"/>
                      <w:bCs w:val="0"/>
                      <w:u w:val="none" w:color="auto"/>
                    </w:rPr>
                  </w:pPr>
                  <w:r>
                    <w:rPr>
                      <w:rFonts w:hint="eastAsia" w:ascii="Times New Roman" w:hAnsi="Times New Roman" w:eastAsia="宋体" w:cs="Times New Roman"/>
                      <w:b w:val="0"/>
                      <w:bCs w:val="0"/>
                      <w:u w:val="none" w:color="auto"/>
                      <w:lang w:val="en-US" w:eastAsia="zh-CN"/>
                    </w:rPr>
                    <w:t>缺氧池</w:t>
                  </w:r>
                </w:p>
              </w:tc>
              <w:tc>
                <w:tcPr>
                  <w:tcW w:w="1492" w:type="dxa"/>
                  <w:tcBorders>
                    <w:tl2br w:val="nil"/>
                    <w:tr2bl w:val="nil"/>
                  </w:tcBorders>
                  <w:noWrap w:val="0"/>
                  <w:vAlign w:val="center"/>
                </w:tcPr>
                <w:p w14:paraId="598A8FB6">
                  <w:pPr>
                    <w:pStyle w:val="96"/>
                    <w:rPr>
                      <w:rFonts w:hint="default"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42.88</w:t>
                  </w:r>
                </w:p>
              </w:tc>
              <w:tc>
                <w:tcPr>
                  <w:tcW w:w="1534" w:type="dxa"/>
                  <w:tcBorders>
                    <w:tl2br w:val="nil"/>
                    <w:tr2bl w:val="nil"/>
                  </w:tcBorders>
                  <w:noWrap w:val="0"/>
                  <w:vAlign w:val="center"/>
                </w:tcPr>
                <w:p w14:paraId="11DC8611">
                  <w:pPr>
                    <w:pStyle w:val="96"/>
                    <w:rPr>
                      <w:rFonts w:hint="default"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0.0003</w:t>
                  </w:r>
                </w:p>
              </w:tc>
              <w:tc>
                <w:tcPr>
                  <w:tcW w:w="1298" w:type="dxa"/>
                  <w:tcBorders>
                    <w:tl2br w:val="nil"/>
                    <w:tr2bl w:val="nil"/>
                  </w:tcBorders>
                  <w:noWrap w:val="0"/>
                  <w:vAlign w:val="center"/>
                </w:tcPr>
                <w:p w14:paraId="2DE0DC61">
                  <w:pPr>
                    <w:pStyle w:val="96"/>
                    <w:rPr>
                      <w:rFonts w:hint="default" w:ascii="Times New Roman" w:hAnsi="Times New Roman" w:eastAsia="宋体" w:cs="Times New Roman"/>
                      <w:b w:val="0"/>
                      <w:bCs w:val="0"/>
                      <w:u w:val="none" w:color="auto"/>
                      <w:lang w:val="en-US" w:eastAsia="zh-CN"/>
                    </w:rPr>
                  </w:pPr>
                  <w:r>
                    <w:rPr>
                      <w:rFonts w:hint="default" w:ascii="Times New Roman" w:hAnsi="Times New Roman" w:eastAsia="宋体" w:cs="Times New Roman"/>
                      <w:b w:val="0"/>
                      <w:bCs w:val="0"/>
                      <w:u w:val="none" w:color="auto"/>
                      <w:lang w:val="en-US" w:eastAsia="zh-CN"/>
                    </w:rPr>
                    <w:t>0.00</w:t>
                  </w:r>
                  <w:r>
                    <w:rPr>
                      <w:rFonts w:hint="eastAsia" w:ascii="Times New Roman" w:hAnsi="Times New Roman" w:eastAsia="宋体" w:cs="Times New Roman"/>
                      <w:b w:val="0"/>
                      <w:bCs w:val="0"/>
                      <w:u w:val="none" w:color="auto"/>
                      <w:lang w:val="en-US" w:eastAsia="zh-CN"/>
                    </w:rPr>
                    <w:t>60</w:t>
                  </w:r>
                </w:p>
              </w:tc>
            </w:tr>
            <w:tr w14:paraId="6A3C27B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83" w:hRule="atLeast"/>
                <w:jc w:val="center"/>
              </w:trPr>
              <w:tc>
                <w:tcPr>
                  <w:tcW w:w="1627" w:type="dxa"/>
                  <w:vMerge w:val="continue"/>
                  <w:tcBorders>
                    <w:tl2br w:val="nil"/>
                    <w:tr2bl w:val="nil"/>
                  </w:tcBorders>
                  <w:noWrap w:val="0"/>
                  <w:vAlign w:val="center"/>
                </w:tcPr>
                <w:p w14:paraId="52DFE9B9">
                  <w:pPr>
                    <w:pStyle w:val="96"/>
                    <w:rPr>
                      <w:rFonts w:hint="default" w:ascii="Times New Roman" w:hAnsi="Times New Roman" w:eastAsia="宋体" w:cs="Times New Roman"/>
                      <w:b w:val="0"/>
                      <w:bCs w:val="0"/>
                      <w:u w:val="none" w:color="auto"/>
                    </w:rPr>
                  </w:pPr>
                </w:p>
              </w:tc>
              <w:tc>
                <w:tcPr>
                  <w:tcW w:w="1627" w:type="dxa"/>
                  <w:tcBorders>
                    <w:tl2br w:val="nil"/>
                    <w:tr2bl w:val="nil"/>
                  </w:tcBorders>
                  <w:noWrap w:val="0"/>
                  <w:vAlign w:val="center"/>
                </w:tcPr>
                <w:p w14:paraId="2BCBB8AC">
                  <w:pPr>
                    <w:pStyle w:val="96"/>
                    <w:rPr>
                      <w:rFonts w:hint="default"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好氧池</w:t>
                  </w:r>
                </w:p>
              </w:tc>
              <w:tc>
                <w:tcPr>
                  <w:tcW w:w="1492" w:type="dxa"/>
                  <w:tcBorders>
                    <w:tl2br w:val="nil"/>
                    <w:tr2bl w:val="nil"/>
                  </w:tcBorders>
                  <w:noWrap w:val="0"/>
                  <w:vAlign w:val="center"/>
                </w:tcPr>
                <w:p w14:paraId="7A53C5C8">
                  <w:pPr>
                    <w:pStyle w:val="96"/>
                    <w:rPr>
                      <w:rFonts w:hint="default"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42.88</w:t>
                  </w:r>
                </w:p>
              </w:tc>
              <w:tc>
                <w:tcPr>
                  <w:tcW w:w="1534" w:type="dxa"/>
                  <w:tcBorders>
                    <w:tl2br w:val="nil"/>
                    <w:tr2bl w:val="nil"/>
                  </w:tcBorders>
                  <w:noWrap w:val="0"/>
                  <w:vAlign w:val="center"/>
                </w:tcPr>
                <w:p w14:paraId="6ED078C5">
                  <w:pPr>
                    <w:pStyle w:val="96"/>
                    <w:rPr>
                      <w:rFonts w:hint="default"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0.0003</w:t>
                  </w:r>
                </w:p>
              </w:tc>
              <w:tc>
                <w:tcPr>
                  <w:tcW w:w="1298" w:type="dxa"/>
                  <w:tcBorders>
                    <w:tl2br w:val="nil"/>
                    <w:tr2bl w:val="nil"/>
                  </w:tcBorders>
                  <w:noWrap w:val="0"/>
                  <w:vAlign w:val="center"/>
                </w:tcPr>
                <w:p w14:paraId="7327ABDA">
                  <w:pPr>
                    <w:pStyle w:val="96"/>
                    <w:rPr>
                      <w:rFonts w:hint="default" w:ascii="Times New Roman" w:hAnsi="Times New Roman" w:eastAsia="宋体" w:cs="Times New Roman"/>
                      <w:b w:val="0"/>
                      <w:bCs w:val="0"/>
                      <w:u w:val="none" w:color="auto"/>
                    </w:rPr>
                  </w:pPr>
                  <w:r>
                    <w:rPr>
                      <w:rFonts w:hint="default" w:ascii="Times New Roman" w:hAnsi="Times New Roman" w:eastAsia="宋体" w:cs="Times New Roman"/>
                      <w:b w:val="0"/>
                      <w:bCs w:val="0"/>
                      <w:u w:val="none" w:color="auto"/>
                      <w:lang w:val="en-US" w:eastAsia="zh-CN"/>
                    </w:rPr>
                    <w:t>0.00</w:t>
                  </w:r>
                  <w:r>
                    <w:rPr>
                      <w:rFonts w:hint="eastAsia" w:ascii="Times New Roman" w:hAnsi="Times New Roman" w:eastAsia="宋体" w:cs="Times New Roman"/>
                      <w:b w:val="0"/>
                      <w:bCs w:val="0"/>
                      <w:u w:val="none" w:color="auto"/>
                      <w:lang w:val="en-US" w:eastAsia="zh-CN"/>
                    </w:rPr>
                    <w:t>60</w:t>
                  </w:r>
                </w:p>
              </w:tc>
            </w:tr>
            <w:tr w14:paraId="076F68F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83" w:hRule="atLeast"/>
                <w:jc w:val="center"/>
              </w:trPr>
              <w:tc>
                <w:tcPr>
                  <w:tcW w:w="1627" w:type="dxa"/>
                  <w:tcBorders>
                    <w:tl2br w:val="nil"/>
                    <w:tr2bl w:val="nil"/>
                  </w:tcBorders>
                  <w:noWrap w:val="0"/>
                  <w:vAlign w:val="center"/>
                </w:tcPr>
                <w:p w14:paraId="6D65E1A8">
                  <w:pPr>
                    <w:pStyle w:val="96"/>
                    <w:rPr>
                      <w:rFonts w:hint="default" w:ascii="Times New Roman" w:hAnsi="Times New Roman" w:eastAsia="宋体" w:cs="Times New Roman"/>
                      <w:b w:val="0"/>
                      <w:bCs w:val="0"/>
                      <w:u w:val="none" w:color="auto"/>
                    </w:rPr>
                  </w:pPr>
                  <w:r>
                    <w:rPr>
                      <w:rFonts w:hint="default" w:ascii="Times New Roman" w:hAnsi="Times New Roman" w:eastAsia="宋体" w:cs="Times New Roman"/>
                      <w:b w:val="0"/>
                      <w:bCs w:val="0"/>
                      <w:u w:val="none" w:color="auto"/>
                    </w:rPr>
                    <w:t>污泥浓缩池</w:t>
                  </w:r>
                </w:p>
              </w:tc>
              <w:tc>
                <w:tcPr>
                  <w:tcW w:w="1627" w:type="dxa"/>
                  <w:tcBorders>
                    <w:tl2br w:val="nil"/>
                    <w:tr2bl w:val="nil"/>
                  </w:tcBorders>
                  <w:noWrap w:val="0"/>
                  <w:vAlign w:val="center"/>
                </w:tcPr>
                <w:p w14:paraId="6436B8C3">
                  <w:pPr>
                    <w:pStyle w:val="96"/>
                    <w:rPr>
                      <w:rFonts w:hint="eastAsia" w:ascii="Times New Roman" w:hAnsi="Times New Roman" w:eastAsia="宋体" w:cs="Times New Roman"/>
                      <w:b w:val="0"/>
                      <w:bCs w:val="0"/>
                      <w:u w:val="none" w:color="auto"/>
                      <w:lang w:val="en-US" w:eastAsia="zh-CN"/>
                    </w:rPr>
                  </w:pPr>
                  <w:r>
                    <w:rPr>
                      <w:rFonts w:hint="default" w:ascii="Times New Roman" w:hAnsi="Times New Roman" w:eastAsia="宋体" w:cs="Times New Roman"/>
                      <w:b w:val="0"/>
                      <w:bCs w:val="0"/>
                      <w:u w:val="none" w:color="auto"/>
                    </w:rPr>
                    <w:t>污泥浓缩</w:t>
                  </w:r>
                  <w:r>
                    <w:rPr>
                      <w:rFonts w:hint="eastAsia" w:ascii="Times New Roman" w:hAnsi="Times New Roman" w:eastAsia="宋体" w:cs="Times New Roman"/>
                      <w:b w:val="0"/>
                      <w:bCs w:val="0"/>
                      <w:u w:val="none" w:color="auto"/>
                      <w:lang w:val="en-US" w:eastAsia="zh-CN"/>
                    </w:rPr>
                    <w:t>池</w:t>
                  </w:r>
                </w:p>
              </w:tc>
              <w:tc>
                <w:tcPr>
                  <w:tcW w:w="1492" w:type="dxa"/>
                  <w:tcBorders>
                    <w:tl2br w:val="nil"/>
                    <w:tr2bl w:val="nil"/>
                  </w:tcBorders>
                  <w:noWrap w:val="0"/>
                  <w:vAlign w:val="center"/>
                </w:tcPr>
                <w:p w14:paraId="2F725647">
                  <w:pPr>
                    <w:pStyle w:val="96"/>
                    <w:rPr>
                      <w:rFonts w:hint="default"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19.11</w:t>
                  </w:r>
                </w:p>
              </w:tc>
              <w:tc>
                <w:tcPr>
                  <w:tcW w:w="1534" w:type="dxa"/>
                  <w:tcBorders>
                    <w:tl2br w:val="nil"/>
                    <w:tr2bl w:val="nil"/>
                  </w:tcBorders>
                  <w:noWrap w:val="0"/>
                  <w:vAlign w:val="center"/>
                </w:tcPr>
                <w:p w14:paraId="6669F667">
                  <w:pPr>
                    <w:pStyle w:val="96"/>
                    <w:rPr>
                      <w:rFonts w:hint="default" w:ascii="Times New Roman" w:hAnsi="Times New Roman" w:eastAsia="宋体" w:cs="Times New Roman"/>
                      <w:b w:val="0"/>
                      <w:bCs w:val="0"/>
                      <w:u w:val="none" w:color="auto"/>
                      <w:lang w:val="en-US" w:eastAsia="zh-CN"/>
                    </w:rPr>
                  </w:pPr>
                  <w:r>
                    <w:rPr>
                      <w:rFonts w:hint="default" w:ascii="Times New Roman" w:hAnsi="Times New Roman" w:eastAsia="宋体" w:cs="Times New Roman"/>
                      <w:b w:val="0"/>
                      <w:bCs w:val="0"/>
                      <w:u w:val="none" w:color="auto"/>
                      <w:lang w:val="en-US" w:eastAsia="zh-CN"/>
                    </w:rPr>
                    <w:t>0.000016</w:t>
                  </w:r>
                </w:p>
              </w:tc>
              <w:tc>
                <w:tcPr>
                  <w:tcW w:w="1298" w:type="dxa"/>
                  <w:tcBorders>
                    <w:tl2br w:val="nil"/>
                    <w:tr2bl w:val="nil"/>
                  </w:tcBorders>
                  <w:noWrap w:val="0"/>
                  <w:vAlign w:val="center"/>
                </w:tcPr>
                <w:p w14:paraId="197C0D58">
                  <w:pPr>
                    <w:pStyle w:val="96"/>
                    <w:rPr>
                      <w:rFonts w:hint="default" w:ascii="Times New Roman" w:hAnsi="Times New Roman" w:eastAsia="宋体" w:cs="Times New Roman"/>
                      <w:b w:val="0"/>
                      <w:bCs w:val="0"/>
                      <w:u w:val="none" w:color="auto"/>
                      <w:lang w:val="en-US" w:eastAsia="zh-CN"/>
                    </w:rPr>
                  </w:pPr>
                  <w:r>
                    <w:rPr>
                      <w:rFonts w:hint="default" w:ascii="Times New Roman" w:hAnsi="Times New Roman" w:eastAsia="宋体" w:cs="Times New Roman"/>
                      <w:b w:val="0"/>
                      <w:bCs w:val="0"/>
                      <w:u w:val="none" w:color="auto"/>
                      <w:lang w:val="en-US" w:eastAsia="zh-CN"/>
                    </w:rPr>
                    <w:t>0.0561</w:t>
                  </w:r>
                </w:p>
              </w:tc>
            </w:tr>
            <w:tr w14:paraId="27208F4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1" w:hRule="atLeast"/>
                <w:jc w:val="center"/>
              </w:trPr>
              <w:tc>
                <w:tcPr>
                  <w:tcW w:w="3254" w:type="dxa"/>
                  <w:gridSpan w:val="2"/>
                  <w:tcBorders>
                    <w:tl2br w:val="nil"/>
                    <w:tr2bl w:val="nil"/>
                  </w:tcBorders>
                  <w:noWrap w:val="0"/>
                  <w:vAlign w:val="center"/>
                </w:tcPr>
                <w:p w14:paraId="10B6DA43">
                  <w:pPr>
                    <w:pStyle w:val="96"/>
                    <w:rPr>
                      <w:rFonts w:hint="default" w:ascii="Times New Roman" w:hAnsi="Times New Roman" w:eastAsia="宋体" w:cs="Times New Roman"/>
                      <w:b w:val="0"/>
                      <w:bCs w:val="0"/>
                      <w:u w:val="none" w:color="auto"/>
                    </w:rPr>
                  </w:pPr>
                  <w:r>
                    <w:rPr>
                      <w:rFonts w:hint="default" w:ascii="Times New Roman" w:hAnsi="Times New Roman" w:eastAsia="宋体" w:cs="Times New Roman"/>
                      <w:b w:val="0"/>
                      <w:bCs w:val="0"/>
                      <w:u w:val="none" w:color="auto"/>
                    </w:rPr>
                    <w:t>合计</w:t>
                  </w:r>
                </w:p>
              </w:tc>
              <w:tc>
                <w:tcPr>
                  <w:tcW w:w="1492" w:type="dxa"/>
                  <w:tcBorders>
                    <w:tl2br w:val="nil"/>
                    <w:tr2bl w:val="nil"/>
                  </w:tcBorders>
                  <w:noWrap w:val="0"/>
                  <w:vAlign w:val="center"/>
                </w:tcPr>
                <w:p w14:paraId="31493EA4">
                  <w:pPr>
                    <w:pStyle w:val="96"/>
                    <w:rPr>
                      <w:rFonts w:hint="default" w:ascii="Times New Roman" w:hAnsi="Times New Roman" w:eastAsia="宋体" w:cs="Times New Roman"/>
                      <w:b w:val="0"/>
                      <w:bCs w:val="0"/>
                      <w:u w:val="none" w:color="auto"/>
                    </w:rPr>
                  </w:pPr>
                  <w:r>
                    <w:rPr>
                      <w:rFonts w:hint="default" w:ascii="Times New Roman" w:hAnsi="Times New Roman" w:eastAsia="宋体" w:cs="Times New Roman"/>
                      <w:b w:val="0"/>
                      <w:bCs w:val="0"/>
                      <w:u w:val="none" w:color="auto"/>
                    </w:rPr>
                    <w:t>/</w:t>
                  </w:r>
                </w:p>
              </w:tc>
              <w:tc>
                <w:tcPr>
                  <w:tcW w:w="1534" w:type="dxa"/>
                  <w:tcBorders>
                    <w:tl2br w:val="nil"/>
                    <w:tr2bl w:val="nil"/>
                  </w:tcBorders>
                  <w:shd w:val="clear" w:color="auto" w:fill="auto"/>
                  <w:noWrap w:val="0"/>
                  <w:vAlign w:val="center"/>
                </w:tcPr>
                <w:p w14:paraId="3ADC7DAF">
                  <w:pPr>
                    <w:pStyle w:val="96"/>
                    <w:ind w:firstLine="0" w:firstLineChars="0"/>
                    <w:rPr>
                      <w:rFonts w:hint="default"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0.0011</w:t>
                  </w:r>
                </w:p>
              </w:tc>
              <w:tc>
                <w:tcPr>
                  <w:tcW w:w="1298" w:type="dxa"/>
                  <w:tcBorders>
                    <w:tl2br w:val="nil"/>
                    <w:tr2bl w:val="nil"/>
                  </w:tcBorders>
                  <w:noWrap w:val="0"/>
                  <w:vAlign w:val="center"/>
                </w:tcPr>
                <w:p w14:paraId="5599749D">
                  <w:pPr>
                    <w:pStyle w:val="96"/>
                    <w:ind w:firstLine="0" w:firstLineChars="0"/>
                    <w:rPr>
                      <w:rFonts w:hint="default"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0.0775</w:t>
                  </w:r>
                </w:p>
              </w:tc>
            </w:tr>
          </w:tbl>
          <w:p w14:paraId="179DC010">
            <w:pPr>
              <w:tabs>
                <w:tab w:val="left" w:pos="3620"/>
              </w:tabs>
              <w:adjustRightInd w:val="0"/>
              <w:snapToGrid w:val="0"/>
              <w:spacing w:line="440" w:lineRule="exact"/>
              <w:ind w:firstLine="480" w:firstLineChars="200"/>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此外参照类似污水处理站，总臭气混合进口浓度：2000～4000（无量纲）</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w:t>
            </w:r>
          </w:p>
          <w:p w14:paraId="68DA4D57">
            <w:pPr>
              <w:tabs>
                <w:tab w:val="left" w:pos="3620"/>
              </w:tabs>
              <w:adjustRightInd w:val="0"/>
              <w:snapToGrid w:val="0"/>
              <w:spacing w:line="440" w:lineRule="exact"/>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本项目臭气浓度保守按照4000（无量纲）计。</w:t>
            </w:r>
          </w:p>
          <w:p w14:paraId="398FF131">
            <w:pPr>
              <w:tabs>
                <w:tab w:val="left" w:pos="3620"/>
              </w:tabs>
              <w:adjustRightInd w:val="0"/>
              <w:snapToGrid w:val="0"/>
              <w:spacing w:line="440" w:lineRule="exact"/>
              <w:ind w:firstLine="480" w:firstLineChars="200"/>
              <w:rPr>
                <w:rFonts w:hint="eastAsia" w:hAnsi="宋体" w:eastAsia="宋体"/>
                <w:sz w:val="24"/>
                <w:szCs w:val="24"/>
                <w:u w:val="none" w:color="auto"/>
                <w:lang w:val="en-US" w:eastAsia="zh-CN"/>
              </w:rPr>
            </w:pPr>
            <w:r>
              <w:rPr>
                <w:rFonts w:hint="default" w:ascii="Times New Roman" w:hAnsi="Times New Roman" w:eastAsia="宋体" w:cs="Times New Roman"/>
                <w:sz w:val="24"/>
                <w:szCs w:val="24"/>
                <w:u w:val="none" w:color="auto"/>
              </w:rPr>
              <w:t>本项目污水处理站产臭单元进行加盖密闭收集，采用</w:t>
            </w:r>
            <w:r>
              <w:rPr>
                <w:rFonts w:hint="eastAsia" w:cs="Times New Roman"/>
                <w:sz w:val="24"/>
                <w:szCs w:val="24"/>
                <w:u w:val="none" w:color="auto"/>
                <w:lang w:eastAsia="zh-CN"/>
              </w:rPr>
              <w:t>生物除臭池</w:t>
            </w:r>
            <w:r>
              <w:rPr>
                <w:rFonts w:hint="default" w:ascii="Times New Roman" w:hAnsi="Times New Roman" w:eastAsia="宋体" w:cs="Times New Roman"/>
                <w:sz w:val="24"/>
                <w:szCs w:val="24"/>
                <w:u w:val="none" w:color="auto"/>
              </w:rPr>
              <w:t>处理后，经</w:t>
            </w:r>
            <w:r>
              <w:rPr>
                <w:rFonts w:hint="eastAsia" w:cs="Times New Roman"/>
                <w:sz w:val="24"/>
                <w:szCs w:val="24"/>
                <w:u w:val="none" w:color="auto"/>
                <w:lang w:val="en-US" w:eastAsia="zh-CN"/>
              </w:rPr>
              <w:t>一根15m</w:t>
            </w:r>
            <w:r>
              <w:rPr>
                <w:rFonts w:hint="default" w:ascii="Times New Roman" w:hAnsi="Times New Roman" w:eastAsia="宋体" w:cs="Times New Roman"/>
                <w:sz w:val="24"/>
                <w:szCs w:val="24"/>
                <w:u w:val="none" w:color="auto"/>
              </w:rPr>
              <w:t>高排气筒</w:t>
            </w:r>
            <w:r>
              <w:rPr>
                <w:rFonts w:hint="default" w:ascii="Times New Roman" w:hAnsi="Times New Roman" w:eastAsia="宋体" w:cs="Times New Roman"/>
                <w:sz w:val="24"/>
                <w:szCs w:val="24"/>
                <w:u w:val="none" w:color="auto"/>
                <w:lang w:eastAsia="zh-CN"/>
              </w:rPr>
              <w:t>（</w:t>
            </w:r>
            <w:r>
              <w:rPr>
                <w:rFonts w:hint="default" w:ascii="Times New Roman" w:hAnsi="Times New Roman" w:eastAsia="宋体" w:cs="Times New Roman"/>
                <w:sz w:val="24"/>
                <w:szCs w:val="24"/>
                <w:u w:val="none" w:color="auto"/>
              </w:rPr>
              <w:t>DA00</w:t>
            </w:r>
            <w:r>
              <w:rPr>
                <w:rFonts w:hint="eastAsia" w:cs="Times New Roman"/>
                <w:sz w:val="24"/>
                <w:szCs w:val="24"/>
                <w:u w:val="none" w:color="auto"/>
                <w:lang w:val="en-US" w:eastAsia="zh-CN"/>
              </w:rPr>
              <w:t>3</w:t>
            </w:r>
            <w:r>
              <w:rPr>
                <w:rFonts w:hint="default" w:ascii="Times New Roman" w:hAnsi="Times New Roman" w:eastAsia="宋体" w:cs="Times New Roman"/>
                <w:sz w:val="24"/>
                <w:szCs w:val="24"/>
                <w:u w:val="none" w:color="auto"/>
                <w:lang w:eastAsia="zh-CN"/>
              </w:rPr>
              <w:t>）</w:t>
            </w:r>
            <w:r>
              <w:rPr>
                <w:rFonts w:hint="default" w:ascii="Times New Roman" w:hAnsi="Times New Roman" w:eastAsia="宋体" w:cs="Times New Roman"/>
                <w:sz w:val="24"/>
                <w:szCs w:val="24"/>
                <w:u w:val="none" w:color="auto"/>
              </w:rPr>
              <w:t>排放，设计收集效率为</w:t>
            </w:r>
            <w:r>
              <w:rPr>
                <w:rFonts w:hint="default" w:ascii="Times New Roman" w:hAnsi="Times New Roman" w:eastAsia="宋体" w:cs="Times New Roman"/>
                <w:sz w:val="24"/>
                <w:szCs w:val="24"/>
                <w:u w:val="none" w:color="auto"/>
                <w:lang w:val="en-US" w:eastAsia="zh-CN"/>
              </w:rPr>
              <w:t>95</w:t>
            </w:r>
            <w:r>
              <w:rPr>
                <w:rFonts w:hint="default" w:ascii="Times New Roman" w:hAnsi="Times New Roman" w:eastAsia="宋体" w:cs="Times New Roman"/>
                <w:sz w:val="24"/>
                <w:szCs w:val="24"/>
                <w:u w:val="none" w:color="auto"/>
              </w:rPr>
              <w:t>%</w:t>
            </w:r>
            <w:r>
              <w:rPr>
                <w:rFonts w:hint="eastAsia" w:ascii="Times New Roman" w:hAnsi="Times New Roman" w:eastAsia="宋体" w:cs="Times New Roman"/>
                <w:sz w:val="24"/>
                <w:szCs w:val="24"/>
                <w:u w:val="none" w:color="auto"/>
                <w:lang w:eastAsia="zh-CN"/>
              </w:rPr>
              <w:t>，</w:t>
            </w:r>
            <w:r>
              <w:rPr>
                <w:rFonts w:hint="default" w:ascii="Times New Roman" w:hAnsi="Times New Roman" w:eastAsia="宋体" w:cs="Times New Roman"/>
                <w:sz w:val="24"/>
                <w:szCs w:val="24"/>
                <w:u w:val="none" w:color="auto"/>
              </w:rPr>
              <w:t>则有组织NH</w:t>
            </w:r>
            <w:r>
              <w:rPr>
                <w:rFonts w:hint="default" w:ascii="Times New Roman" w:hAnsi="Times New Roman" w:eastAsia="宋体" w:cs="Times New Roman"/>
                <w:sz w:val="24"/>
                <w:szCs w:val="24"/>
                <w:u w:val="none" w:color="auto"/>
                <w:vertAlign w:val="subscript"/>
              </w:rPr>
              <w:t>3</w:t>
            </w:r>
            <w:r>
              <w:rPr>
                <w:rFonts w:hint="default" w:ascii="Times New Roman" w:hAnsi="Times New Roman" w:eastAsia="宋体" w:cs="Times New Roman"/>
                <w:sz w:val="24"/>
                <w:szCs w:val="24"/>
                <w:u w:val="none" w:color="auto"/>
              </w:rPr>
              <w:t>收集量为</w:t>
            </w:r>
            <w:r>
              <w:rPr>
                <w:rFonts w:hint="eastAsia" w:ascii="Times New Roman" w:hAnsi="Times New Roman" w:eastAsia="宋体" w:cs="Times New Roman"/>
                <w:sz w:val="24"/>
                <w:szCs w:val="24"/>
                <w:u w:val="none" w:color="auto"/>
                <w:lang w:val="en-US" w:eastAsia="zh-CN"/>
              </w:rPr>
              <w:t>0.0736</w:t>
            </w:r>
            <w:r>
              <w:rPr>
                <w:rFonts w:hint="default" w:ascii="Times New Roman" w:hAnsi="Times New Roman" w:eastAsia="宋体" w:cs="Times New Roman"/>
                <w:sz w:val="24"/>
                <w:szCs w:val="24"/>
                <w:u w:val="none" w:color="auto"/>
              </w:rPr>
              <w:t>t/a，有组织H</w:t>
            </w:r>
            <w:r>
              <w:rPr>
                <w:rFonts w:hint="default" w:ascii="Times New Roman" w:hAnsi="Times New Roman" w:eastAsia="宋体" w:cs="Times New Roman"/>
                <w:sz w:val="24"/>
                <w:szCs w:val="24"/>
                <w:u w:val="none" w:color="auto"/>
                <w:vertAlign w:val="subscript"/>
              </w:rPr>
              <w:t>2</w:t>
            </w:r>
            <w:r>
              <w:rPr>
                <w:rFonts w:hint="default" w:ascii="Times New Roman" w:hAnsi="Times New Roman" w:eastAsia="宋体" w:cs="Times New Roman"/>
                <w:sz w:val="24"/>
                <w:szCs w:val="24"/>
                <w:u w:val="none" w:color="auto"/>
              </w:rPr>
              <w:t>S收集量为</w:t>
            </w:r>
            <w:r>
              <w:rPr>
                <w:rFonts w:hint="eastAsia" w:ascii="Times New Roman" w:hAnsi="Times New Roman" w:eastAsia="宋体" w:cs="Times New Roman"/>
                <w:sz w:val="24"/>
                <w:szCs w:val="24"/>
                <w:u w:val="none" w:color="auto"/>
                <w:lang w:val="en-US" w:eastAsia="zh-CN"/>
              </w:rPr>
              <w:t>0.001</w:t>
            </w:r>
            <w:r>
              <w:rPr>
                <w:rFonts w:hint="default" w:ascii="Times New Roman" w:hAnsi="Times New Roman" w:eastAsia="宋体" w:cs="Times New Roman"/>
                <w:sz w:val="24"/>
                <w:szCs w:val="24"/>
                <w:u w:val="none" w:color="auto"/>
              </w:rPr>
              <w:t>t/a</w:t>
            </w:r>
            <w:r>
              <w:rPr>
                <w:rFonts w:hint="eastAsia" w:ascii="Times New Roman" w:hAnsi="Times New Roman" w:eastAsia="宋体" w:cs="Times New Roman"/>
                <w:sz w:val="24"/>
                <w:szCs w:val="24"/>
                <w:u w:val="none" w:color="auto"/>
                <w:lang w:eastAsia="zh-CN"/>
              </w:rPr>
              <w:t>，</w:t>
            </w:r>
            <w:r>
              <w:rPr>
                <w:rFonts w:hint="eastAsia" w:ascii="Times New Roman" w:hAnsi="Times New Roman" w:eastAsia="宋体" w:cs="Times New Roman"/>
                <w:sz w:val="24"/>
                <w:szCs w:val="24"/>
                <w:u w:val="none" w:color="auto"/>
                <w:lang w:val="en-US" w:eastAsia="zh-CN"/>
              </w:rPr>
              <w:t>企业年工作7920h，则</w:t>
            </w:r>
            <w:r>
              <w:rPr>
                <w:rFonts w:hint="default" w:ascii="Times New Roman" w:hAnsi="Times New Roman" w:eastAsia="宋体" w:cs="Times New Roman"/>
                <w:sz w:val="24"/>
                <w:szCs w:val="24"/>
                <w:u w:val="none" w:color="auto"/>
              </w:rPr>
              <w:t>有组织NH</w:t>
            </w:r>
            <w:r>
              <w:rPr>
                <w:rFonts w:hint="default" w:ascii="Times New Roman" w:hAnsi="Times New Roman" w:eastAsia="宋体" w:cs="Times New Roman"/>
                <w:sz w:val="24"/>
                <w:szCs w:val="24"/>
                <w:u w:val="none" w:color="auto"/>
                <w:vertAlign w:val="subscript"/>
              </w:rPr>
              <w:t>3</w:t>
            </w:r>
            <w:r>
              <w:rPr>
                <w:rFonts w:hint="eastAsia" w:ascii="Times New Roman" w:hAnsi="Times New Roman" w:eastAsia="宋体" w:cs="Times New Roman"/>
                <w:sz w:val="24"/>
                <w:szCs w:val="24"/>
                <w:u w:val="none" w:color="auto"/>
                <w:vertAlign w:val="baseline"/>
                <w:lang w:val="en-US" w:eastAsia="zh-CN"/>
              </w:rPr>
              <w:t>产生速率为0.0093kg/h、</w:t>
            </w:r>
            <w:r>
              <w:rPr>
                <w:rFonts w:hint="default" w:ascii="Times New Roman" w:hAnsi="Times New Roman" w:eastAsia="宋体" w:cs="Times New Roman"/>
                <w:sz w:val="24"/>
                <w:szCs w:val="24"/>
                <w:u w:val="none" w:color="auto"/>
              </w:rPr>
              <w:t>有组织H</w:t>
            </w:r>
            <w:r>
              <w:rPr>
                <w:rFonts w:hint="default" w:ascii="Times New Roman" w:hAnsi="Times New Roman" w:eastAsia="宋体" w:cs="Times New Roman"/>
                <w:sz w:val="24"/>
                <w:szCs w:val="24"/>
                <w:u w:val="none" w:color="auto"/>
                <w:vertAlign w:val="subscript"/>
              </w:rPr>
              <w:t>2</w:t>
            </w:r>
            <w:r>
              <w:rPr>
                <w:rFonts w:hint="default" w:ascii="Times New Roman" w:hAnsi="Times New Roman" w:eastAsia="宋体" w:cs="Times New Roman"/>
                <w:sz w:val="24"/>
                <w:szCs w:val="24"/>
                <w:u w:val="none" w:color="auto"/>
              </w:rPr>
              <w:t>S</w:t>
            </w:r>
            <w:r>
              <w:rPr>
                <w:rFonts w:hint="eastAsia" w:ascii="Times New Roman" w:hAnsi="Times New Roman" w:eastAsia="宋体" w:cs="Times New Roman"/>
                <w:sz w:val="24"/>
                <w:szCs w:val="24"/>
                <w:u w:val="none" w:color="auto"/>
                <w:lang w:val="en-US" w:eastAsia="zh-CN"/>
              </w:rPr>
              <w:t>产生速率为0.0001</w:t>
            </w:r>
            <w:r>
              <w:rPr>
                <w:rFonts w:hint="eastAsia" w:ascii="Times New Roman" w:hAnsi="Times New Roman" w:eastAsia="宋体" w:cs="Times New Roman"/>
                <w:sz w:val="24"/>
                <w:szCs w:val="24"/>
                <w:u w:val="none" w:color="auto"/>
                <w:vertAlign w:val="baseline"/>
                <w:lang w:val="en-US" w:eastAsia="zh-CN"/>
              </w:rPr>
              <w:t>kg/h。</w:t>
            </w:r>
            <w:r>
              <w:rPr>
                <w:rFonts w:hint="default" w:ascii="Times New Roman" w:hAnsi="Times New Roman" w:eastAsia="宋体" w:cs="Times New Roman"/>
                <w:sz w:val="24"/>
                <w:szCs w:val="24"/>
                <w:u w:val="none" w:color="auto"/>
              </w:rPr>
              <w:t>处理效率90%，并配置</w:t>
            </w:r>
            <w:r>
              <w:rPr>
                <w:rFonts w:hint="eastAsia" w:ascii="Times New Roman" w:hAnsi="Times New Roman" w:eastAsia="宋体" w:cs="Times New Roman"/>
                <w:sz w:val="24"/>
                <w:szCs w:val="24"/>
                <w:u w:val="none" w:color="auto"/>
                <w:lang w:val="en-US" w:eastAsia="zh-CN"/>
              </w:rPr>
              <w:t>5</w:t>
            </w:r>
            <w:r>
              <w:rPr>
                <w:rFonts w:hint="default" w:ascii="Times New Roman" w:hAnsi="Times New Roman" w:eastAsia="宋体" w:cs="Times New Roman"/>
                <w:sz w:val="24"/>
                <w:szCs w:val="24"/>
                <w:u w:val="none" w:color="auto"/>
              </w:rPr>
              <w:t>000m</w:t>
            </w:r>
            <w:r>
              <w:rPr>
                <w:rFonts w:hint="default" w:ascii="Times New Roman" w:hAnsi="Times New Roman" w:eastAsia="宋体" w:cs="Times New Roman"/>
                <w:sz w:val="24"/>
                <w:szCs w:val="24"/>
                <w:u w:val="none" w:color="auto"/>
                <w:vertAlign w:val="superscript"/>
              </w:rPr>
              <w:t>3</w:t>
            </w:r>
            <w:r>
              <w:rPr>
                <w:rFonts w:hint="default" w:ascii="Times New Roman" w:hAnsi="Times New Roman" w:eastAsia="宋体" w:cs="Times New Roman"/>
                <w:sz w:val="24"/>
                <w:szCs w:val="24"/>
                <w:u w:val="none" w:color="auto"/>
              </w:rPr>
              <w:t>/h风机</w:t>
            </w:r>
            <w:r>
              <w:rPr>
                <w:rFonts w:hint="eastAsia" w:cs="Times New Roman"/>
                <w:sz w:val="24"/>
                <w:szCs w:val="24"/>
                <w:u w:val="none" w:color="auto"/>
                <w:lang w:eastAsia="zh-CN"/>
              </w:rPr>
              <w:t>。</w:t>
            </w:r>
          </w:p>
          <w:p w14:paraId="0F4CD799">
            <w:pPr>
              <w:tabs>
                <w:tab w:val="left" w:pos="3620"/>
              </w:tabs>
              <w:adjustRightInd w:val="0"/>
              <w:snapToGrid w:val="0"/>
              <w:spacing w:line="440" w:lineRule="exact"/>
              <w:ind w:firstLine="480" w:firstLineChars="200"/>
              <w:rPr>
                <w:rFonts w:hint="eastAsia" w:hAnsi="宋体"/>
                <w:sz w:val="24"/>
                <w:szCs w:val="24"/>
                <w:u w:val="none" w:color="auto"/>
                <w:lang w:val="en-US" w:eastAsia="zh-CN"/>
              </w:rPr>
            </w:pPr>
            <w:r>
              <w:rPr>
                <w:rFonts w:hint="eastAsia" w:hAnsi="宋体"/>
                <w:sz w:val="24"/>
                <w:szCs w:val="24"/>
                <w:u w:val="none" w:color="auto"/>
                <w:lang w:val="en-US" w:eastAsia="zh-CN"/>
              </w:rPr>
              <w:t>本项目废气产排情况见下表。</w:t>
            </w:r>
          </w:p>
          <w:p w14:paraId="7AF653D2">
            <w:pPr>
              <w:tabs>
                <w:tab w:val="left" w:pos="3620"/>
              </w:tabs>
              <w:adjustRightInd w:val="0"/>
              <w:snapToGrid w:val="0"/>
              <w:spacing w:line="440" w:lineRule="exact"/>
              <w:ind w:firstLine="482" w:firstLineChars="200"/>
              <w:jc w:val="center"/>
              <w:rPr>
                <w:rFonts w:hint="default" w:hAnsi="宋体"/>
                <w:b/>
                <w:bCs/>
                <w:sz w:val="24"/>
                <w:szCs w:val="24"/>
                <w:u w:val="none" w:color="auto"/>
                <w:lang w:val="en-US" w:eastAsia="zh-CN"/>
              </w:rPr>
            </w:pPr>
            <w:r>
              <w:rPr>
                <w:rFonts w:hint="default" w:hAnsi="宋体"/>
                <w:b/>
                <w:bCs/>
                <w:sz w:val="24"/>
                <w:szCs w:val="24"/>
                <w:u w:val="none" w:color="auto"/>
                <w:lang w:val="en-US" w:eastAsia="zh-CN"/>
              </w:rPr>
              <w:t>表4-</w:t>
            </w:r>
            <w:r>
              <w:rPr>
                <w:rFonts w:hint="eastAsia" w:hAnsi="宋体"/>
                <w:b/>
                <w:bCs/>
                <w:sz w:val="24"/>
                <w:szCs w:val="24"/>
                <w:u w:val="none" w:color="auto"/>
                <w:lang w:val="en-US" w:eastAsia="zh-CN"/>
              </w:rPr>
              <w:t>3</w:t>
            </w:r>
            <w:r>
              <w:rPr>
                <w:rFonts w:hint="default" w:hAnsi="宋体"/>
                <w:b/>
                <w:bCs/>
                <w:sz w:val="24"/>
                <w:szCs w:val="24"/>
                <w:u w:val="none" w:color="auto"/>
                <w:lang w:val="en-US" w:eastAsia="zh-CN"/>
              </w:rPr>
              <w:t xml:space="preserve">  项目废气产排情况一览表</w:t>
            </w:r>
          </w:p>
          <w:tbl>
            <w:tblPr>
              <w:tblStyle w:val="32"/>
              <w:tblW w:w="7934" w:type="dxa"/>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721"/>
              <w:gridCol w:w="635"/>
              <w:gridCol w:w="849"/>
              <w:gridCol w:w="1003"/>
              <w:gridCol w:w="813"/>
              <w:gridCol w:w="703"/>
              <w:gridCol w:w="714"/>
              <w:gridCol w:w="529"/>
              <w:gridCol w:w="655"/>
              <w:gridCol w:w="562"/>
            </w:tblGrid>
            <w:tr w14:paraId="34545CA5">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817" w:hRule="atLeast"/>
                <w:jc w:val="center"/>
              </w:trPr>
              <w:tc>
                <w:tcPr>
                  <w:tcW w:w="472" w:type="pct"/>
                  <w:tcBorders>
                    <w:bottom w:val="single" w:color="000000" w:sz="8" w:space="0"/>
                    <w:tl2br w:val="nil"/>
                    <w:tr2bl w:val="nil"/>
                  </w:tcBorders>
                  <w:noWrap w:val="0"/>
                  <w:vAlign w:val="center"/>
                </w:tcPr>
                <w:p w14:paraId="0DD9F0B4">
                  <w:pPr>
                    <w:widowControl/>
                    <w:jc w:val="center"/>
                    <w:rPr>
                      <w:rFonts w:hint="eastAsia" w:eastAsia="宋体"/>
                      <w:b/>
                      <w:bCs/>
                      <w:color w:val="auto"/>
                      <w:kern w:val="2"/>
                      <w:sz w:val="21"/>
                      <w:szCs w:val="21"/>
                      <w:u w:val="none" w:color="auto"/>
                      <w:lang w:val="en-US" w:eastAsia="zh-CN"/>
                    </w:rPr>
                  </w:pPr>
                  <w:r>
                    <w:rPr>
                      <w:b/>
                      <w:bCs/>
                      <w:color w:val="auto"/>
                      <w:kern w:val="2"/>
                      <w:sz w:val="21"/>
                      <w:szCs w:val="21"/>
                      <w:u w:val="none" w:color="auto"/>
                    </w:rPr>
                    <w:t>工序</w:t>
                  </w:r>
                </w:p>
              </w:tc>
              <w:tc>
                <w:tcPr>
                  <w:tcW w:w="454" w:type="pct"/>
                  <w:tcBorders>
                    <w:bottom w:val="single" w:color="000000" w:sz="8" w:space="0"/>
                    <w:tl2br w:val="nil"/>
                    <w:tr2bl w:val="nil"/>
                  </w:tcBorders>
                  <w:noWrap w:val="0"/>
                  <w:vAlign w:val="center"/>
                </w:tcPr>
                <w:p w14:paraId="78974974">
                  <w:pPr>
                    <w:widowControl/>
                    <w:jc w:val="center"/>
                    <w:rPr>
                      <w:b/>
                      <w:bCs/>
                      <w:color w:val="auto"/>
                      <w:kern w:val="2"/>
                      <w:sz w:val="21"/>
                      <w:szCs w:val="21"/>
                      <w:u w:val="none" w:color="auto"/>
                    </w:rPr>
                  </w:pPr>
                  <w:r>
                    <w:rPr>
                      <w:b/>
                      <w:bCs/>
                      <w:color w:val="auto"/>
                      <w:kern w:val="2"/>
                      <w:sz w:val="21"/>
                      <w:szCs w:val="21"/>
                      <w:u w:val="none" w:color="auto"/>
                    </w:rPr>
                    <w:t>污染物</w:t>
                  </w:r>
                </w:p>
              </w:tc>
              <w:tc>
                <w:tcPr>
                  <w:tcW w:w="400" w:type="pct"/>
                  <w:tcBorders>
                    <w:bottom w:val="single" w:color="000000" w:sz="8" w:space="0"/>
                    <w:tl2br w:val="nil"/>
                    <w:tr2bl w:val="nil"/>
                  </w:tcBorders>
                  <w:noWrap w:val="0"/>
                  <w:vAlign w:val="center"/>
                </w:tcPr>
                <w:p w14:paraId="16F1476C">
                  <w:pPr>
                    <w:widowControl/>
                    <w:jc w:val="center"/>
                    <w:rPr>
                      <w:rFonts w:hint="default" w:eastAsia="宋体"/>
                      <w:b/>
                      <w:bCs/>
                      <w:color w:val="auto"/>
                      <w:kern w:val="2"/>
                      <w:sz w:val="21"/>
                      <w:szCs w:val="21"/>
                      <w:u w:val="none" w:color="auto"/>
                      <w:lang w:val="en-US" w:eastAsia="zh-CN"/>
                    </w:rPr>
                  </w:pPr>
                  <w:r>
                    <w:rPr>
                      <w:rFonts w:hint="eastAsia"/>
                      <w:b/>
                      <w:bCs/>
                      <w:color w:val="auto"/>
                      <w:kern w:val="2"/>
                      <w:sz w:val="21"/>
                      <w:szCs w:val="21"/>
                      <w:u w:val="none" w:color="auto"/>
                      <w:lang w:val="en-US" w:eastAsia="zh-CN"/>
                    </w:rPr>
                    <w:t>有组织收集量/</w:t>
                  </w:r>
                  <w:r>
                    <w:rPr>
                      <w:b/>
                      <w:bCs/>
                      <w:color w:val="auto"/>
                      <w:kern w:val="2"/>
                      <w:sz w:val="21"/>
                      <w:szCs w:val="21"/>
                      <w:u w:val="none" w:color="auto"/>
                    </w:rPr>
                    <w:t>t/a</w:t>
                  </w:r>
                </w:p>
              </w:tc>
              <w:tc>
                <w:tcPr>
                  <w:tcW w:w="535" w:type="pct"/>
                  <w:tcBorders>
                    <w:bottom w:val="single" w:color="000000" w:sz="8" w:space="0"/>
                    <w:tl2br w:val="nil"/>
                    <w:tr2bl w:val="nil"/>
                  </w:tcBorders>
                  <w:shd w:val="clear" w:color="auto" w:fill="auto"/>
                  <w:noWrap w:val="0"/>
                  <w:vAlign w:val="center"/>
                </w:tcPr>
                <w:p w14:paraId="4ED9EF9C">
                  <w:pPr>
                    <w:widowControl/>
                    <w:jc w:val="center"/>
                    <w:rPr>
                      <w:rFonts w:hint="default"/>
                      <w:b/>
                      <w:bCs/>
                      <w:color w:val="auto"/>
                      <w:kern w:val="2"/>
                      <w:sz w:val="21"/>
                      <w:szCs w:val="21"/>
                      <w:u w:val="none" w:color="auto"/>
                      <w:lang w:val="en-US" w:eastAsia="zh-CN"/>
                    </w:rPr>
                  </w:pPr>
                  <w:r>
                    <w:rPr>
                      <w:rFonts w:hint="eastAsia"/>
                      <w:b/>
                      <w:bCs/>
                      <w:color w:val="auto"/>
                      <w:kern w:val="2"/>
                      <w:sz w:val="21"/>
                      <w:szCs w:val="21"/>
                      <w:u w:val="none" w:color="auto"/>
                      <w:lang w:val="en-US" w:eastAsia="zh-CN"/>
                    </w:rPr>
                    <w:t>产生速率/kg/h</w:t>
                  </w:r>
                </w:p>
              </w:tc>
              <w:tc>
                <w:tcPr>
                  <w:tcW w:w="632" w:type="pct"/>
                  <w:tcBorders>
                    <w:bottom w:val="single" w:color="000000" w:sz="8" w:space="0"/>
                    <w:tl2br w:val="nil"/>
                    <w:tr2bl w:val="nil"/>
                  </w:tcBorders>
                  <w:shd w:val="clear" w:color="auto" w:fill="auto"/>
                  <w:noWrap w:val="0"/>
                  <w:vAlign w:val="center"/>
                </w:tcPr>
                <w:p w14:paraId="30A3D5A5">
                  <w:pPr>
                    <w:widowControl/>
                    <w:jc w:val="center"/>
                    <w:rPr>
                      <w:rFonts w:ascii="Times New Roman" w:hAnsi="Times New Roman" w:eastAsia="宋体" w:cs="Times New Roman"/>
                      <w:b/>
                      <w:bCs/>
                      <w:color w:val="auto"/>
                      <w:kern w:val="2"/>
                      <w:sz w:val="21"/>
                      <w:szCs w:val="21"/>
                      <w:u w:val="none" w:color="auto"/>
                      <w:lang w:val="en-US" w:eastAsia="zh-CN" w:bidi="ar-SA"/>
                    </w:rPr>
                  </w:pPr>
                  <w:r>
                    <w:rPr>
                      <w:b/>
                      <w:bCs/>
                      <w:color w:val="auto"/>
                      <w:kern w:val="2"/>
                      <w:sz w:val="21"/>
                      <w:szCs w:val="21"/>
                      <w:u w:val="none" w:color="auto"/>
                    </w:rPr>
                    <w:t>处理措施</w:t>
                  </w:r>
                </w:p>
              </w:tc>
              <w:tc>
                <w:tcPr>
                  <w:tcW w:w="512" w:type="pct"/>
                  <w:tcBorders>
                    <w:bottom w:val="single" w:color="000000" w:sz="8" w:space="0"/>
                    <w:tl2br w:val="nil"/>
                    <w:tr2bl w:val="nil"/>
                  </w:tcBorders>
                  <w:noWrap w:val="0"/>
                  <w:vAlign w:val="center"/>
                </w:tcPr>
                <w:p w14:paraId="3BFEF545">
                  <w:pPr>
                    <w:widowControl/>
                    <w:jc w:val="center"/>
                    <w:rPr>
                      <w:rFonts w:hint="eastAsia" w:eastAsia="宋体"/>
                      <w:b/>
                      <w:bCs/>
                      <w:color w:val="auto"/>
                      <w:kern w:val="2"/>
                      <w:sz w:val="21"/>
                      <w:szCs w:val="21"/>
                      <w:u w:val="none" w:color="auto"/>
                      <w:lang w:eastAsia="zh-CN"/>
                    </w:rPr>
                  </w:pPr>
                  <w:r>
                    <w:rPr>
                      <w:rFonts w:hint="eastAsia"/>
                      <w:b/>
                      <w:bCs/>
                      <w:color w:val="auto"/>
                      <w:kern w:val="2"/>
                      <w:sz w:val="21"/>
                      <w:szCs w:val="21"/>
                      <w:u w:val="none" w:color="auto"/>
                      <w:lang w:eastAsia="zh-CN"/>
                    </w:rPr>
                    <w:t>处理效率</w:t>
                  </w:r>
                </w:p>
              </w:tc>
              <w:tc>
                <w:tcPr>
                  <w:tcW w:w="443" w:type="pct"/>
                  <w:tcBorders>
                    <w:bottom w:val="single" w:color="000000" w:sz="8" w:space="0"/>
                    <w:tl2br w:val="nil"/>
                    <w:tr2bl w:val="nil"/>
                  </w:tcBorders>
                  <w:noWrap w:val="0"/>
                  <w:vAlign w:val="center"/>
                </w:tcPr>
                <w:p w14:paraId="181F614F">
                  <w:pPr>
                    <w:widowControl/>
                    <w:jc w:val="center"/>
                    <w:rPr>
                      <w:rFonts w:hint="eastAsia"/>
                      <w:b/>
                      <w:bCs/>
                      <w:color w:val="auto"/>
                      <w:kern w:val="2"/>
                      <w:sz w:val="21"/>
                      <w:szCs w:val="21"/>
                      <w:u w:val="none" w:color="auto"/>
                    </w:rPr>
                  </w:pPr>
                  <w:r>
                    <w:rPr>
                      <w:b/>
                      <w:bCs/>
                      <w:color w:val="auto"/>
                      <w:kern w:val="2"/>
                      <w:sz w:val="21"/>
                      <w:szCs w:val="21"/>
                      <w:u w:val="none" w:color="auto"/>
                    </w:rPr>
                    <w:t>排放量</w:t>
                  </w:r>
                  <w:r>
                    <w:rPr>
                      <w:rFonts w:hint="eastAsia"/>
                      <w:b/>
                      <w:bCs/>
                      <w:color w:val="auto"/>
                      <w:kern w:val="2"/>
                      <w:sz w:val="21"/>
                      <w:szCs w:val="21"/>
                      <w:u w:val="none" w:color="auto"/>
                      <w:lang w:val="en-US" w:eastAsia="zh-CN"/>
                    </w:rPr>
                    <w:t>/</w:t>
                  </w:r>
                  <w:r>
                    <w:rPr>
                      <w:b/>
                      <w:bCs/>
                      <w:color w:val="auto"/>
                      <w:kern w:val="2"/>
                      <w:sz w:val="21"/>
                      <w:szCs w:val="21"/>
                      <w:u w:val="none" w:color="auto"/>
                    </w:rPr>
                    <w:t>t/a</w:t>
                  </w:r>
                </w:p>
              </w:tc>
              <w:tc>
                <w:tcPr>
                  <w:tcW w:w="449" w:type="pct"/>
                  <w:tcBorders>
                    <w:bottom w:val="single" w:color="000000" w:sz="8" w:space="0"/>
                    <w:tl2br w:val="nil"/>
                    <w:tr2bl w:val="nil"/>
                  </w:tcBorders>
                  <w:noWrap w:val="0"/>
                  <w:vAlign w:val="center"/>
                </w:tcPr>
                <w:p w14:paraId="3A58A192">
                  <w:pPr>
                    <w:widowControl/>
                    <w:jc w:val="center"/>
                    <w:rPr>
                      <w:rFonts w:hint="default" w:eastAsia="宋体"/>
                      <w:b/>
                      <w:bCs/>
                      <w:color w:val="auto"/>
                      <w:kern w:val="2"/>
                      <w:sz w:val="21"/>
                      <w:szCs w:val="21"/>
                      <w:u w:val="none" w:color="auto"/>
                      <w:lang w:val="en-US" w:eastAsia="zh-CN"/>
                    </w:rPr>
                  </w:pPr>
                  <w:r>
                    <w:rPr>
                      <w:rFonts w:hint="eastAsia"/>
                      <w:b/>
                      <w:bCs/>
                      <w:color w:val="auto"/>
                      <w:kern w:val="2"/>
                      <w:sz w:val="21"/>
                      <w:szCs w:val="21"/>
                      <w:u w:val="none" w:color="auto"/>
                      <w:lang w:val="en-US" w:eastAsia="zh-CN"/>
                    </w:rPr>
                    <w:t>年工作时间/h</w:t>
                  </w:r>
                </w:p>
              </w:tc>
              <w:tc>
                <w:tcPr>
                  <w:tcW w:w="333" w:type="pct"/>
                  <w:tcBorders>
                    <w:bottom w:val="single" w:color="000000" w:sz="8" w:space="0"/>
                    <w:tl2br w:val="nil"/>
                    <w:tr2bl w:val="nil"/>
                  </w:tcBorders>
                  <w:noWrap w:val="0"/>
                  <w:vAlign w:val="center"/>
                </w:tcPr>
                <w:p w14:paraId="15F3F34F">
                  <w:pPr>
                    <w:widowControl/>
                    <w:jc w:val="center"/>
                    <w:rPr>
                      <w:rFonts w:hint="eastAsia"/>
                      <w:b/>
                      <w:bCs/>
                      <w:color w:val="auto"/>
                      <w:kern w:val="2"/>
                      <w:sz w:val="21"/>
                      <w:szCs w:val="21"/>
                      <w:u w:val="none" w:color="auto"/>
                    </w:rPr>
                  </w:pPr>
                  <w:r>
                    <w:rPr>
                      <w:rFonts w:hint="eastAsia"/>
                      <w:b/>
                      <w:bCs/>
                      <w:color w:val="auto"/>
                      <w:kern w:val="2"/>
                      <w:sz w:val="21"/>
                      <w:szCs w:val="21"/>
                      <w:u w:val="none" w:color="auto"/>
                    </w:rPr>
                    <w:t>排放速率</w:t>
                  </w:r>
                  <w:r>
                    <w:rPr>
                      <w:rFonts w:hint="eastAsia"/>
                      <w:b/>
                      <w:bCs/>
                      <w:color w:val="auto"/>
                      <w:kern w:val="2"/>
                      <w:sz w:val="21"/>
                      <w:szCs w:val="21"/>
                      <w:u w:val="none" w:color="auto"/>
                      <w:lang w:val="en-US" w:eastAsia="zh-CN"/>
                    </w:rPr>
                    <w:t>/</w:t>
                  </w:r>
                  <w:r>
                    <w:rPr>
                      <w:rFonts w:hint="eastAsia"/>
                      <w:b/>
                      <w:bCs/>
                      <w:color w:val="auto"/>
                      <w:kern w:val="2"/>
                      <w:sz w:val="21"/>
                      <w:szCs w:val="21"/>
                      <w:u w:val="none" w:color="auto"/>
                    </w:rPr>
                    <w:t>kg/h</w:t>
                  </w:r>
                </w:p>
              </w:tc>
              <w:tc>
                <w:tcPr>
                  <w:tcW w:w="412" w:type="pct"/>
                  <w:tcBorders>
                    <w:bottom w:val="single" w:color="000000" w:sz="8" w:space="0"/>
                    <w:tl2br w:val="nil"/>
                    <w:tr2bl w:val="nil"/>
                  </w:tcBorders>
                  <w:noWrap w:val="0"/>
                  <w:vAlign w:val="center"/>
                </w:tcPr>
                <w:p w14:paraId="79941DB9">
                  <w:pPr>
                    <w:widowControl/>
                    <w:jc w:val="center"/>
                    <w:rPr>
                      <w:rFonts w:hint="eastAsia"/>
                      <w:b/>
                      <w:bCs/>
                      <w:color w:val="auto"/>
                      <w:kern w:val="2"/>
                      <w:sz w:val="21"/>
                      <w:szCs w:val="21"/>
                      <w:u w:val="none" w:color="auto"/>
                    </w:rPr>
                  </w:pPr>
                  <w:r>
                    <w:rPr>
                      <w:rFonts w:hint="eastAsia"/>
                      <w:b/>
                      <w:bCs/>
                      <w:color w:val="auto"/>
                      <w:kern w:val="2"/>
                      <w:sz w:val="21"/>
                      <w:szCs w:val="21"/>
                      <w:u w:val="none" w:color="auto"/>
                    </w:rPr>
                    <w:t>排气筒风机风量</w:t>
                  </w:r>
                  <w:r>
                    <w:rPr>
                      <w:rFonts w:hint="eastAsia"/>
                      <w:b/>
                      <w:bCs/>
                      <w:color w:val="auto"/>
                      <w:kern w:val="2"/>
                      <w:sz w:val="21"/>
                      <w:szCs w:val="21"/>
                      <w:u w:val="none" w:color="auto"/>
                      <w:lang w:val="en-US" w:eastAsia="zh-CN"/>
                    </w:rPr>
                    <w:t>/</w:t>
                  </w:r>
                  <w:r>
                    <w:rPr>
                      <w:rFonts w:hint="eastAsia"/>
                      <w:b/>
                      <w:bCs/>
                      <w:color w:val="auto"/>
                      <w:kern w:val="2"/>
                      <w:sz w:val="21"/>
                      <w:szCs w:val="21"/>
                      <w:u w:val="none" w:color="auto"/>
                    </w:rPr>
                    <w:t>m</w:t>
                  </w:r>
                  <w:r>
                    <w:rPr>
                      <w:rFonts w:hint="eastAsia"/>
                      <w:b/>
                      <w:bCs/>
                      <w:color w:val="auto"/>
                      <w:kern w:val="2"/>
                      <w:sz w:val="21"/>
                      <w:szCs w:val="21"/>
                      <w:u w:val="none" w:color="auto"/>
                      <w:vertAlign w:val="superscript"/>
                    </w:rPr>
                    <w:t>3</w:t>
                  </w:r>
                  <w:r>
                    <w:rPr>
                      <w:rFonts w:hint="eastAsia"/>
                      <w:b/>
                      <w:bCs/>
                      <w:color w:val="auto"/>
                      <w:kern w:val="2"/>
                      <w:sz w:val="21"/>
                      <w:szCs w:val="21"/>
                      <w:u w:val="none" w:color="auto"/>
                    </w:rPr>
                    <w:t>/h</w:t>
                  </w:r>
                </w:p>
              </w:tc>
              <w:tc>
                <w:tcPr>
                  <w:tcW w:w="354" w:type="pct"/>
                  <w:tcBorders>
                    <w:bottom w:val="single" w:color="000000" w:sz="8" w:space="0"/>
                    <w:tl2br w:val="nil"/>
                    <w:tr2bl w:val="nil"/>
                  </w:tcBorders>
                  <w:noWrap w:val="0"/>
                  <w:vAlign w:val="center"/>
                </w:tcPr>
                <w:p w14:paraId="17369F38">
                  <w:pPr>
                    <w:widowControl/>
                    <w:jc w:val="center"/>
                    <w:rPr>
                      <w:rFonts w:hint="eastAsia"/>
                      <w:b/>
                      <w:bCs/>
                      <w:color w:val="auto"/>
                      <w:kern w:val="2"/>
                      <w:sz w:val="21"/>
                      <w:szCs w:val="21"/>
                      <w:u w:val="none" w:color="auto"/>
                    </w:rPr>
                  </w:pPr>
                  <w:r>
                    <w:rPr>
                      <w:b/>
                      <w:bCs/>
                      <w:color w:val="auto"/>
                      <w:kern w:val="2"/>
                      <w:sz w:val="21"/>
                      <w:szCs w:val="21"/>
                      <w:u w:val="none" w:color="auto"/>
                    </w:rPr>
                    <w:t>排放浓度</w:t>
                  </w:r>
                  <w:r>
                    <w:rPr>
                      <w:rFonts w:hint="eastAsia"/>
                      <w:b/>
                      <w:bCs/>
                      <w:color w:val="auto"/>
                      <w:kern w:val="2"/>
                      <w:sz w:val="21"/>
                      <w:szCs w:val="21"/>
                      <w:u w:val="none" w:color="auto"/>
                      <w:lang w:val="en-US" w:eastAsia="zh-CN"/>
                    </w:rPr>
                    <w:t>/</w:t>
                  </w:r>
                  <w:r>
                    <w:rPr>
                      <w:b/>
                      <w:bCs/>
                      <w:color w:val="auto"/>
                      <w:kern w:val="2"/>
                      <w:sz w:val="21"/>
                      <w:szCs w:val="21"/>
                      <w:u w:val="none" w:color="auto"/>
                    </w:rPr>
                    <w:t>mg/m</w:t>
                  </w:r>
                  <w:r>
                    <w:rPr>
                      <w:b/>
                      <w:bCs/>
                      <w:color w:val="auto"/>
                      <w:kern w:val="2"/>
                      <w:sz w:val="21"/>
                      <w:szCs w:val="21"/>
                      <w:u w:val="none" w:color="auto"/>
                      <w:vertAlign w:val="superscript"/>
                    </w:rPr>
                    <w:t>3</w:t>
                  </w:r>
                </w:p>
              </w:tc>
            </w:tr>
            <w:tr w14:paraId="0FE81F0A">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13" w:hRule="atLeast"/>
                <w:jc w:val="center"/>
              </w:trPr>
              <w:tc>
                <w:tcPr>
                  <w:tcW w:w="472" w:type="pct"/>
                  <w:tcBorders>
                    <w:top w:val="single" w:color="000000" w:sz="8" w:space="0"/>
                    <w:bottom w:val="single" w:color="000000" w:sz="4" w:space="0"/>
                  </w:tcBorders>
                  <w:noWrap w:val="0"/>
                  <w:vAlign w:val="center"/>
                </w:tcPr>
                <w:p w14:paraId="5B65D24D">
                  <w:pPr>
                    <w:widowControl/>
                    <w:jc w:val="center"/>
                    <w:rPr>
                      <w:rFonts w:hint="default" w:eastAsia="宋体"/>
                      <w:b w:val="0"/>
                      <w:bCs w:val="0"/>
                      <w:color w:val="auto"/>
                      <w:kern w:val="2"/>
                      <w:sz w:val="21"/>
                      <w:szCs w:val="21"/>
                      <w:u w:val="none" w:color="auto"/>
                      <w:lang w:val="en-US" w:eastAsia="zh-CN"/>
                    </w:rPr>
                  </w:pPr>
                  <w:r>
                    <w:rPr>
                      <w:rFonts w:hint="eastAsia" w:ascii="Times New Roman" w:cs="Times New Roman"/>
                      <w:b w:val="0"/>
                      <w:bCs/>
                      <w:color w:val="auto"/>
                      <w:u w:val="none" w:color="auto"/>
                      <w:lang w:val="en-US" w:eastAsia="zh-CN"/>
                    </w:rPr>
                    <w:t>注液</w:t>
                  </w:r>
                </w:p>
              </w:tc>
              <w:tc>
                <w:tcPr>
                  <w:tcW w:w="454" w:type="pct"/>
                  <w:tcBorders>
                    <w:top w:val="single" w:color="000000" w:sz="8" w:space="0"/>
                    <w:bottom w:val="single" w:color="000000" w:sz="4" w:space="0"/>
                  </w:tcBorders>
                  <w:noWrap w:val="0"/>
                  <w:vAlign w:val="center"/>
                </w:tcPr>
                <w:p w14:paraId="0AF2DC14">
                  <w:pPr>
                    <w:widowControl/>
                    <w:jc w:val="center"/>
                    <w:rPr>
                      <w:rFonts w:hint="eastAsia" w:eastAsia="宋体"/>
                      <w:b w:val="0"/>
                      <w:bCs w:val="0"/>
                      <w:color w:val="auto"/>
                      <w:kern w:val="2"/>
                      <w:sz w:val="21"/>
                      <w:szCs w:val="21"/>
                      <w:u w:val="none" w:color="auto"/>
                      <w:lang w:eastAsia="zh-CN"/>
                    </w:rPr>
                  </w:pPr>
                  <w:r>
                    <w:rPr>
                      <w:rFonts w:hint="eastAsia" w:eastAsia="宋体"/>
                      <w:b w:val="0"/>
                      <w:bCs w:val="0"/>
                      <w:color w:val="auto"/>
                      <w:kern w:val="2"/>
                      <w:sz w:val="21"/>
                      <w:szCs w:val="21"/>
                      <w:u w:val="none" w:color="auto"/>
                      <w:lang w:val="en-US" w:eastAsia="zh-CN"/>
                    </w:rPr>
                    <w:t>非甲烷总烃</w:t>
                  </w:r>
                </w:p>
              </w:tc>
              <w:tc>
                <w:tcPr>
                  <w:tcW w:w="400" w:type="pct"/>
                  <w:tcBorders>
                    <w:top w:val="single" w:color="000000" w:sz="8" w:space="0"/>
                    <w:bottom w:val="single" w:color="000000" w:sz="4" w:space="0"/>
                  </w:tcBorders>
                  <w:noWrap w:val="0"/>
                  <w:vAlign w:val="center"/>
                </w:tcPr>
                <w:p w14:paraId="1C6BA127">
                  <w:pPr>
                    <w:widowControl/>
                    <w:jc w:val="center"/>
                    <w:rPr>
                      <w:rFonts w:hint="default" w:eastAsia="宋体"/>
                      <w:b w:val="0"/>
                      <w:bCs w:val="0"/>
                      <w:color w:val="auto"/>
                      <w:kern w:val="2"/>
                      <w:sz w:val="21"/>
                      <w:szCs w:val="21"/>
                      <w:u w:val="none" w:color="auto"/>
                      <w:lang w:val="en-US" w:eastAsia="zh-CN"/>
                    </w:rPr>
                  </w:pPr>
                  <w:r>
                    <w:rPr>
                      <w:rFonts w:hint="eastAsia" w:eastAsia="宋体"/>
                      <w:b w:val="0"/>
                      <w:bCs w:val="0"/>
                      <w:color w:val="auto"/>
                      <w:kern w:val="2"/>
                      <w:sz w:val="21"/>
                      <w:szCs w:val="21"/>
                      <w:u w:val="none" w:color="auto"/>
                      <w:lang w:val="en-US" w:eastAsia="zh-CN"/>
                    </w:rPr>
                    <w:t>4.46</w:t>
                  </w:r>
                </w:p>
              </w:tc>
              <w:tc>
                <w:tcPr>
                  <w:tcW w:w="535" w:type="pct"/>
                  <w:tcBorders>
                    <w:top w:val="single" w:color="000000" w:sz="8" w:space="0"/>
                    <w:bottom w:val="single" w:color="000000" w:sz="4" w:space="0"/>
                  </w:tcBorders>
                  <w:shd w:val="clear" w:color="auto" w:fill="auto"/>
                  <w:noWrap w:val="0"/>
                  <w:vAlign w:val="center"/>
                </w:tcPr>
                <w:p w14:paraId="5C22FEC2">
                  <w:pPr>
                    <w:widowControl/>
                    <w:jc w:val="center"/>
                    <w:rPr>
                      <w:rFonts w:hint="default" w:eastAsia="宋体"/>
                      <w:b w:val="0"/>
                      <w:bCs w:val="0"/>
                      <w:color w:val="auto"/>
                      <w:kern w:val="2"/>
                      <w:sz w:val="21"/>
                      <w:szCs w:val="21"/>
                      <w:u w:val="none" w:color="auto"/>
                      <w:lang w:val="en-US" w:eastAsia="zh-CN"/>
                    </w:rPr>
                  </w:pPr>
                  <w:r>
                    <w:rPr>
                      <w:rFonts w:hint="eastAsia"/>
                      <w:b w:val="0"/>
                      <w:bCs w:val="0"/>
                      <w:color w:val="auto"/>
                      <w:kern w:val="2"/>
                      <w:sz w:val="21"/>
                      <w:szCs w:val="21"/>
                      <w:u w:val="none" w:color="auto"/>
                      <w:lang w:val="en-US" w:eastAsia="zh-CN"/>
                    </w:rPr>
                    <w:t>0.563</w:t>
                  </w:r>
                </w:p>
              </w:tc>
              <w:tc>
                <w:tcPr>
                  <w:tcW w:w="632" w:type="pct"/>
                  <w:tcBorders>
                    <w:top w:val="single" w:color="000000" w:sz="8" w:space="0"/>
                    <w:bottom w:val="single" w:color="000000" w:sz="4" w:space="0"/>
                  </w:tcBorders>
                  <w:shd w:val="clear" w:color="auto" w:fill="auto"/>
                  <w:noWrap w:val="0"/>
                  <w:vAlign w:val="center"/>
                </w:tcPr>
                <w:p w14:paraId="5C9DF9D3">
                  <w:pPr>
                    <w:widowControl/>
                    <w:jc w:val="center"/>
                    <w:rPr>
                      <w:rFonts w:hint="eastAsia" w:ascii="Times New Roman" w:hAnsi="Times New Roman" w:eastAsia="宋体" w:cs="Times New Roman"/>
                      <w:b w:val="0"/>
                      <w:bCs w:val="0"/>
                      <w:color w:val="auto"/>
                      <w:kern w:val="2"/>
                      <w:sz w:val="21"/>
                      <w:szCs w:val="21"/>
                      <w:u w:val="none" w:color="auto"/>
                      <w:lang w:val="en-US" w:eastAsia="zh-CN" w:bidi="ar-SA"/>
                    </w:rPr>
                  </w:pPr>
                  <w:r>
                    <w:rPr>
                      <w:rFonts w:hint="eastAsia" w:ascii="Times New Roman" w:hAnsi="Times New Roman" w:eastAsia="宋体" w:cs="Times New Roman"/>
                      <w:b w:val="0"/>
                      <w:bCs w:val="0"/>
                      <w:color w:val="auto"/>
                      <w:kern w:val="2"/>
                      <w:sz w:val="21"/>
                      <w:szCs w:val="21"/>
                      <w:u w:val="none" w:color="auto"/>
                      <w:lang w:val="en-US" w:eastAsia="zh-CN" w:bidi="ar-SA"/>
                    </w:rPr>
                    <w:t>活性炭吸附脱附+催化燃烧装置</w:t>
                  </w:r>
                </w:p>
              </w:tc>
              <w:tc>
                <w:tcPr>
                  <w:tcW w:w="512" w:type="pct"/>
                  <w:tcBorders>
                    <w:top w:val="single" w:color="000000" w:sz="8" w:space="0"/>
                    <w:bottom w:val="single" w:color="000000" w:sz="4" w:space="0"/>
                  </w:tcBorders>
                  <w:noWrap w:val="0"/>
                  <w:vAlign w:val="center"/>
                </w:tcPr>
                <w:p w14:paraId="30148F0C">
                  <w:pPr>
                    <w:jc w:val="center"/>
                    <w:rPr>
                      <w:rFonts w:hint="default"/>
                      <w:b w:val="0"/>
                      <w:bCs w:val="0"/>
                      <w:color w:val="auto"/>
                      <w:kern w:val="2"/>
                      <w:sz w:val="21"/>
                      <w:szCs w:val="21"/>
                      <w:u w:val="none" w:color="auto"/>
                      <w:lang w:val="en-US" w:eastAsia="zh-CN"/>
                    </w:rPr>
                  </w:pPr>
                  <w:r>
                    <w:rPr>
                      <w:rFonts w:hint="eastAsia"/>
                      <w:b w:val="0"/>
                      <w:bCs w:val="0"/>
                      <w:color w:val="auto"/>
                      <w:kern w:val="2"/>
                      <w:sz w:val="21"/>
                      <w:szCs w:val="21"/>
                      <w:u w:val="none" w:color="auto"/>
                      <w:lang w:val="en-US" w:eastAsia="zh-CN"/>
                    </w:rPr>
                    <w:t>95%</w:t>
                  </w:r>
                </w:p>
              </w:tc>
              <w:tc>
                <w:tcPr>
                  <w:tcW w:w="443" w:type="pct"/>
                  <w:tcBorders>
                    <w:top w:val="single" w:color="000000" w:sz="8" w:space="0"/>
                    <w:bottom w:val="single" w:color="000000" w:sz="4" w:space="0"/>
                  </w:tcBorders>
                  <w:noWrap w:val="0"/>
                  <w:vAlign w:val="center"/>
                </w:tcPr>
                <w:p w14:paraId="5D061588">
                  <w:pPr>
                    <w:jc w:val="center"/>
                    <w:rPr>
                      <w:rFonts w:hint="default" w:eastAsia="宋体"/>
                      <w:b w:val="0"/>
                      <w:bCs w:val="0"/>
                      <w:color w:val="auto"/>
                      <w:kern w:val="2"/>
                      <w:sz w:val="21"/>
                      <w:szCs w:val="21"/>
                      <w:u w:val="none" w:color="auto"/>
                      <w:lang w:val="en-US" w:eastAsia="zh-CN"/>
                    </w:rPr>
                  </w:pPr>
                  <w:r>
                    <w:rPr>
                      <w:rFonts w:hint="eastAsia"/>
                      <w:b w:val="0"/>
                      <w:bCs w:val="0"/>
                      <w:color w:val="auto"/>
                      <w:kern w:val="2"/>
                      <w:sz w:val="21"/>
                      <w:szCs w:val="21"/>
                      <w:u w:val="none" w:color="auto"/>
                      <w:lang w:val="en-US" w:eastAsia="zh-CN"/>
                    </w:rPr>
                    <w:t>0.223</w:t>
                  </w:r>
                </w:p>
              </w:tc>
              <w:tc>
                <w:tcPr>
                  <w:tcW w:w="449" w:type="pct"/>
                  <w:tcBorders>
                    <w:top w:val="single" w:color="000000" w:sz="8" w:space="0"/>
                    <w:bottom w:val="single" w:color="000000" w:sz="4" w:space="0"/>
                  </w:tcBorders>
                  <w:noWrap w:val="0"/>
                  <w:vAlign w:val="center"/>
                </w:tcPr>
                <w:p w14:paraId="6BE238A5">
                  <w:pPr>
                    <w:jc w:val="center"/>
                    <w:rPr>
                      <w:rFonts w:hint="default" w:eastAsia="宋体"/>
                      <w:b w:val="0"/>
                      <w:bCs w:val="0"/>
                      <w:color w:val="auto"/>
                      <w:kern w:val="2"/>
                      <w:sz w:val="21"/>
                      <w:szCs w:val="21"/>
                      <w:u w:val="none" w:color="auto"/>
                      <w:lang w:val="en-US" w:eastAsia="zh-CN"/>
                    </w:rPr>
                  </w:pPr>
                  <w:r>
                    <w:rPr>
                      <w:rFonts w:hint="eastAsia"/>
                      <w:b w:val="0"/>
                      <w:bCs w:val="0"/>
                      <w:color w:val="auto"/>
                      <w:kern w:val="2"/>
                      <w:sz w:val="21"/>
                      <w:szCs w:val="21"/>
                      <w:u w:val="none" w:color="auto"/>
                      <w:lang w:val="en-US" w:eastAsia="zh-CN"/>
                    </w:rPr>
                    <w:t>7920</w:t>
                  </w:r>
                </w:p>
              </w:tc>
              <w:tc>
                <w:tcPr>
                  <w:tcW w:w="333" w:type="pct"/>
                  <w:vMerge w:val="restart"/>
                  <w:tcBorders>
                    <w:top w:val="single" w:color="000000" w:sz="8" w:space="0"/>
                  </w:tcBorders>
                  <w:noWrap w:val="0"/>
                  <w:vAlign w:val="center"/>
                </w:tcPr>
                <w:p w14:paraId="37226C83">
                  <w:pPr>
                    <w:widowControl/>
                    <w:jc w:val="center"/>
                    <w:rPr>
                      <w:rFonts w:hint="default" w:eastAsia="宋体"/>
                      <w:b w:val="0"/>
                      <w:bCs w:val="0"/>
                      <w:color w:val="auto"/>
                      <w:kern w:val="2"/>
                      <w:sz w:val="21"/>
                      <w:szCs w:val="21"/>
                      <w:u w:val="none" w:color="auto"/>
                      <w:lang w:val="en-US" w:eastAsia="zh-CN"/>
                    </w:rPr>
                  </w:pPr>
                  <w:r>
                    <w:rPr>
                      <w:rFonts w:hint="eastAsia"/>
                      <w:b w:val="0"/>
                      <w:bCs w:val="0"/>
                      <w:color w:val="auto"/>
                      <w:kern w:val="2"/>
                      <w:sz w:val="21"/>
                      <w:szCs w:val="21"/>
                      <w:u w:val="none" w:color="auto"/>
                      <w:lang w:val="en-US" w:eastAsia="zh-CN"/>
                    </w:rPr>
                    <w:t>0.222</w:t>
                  </w:r>
                </w:p>
              </w:tc>
              <w:tc>
                <w:tcPr>
                  <w:tcW w:w="412" w:type="pct"/>
                  <w:vMerge w:val="restart"/>
                  <w:tcBorders>
                    <w:top w:val="single" w:color="000000" w:sz="8" w:space="0"/>
                  </w:tcBorders>
                  <w:noWrap w:val="0"/>
                  <w:vAlign w:val="center"/>
                </w:tcPr>
                <w:p w14:paraId="7BD5E877">
                  <w:pPr>
                    <w:widowControl/>
                    <w:jc w:val="center"/>
                    <w:rPr>
                      <w:rFonts w:hint="default" w:ascii="Times New Roman" w:cs="Times New Roman" w:hAnsiTheme="minorEastAsia" w:eastAsiaTheme="minorEastAsia"/>
                      <w:color w:val="000000" w:themeColor="text1"/>
                      <w:u w:val="none" w:color="auto"/>
                      <w:lang w:val="en-US" w:eastAsia="zh-CN"/>
                      <w14:textFill>
                        <w14:solidFill>
                          <w14:schemeClr w14:val="tx1"/>
                        </w14:solidFill>
                      </w14:textFill>
                    </w:rPr>
                  </w:pPr>
                  <w:r>
                    <w:rPr>
                      <w:rFonts w:hint="eastAsia" w:cs="Times New Roman" w:hAnsiTheme="minorEastAsia" w:eastAsiaTheme="minorEastAsia"/>
                      <w:color w:val="000000" w:themeColor="text1"/>
                      <w:u w:val="none" w:color="auto"/>
                      <w:lang w:val="en-US" w:eastAsia="zh-CN"/>
                      <w14:textFill>
                        <w14:solidFill>
                          <w14:schemeClr w14:val="tx1"/>
                        </w14:solidFill>
                      </w14:textFill>
                    </w:rPr>
                    <w:t>75000</w:t>
                  </w:r>
                </w:p>
              </w:tc>
              <w:tc>
                <w:tcPr>
                  <w:tcW w:w="354" w:type="pct"/>
                  <w:vMerge w:val="restart"/>
                  <w:tcBorders>
                    <w:top w:val="single" w:color="000000" w:sz="8" w:space="0"/>
                  </w:tcBorders>
                  <w:noWrap w:val="0"/>
                  <w:vAlign w:val="center"/>
                </w:tcPr>
                <w:p w14:paraId="069364A8">
                  <w:pPr>
                    <w:widowControl/>
                    <w:jc w:val="center"/>
                    <w:rPr>
                      <w:rFonts w:hint="default" w:eastAsia="宋体"/>
                      <w:b w:val="0"/>
                      <w:bCs w:val="0"/>
                      <w:color w:val="auto"/>
                      <w:kern w:val="2"/>
                      <w:sz w:val="21"/>
                      <w:szCs w:val="21"/>
                      <w:u w:val="none" w:color="auto"/>
                      <w:lang w:val="en-US" w:eastAsia="zh-CN"/>
                    </w:rPr>
                  </w:pPr>
                  <w:r>
                    <w:rPr>
                      <w:rFonts w:hint="eastAsia"/>
                      <w:b w:val="0"/>
                      <w:bCs w:val="0"/>
                      <w:color w:val="auto"/>
                      <w:kern w:val="2"/>
                      <w:sz w:val="21"/>
                      <w:szCs w:val="21"/>
                      <w:u w:val="none" w:color="auto"/>
                      <w:lang w:val="en-US" w:eastAsia="zh-CN"/>
                    </w:rPr>
                    <w:t>2.96</w:t>
                  </w:r>
                </w:p>
              </w:tc>
            </w:tr>
            <w:tr w14:paraId="56758373">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72" w:type="pct"/>
                  <w:tcBorders>
                    <w:top w:val="single" w:color="000000" w:sz="4" w:space="0"/>
                    <w:bottom w:val="single" w:color="000000" w:sz="4" w:space="0"/>
                    <w:tl2br w:val="nil"/>
                    <w:tr2bl w:val="nil"/>
                  </w:tcBorders>
                  <w:noWrap w:val="0"/>
                  <w:vAlign w:val="center"/>
                </w:tcPr>
                <w:p w14:paraId="6498F729">
                  <w:pPr>
                    <w:widowControl/>
                    <w:jc w:val="center"/>
                    <w:rPr>
                      <w:rFonts w:hint="eastAsia" w:hAnsi="宋体"/>
                      <w:b w:val="0"/>
                      <w:bCs w:val="0"/>
                      <w:color w:val="000000" w:themeColor="text1"/>
                      <w:sz w:val="21"/>
                      <w:szCs w:val="21"/>
                      <w:u w:val="none" w:color="auto"/>
                      <w:lang w:val="en-US" w:eastAsia="zh-CN"/>
                      <w14:textFill>
                        <w14:solidFill>
                          <w14:schemeClr w14:val="tx1"/>
                        </w14:solidFill>
                      </w14:textFill>
                    </w:rPr>
                  </w:pPr>
                  <w:r>
                    <w:rPr>
                      <w:rFonts w:hint="eastAsia" w:hAnsi="宋体"/>
                      <w:b w:val="0"/>
                      <w:bCs w:val="0"/>
                      <w:color w:val="000000" w:themeColor="text1"/>
                      <w:sz w:val="21"/>
                      <w:szCs w:val="21"/>
                      <w:u w:val="none" w:color="auto"/>
                      <w:lang w:val="en-US" w:eastAsia="zh-CN"/>
                      <w14:textFill>
                        <w14:solidFill>
                          <w14:schemeClr w14:val="tx1"/>
                        </w14:solidFill>
                      </w14:textFill>
                    </w:rPr>
                    <w:t>涂布烘干废气</w:t>
                  </w:r>
                </w:p>
              </w:tc>
              <w:tc>
                <w:tcPr>
                  <w:tcW w:w="454" w:type="pct"/>
                  <w:tcBorders>
                    <w:top w:val="single" w:color="000000" w:sz="4" w:space="0"/>
                    <w:bottom w:val="single" w:color="000000" w:sz="4" w:space="0"/>
                    <w:tl2br w:val="nil"/>
                    <w:tr2bl w:val="nil"/>
                  </w:tcBorders>
                  <w:noWrap w:val="0"/>
                  <w:vAlign w:val="center"/>
                </w:tcPr>
                <w:p w14:paraId="518A23F3">
                  <w:pPr>
                    <w:widowControl/>
                    <w:jc w:val="center"/>
                    <w:rPr>
                      <w:rFonts w:hint="eastAsia" w:eastAsia="宋体"/>
                      <w:b w:val="0"/>
                      <w:bCs w:val="0"/>
                      <w:color w:val="auto"/>
                      <w:kern w:val="2"/>
                      <w:sz w:val="21"/>
                      <w:szCs w:val="21"/>
                      <w:u w:val="none" w:color="auto"/>
                      <w:lang w:val="en-US" w:eastAsia="zh-CN"/>
                    </w:rPr>
                  </w:pPr>
                  <w:r>
                    <w:rPr>
                      <w:rFonts w:hint="eastAsia" w:eastAsia="宋体"/>
                      <w:b w:val="0"/>
                      <w:bCs w:val="0"/>
                      <w:color w:val="auto"/>
                      <w:kern w:val="2"/>
                      <w:sz w:val="21"/>
                      <w:szCs w:val="21"/>
                      <w:u w:val="none" w:color="auto"/>
                      <w:lang w:val="en-US" w:eastAsia="zh-CN"/>
                    </w:rPr>
                    <w:t>非甲烷总烃</w:t>
                  </w:r>
                </w:p>
              </w:tc>
              <w:tc>
                <w:tcPr>
                  <w:tcW w:w="400" w:type="pct"/>
                  <w:tcBorders>
                    <w:top w:val="single" w:color="000000" w:sz="4" w:space="0"/>
                    <w:bottom w:val="single" w:color="000000" w:sz="4" w:space="0"/>
                    <w:tl2br w:val="nil"/>
                    <w:tr2bl w:val="nil"/>
                  </w:tcBorders>
                  <w:noWrap w:val="0"/>
                  <w:vAlign w:val="center"/>
                </w:tcPr>
                <w:p w14:paraId="366E17EA">
                  <w:pPr>
                    <w:widowControl/>
                    <w:jc w:val="center"/>
                    <w:rPr>
                      <w:rFonts w:hint="default" w:eastAsia="宋体"/>
                      <w:b w:val="0"/>
                      <w:bCs w:val="0"/>
                      <w:color w:val="auto"/>
                      <w:kern w:val="2"/>
                      <w:sz w:val="21"/>
                      <w:szCs w:val="21"/>
                      <w:u w:val="none" w:color="auto"/>
                      <w:lang w:val="en-US" w:eastAsia="zh-CN"/>
                    </w:rPr>
                  </w:pPr>
                  <w:r>
                    <w:rPr>
                      <w:rFonts w:hint="eastAsia"/>
                      <w:b w:val="0"/>
                      <w:bCs w:val="0"/>
                      <w:color w:val="auto"/>
                      <w:kern w:val="2"/>
                      <w:sz w:val="21"/>
                      <w:szCs w:val="21"/>
                      <w:u w:val="none" w:color="auto"/>
                      <w:lang w:val="en-US" w:eastAsia="zh-CN"/>
                    </w:rPr>
                    <w:t>640.4</w:t>
                  </w:r>
                </w:p>
              </w:tc>
              <w:tc>
                <w:tcPr>
                  <w:tcW w:w="535" w:type="pct"/>
                  <w:tcBorders>
                    <w:top w:val="single" w:color="000000" w:sz="4" w:space="0"/>
                    <w:bottom w:val="single" w:color="000000" w:sz="4" w:space="0"/>
                    <w:tl2br w:val="nil"/>
                    <w:tr2bl w:val="nil"/>
                  </w:tcBorders>
                  <w:shd w:val="clear" w:color="auto" w:fill="auto"/>
                  <w:noWrap w:val="0"/>
                  <w:vAlign w:val="center"/>
                </w:tcPr>
                <w:p w14:paraId="58214DAE">
                  <w:pPr>
                    <w:widowControl/>
                    <w:jc w:val="center"/>
                    <w:rPr>
                      <w:rFonts w:hint="default" w:eastAsia="宋体"/>
                      <w:b w:val="0"/>
                      <w:bCs w:val="0"/>
                      <w:color w:val="auto"/>
                      <w:kern w:val="2"/>
                      <w:sz w:val="21"/>
                      <w:szCs w:val="21"/>
                      <w:u w:val="none" w:color="auto"/>
                      <w:lang w:val="en-US" w:eastAsia="zh-CN"/>
                    </w:rPr>
                  </w:pPr>
                  <w:r>
                    <w:rPr>
                      <w:rFonts w:hint="eastAsia"/>
                      <w:b w:val="0"/>
                      <w:bCs w:val="0"/>
                      <w:color w:val="auto"/>
                      <w:kern w:val="2"/>
                      <w:sz w:val="21"/>
                      <w:szCs w:val="21"/>
                      <w:u w:val="none" w:color="auto"/>
                      <w:lang w:val="en-US" w:eastAsia="zh-CN"/>
                    </w:rPr>
                    <w:t>80.86</w:t>
                  </w:r>
                </w:p>
              </w:tc>
              <w:tc>
                <w:tcPr>
                  <w:tcW w:w="632" w:type="pct"/>
                  <w:tcBorders>
                    <w:top w:val="single" w:color="000000" w:sz="4" w:space="0"/>
                    <w:bottom w:val="single" w:color="000000" w:sz="4" w:space="0"/>
                    <w:tl2br w:val="nil"/>
                    <w:tr2bl w:val="nil"/>
                  </w:tcBorders>
                  <w:shd w:val="clear" w:color="auto" w:fill="auto"/>
                  <w:noWrap w:val="0"/>
                  <w:vAlign w:val="center"/>
                </w:tcPr>
                <w:p w14:paraId="6FABD11A">
                  <w:pPr>
                    <w:widowControl/>
                    <w:jc w:val="center"/>
                    <w:rPr>
                      <w:rFonts w:hint="default" w:eastAsia="宋体"/>
                      <w:b w:val="0"/>
                      <w:bCs w:val="0"/>
                      <w:color w:val="auto"/>
                      <w:kern w:val="2"/>
                      <w:sz w:val="21"/>
                      <w:szCs w:val="21"/>
                      <w:u w:val="none" w:color="auto"/>
                      <w:lang w:val="en-US" w:eastAsia="zh-CN"/>
                    </w:rPr>
                  </w:pPr>
                  <w:r>
                    <w:rPr>
                      <w:rFonts w:hint="default" w:eastAsia="宋体"/>
                      <w:b w:val="0"/>
                      <w:bCs w:val="0"/>
                      <w:color w:val="auto"/>
                      <w:kern w:val="2"/>
                      <w:sz w:val="21"/>
                      <w:szCs w:val="21"/>
                      <w:u w:val="none" w:color="auto"/>
                      <w:lang w:val="en-US" w:eastAsia="zh-CN"/>
                    </w:rPr>
                    <w:t>NMP回收装置</w:t>
                  </w:r>
                </w:p>
              </w:tc>
              <w:tc>
                <w:tcPr>
                  <w:tcW w:w="512" w:type="pct"/>
                  <w:tcBorders>
                    <w:top w:val="single" w:color="000000" w:sz="4" w:space="0"/>
                    <w:bottom w:val="single" w:color="000000" w:sz="4" w:space="0"/>
                    <w:tl2br w:val="nil"/>
                    <w:tr2bl w:val="nil"/>
                  </w:tcBorders>
                  <w:noWrap w:val="0"/>
                  <w:vAlign w:val="center"/>
                </w:tcPr>
                <w:p w14:paraId="6B2CEE82">
                  <w:pPr>
                    <w:widowControl/>
                    <w:jc w:val="center"/>
                    <w:rPr>
                      <w:rFonts w:hint="default" w:eastAsia="宋体"/>
                      <w:b w:val="0"/>
                      <w:bCs w:val="0"/>
                      <w:color w:val="auto"/>
                      <w:kern w:val="2"/>
                      <w:sz w:val="21"/>
                      <w:szCs w:val="21"/>
                      <w:u w:val="none" w:color="auto"/>
                      <w:lang w:val="en-US" w:eastAsia="zh-CN"/>
                    </w:rPr>
                  </w:pPr>
                  <w:r>
                    <w:rPr>
                      <w:rFonts w:hint="eastAsia"/>
                      <w:b w:val="0"/>
                      <w:bCs w:val="0"/>
                      <w:color w:val="auto"/>
                      <w:kern w:val="2"/>
                      <w:sz w:val="21"/>
                      <w:szCs w:val="21"/>
                      <w:u w:val="none" w:color="auto"/>
                      <w:lang w:val="en-US" w:eastAsia="zh-CN"/>
                    </w:rPr>
                    <w:t>99.76</w:t>
                  </w:r>
                </w:p>
              </w:tc>
              <w:tc>
                <w:tcPr>
                  <w:tcW w:w="443" w:type="pct"/>
                  <w:tcBorders>
                    <w:top w:val="single" w:color="000000" w:sz="4" w:space="0"/>
                    <w:bottom w:val="single" w:color="000000" w:sz="4" w:space="0"/>
                    <w:tl2br w:val="nil"/>
                    <w:tr2bl w:val="nil"/>
                  </w:tcBorders>
                  <w:noWrap w:val="0"/>
                  <w:vAlign w:val="center"/>
                </w:tcPr>
                <w:p w14:paraId="666F37EE">
                  <w:pPr>
                    <w:widowControl/>
                    <w:jc w:val="center"/>
                    <w:rPr>
                      <w:rFonts w:hint="default" w:eastAsia="宋体"/>
                      <w:b w:val="0"/>
                      <w:bCs w:val="0"/>
                      <w:color w:val="auto"/>
                      <w:kern w:val="2"/>
                      <w:sz w:val="21"/>
                      <w:szCs w:val="21"/>
                      <w:u w:val="none" w:color="auto"/>
                      <w:lang w:val="en-US" w:eastAsia="zh-CN"/>
                    </w:rPr>
                  </w:pPr>
                  <w:r>
                    <w:rPr>
                      <w:rFonts w:hint="eastAsia"/>
                      <w:b w:val="0"/>
                      <w:bCs w:val="0"/>
                      <w:color w:val="auto"/>
                      <w:kern w:val="2"/>
                      <w:sz w:val="21"/>
                      <w:szCs w:val="21"/>
                      <w:u w:val="none" w:color="auto"/>
                      <w:lang w:val="en-US" w:eastAsia="zh-CN"/>
                    </w:rPr>
                    <w:t>1.537</w:t>
                  </w:r>
                </w:p>
              </w:tc>
              <w:tc>
                <w:tcPr>
                  <w:tcW w:w="449" w:type="pct"/>
                  <w:tcBorders>
                    <w:top w:val="single" w:color="000000" w:sz="4" w:space="0"/>
                    <w:bottom w:val="single" w:color="000000" w:sz="4" w:space="0"/>
                    <w:tl2br w:val="nil"/>
                    <w:tr2bl w:val="nil"/>
                  </w:tcBorders>
                  <w:noWrap w:val="0"/>
                  <w:vAlign w:val="center"/>
                </w:tcPr>
                <w:p w14:paraId="592A93FA">
                  <w:pPr>
                    <w:widowControl/>
                    <w:jc w:val="center"/>
                    <w:rPr>
                      <w:rFonts w:hint="default" w:eastAsia="宋体"/>
                      <w:b w:val="0"/>
                      <w:bCs w:val="0"/>
                      <w:color w:val="auto"/>
                      <w:kern w:val="2"/>
                      <w:sz w:val="21"/>
                      <w:szCs w:val="21"/>
                      <w:u w:val="none" w:color="auto"/>
                      <w:lang w:val="en-US" w:eastAsia="zh-CN"/>
                    </w:rPr>
                  </w:pPr>
                  <w:r>
                    <w:rPr>
                      <w:rFonts w:hint="eastAsia" w:eastAsia="宋体"/>
                      <w:b w:val="0"/>
                      <w:bCs w:val="0"/>
                      <w:color w:val="auto"/>
                      <w:kern w:val="2"/>
                      <w:sz w:val="21"/>
                      <w:szCs w:val="21"/>
                      <w:u w:val="none" w:color="auto"/>
                      <w:lang w:val="en-US" w:eastAsia="zh-CN"/>
                    </w:rPr>
                    <w:t>7920</w:t>
                  </w:r>
                </w:p>
              </w:tc>
              <w:tc>
                <w:tcPr>
                  <w:tcW w:w="333" w:type="pct"/>
                  <w:vMerge w:val="continue"/>
                  <w:tcBorders>
                    <w:bottom w:val="single" w:color="000000" w:sz="4" w:space="0"/>
                    <w:tl2br w:val="nil"/>
                    <w:tr2bl w:val="nil"/>
                  </w:tcBorders>
                  <w:noWrap w:val="0"/>
                  <w:vAlign w:val="center"/>
                </w:tcPr>
                <w:p w14:paraId="23F414CA">
                  <w:pPr>
                    <w:widowControl/>
                    <w:jc w:val="center"/>
                    <w:rPr>
                      <w:rFonts w:hint="eastAsia"/>
                      <w:b w:val="0"/>
                      <w:bCs w:val="0"/>
                      <w:color w:val="auto"/>
                      <w:kern w:val="2"/>
                      <w:sz w:val="21"/>
                      <w:szCs w:val="21"/>
                      <w:u w:val="none" w:color="auto"/>
                      <w:lang w:val="en-US" w:eastAsia="zh-CN"/>
                    </w:rPr>
                  </w:pPr>
                </w:p>
              </w:tc>
              <w:tc>
                <w:tcPr>
                  <w:tcW w:w="412" w:type="pct"/>
                  <w:vMerge w:val="continue"/>
                  <w:tcBorders>
                    <w:bottom w:val="single" w:color="000000" w:sz="4" w:space="0"/>
                    <w:tl2br w:val="nil"/>
                    <w:tr2bl w:val="nil"/>
                  </w:tcBorders>
                  <w:noWrap w:val="0"/>
                  <w:vAlign w:val="center"/>
                </w:tcPr>
                <w:p w14:paraId="147D3905">
                  <w:pPr>
                    <w:widowControl/>
                    <w:jc w:val="center"/>
                    <w:rPr>
                      <w:rFonts w:hint="default" w:ascii="Times New Roman" w:cs="Times New Roman" w:hAnsiTheme="minorEastAsia" w:eastAsiaTheme="minorEastAsia"/>
                      <w:color w:val="000000" w:themeColor="text1"/>
                      <w:u w:val="none" w:color="auto"/>
                      <w:lang w:val="en-US" w:eastAsia="zh-CN"/>
                      <w14:textFill>
                        <w14:solidFill>
                          <w14:schemeClr w14:val="tx1"/>
                        </w14:solidFill>
                      </w14:textFill>
                    </w:rPr>
                  </w:pPr>
                </w:p>
              </w:tc>
              <w:tc>
                <w:tcPr>
                  <w:tcW w:w="354" w:type="pct"/>
                  <w:vMerge w:val="continue"/>
                  <w:tcBorders>
                    <w:bottom w:val="single" w:color="000000" w:sz="4" w:space="0"/>
                    <w:tl2br w:val="nil"/>
                    <w:tr2bl w:val="nil"/>
                  </w:tcBorders>
                  <w:noWrap w:val="0"/>
                  <w:vAlign w:val="center"/>
                </w:tcPr>
                <w:p w14:paraId="23411BF8">
                  <w:pPr>
                    <w:widowControl/>
                    <w:jc w:val="center"/>
                    <w:rPr>
                      <w:rFonts w:hint="default"/>
                      <w:b w:val="0"/>
                      <w:bCs w:val="0"/>
                      <w:color w:val="auto"/>
                      <w:kern w:val="2"/>
                      <w:sz w:val="21"/>
                      <w:szCs w:val="21"/>
                      <w:u w:val="none" w:color="auto"/>
                      <w:lang w:val="en-US" w:eastAsia="zh-CN"/>
                    </w:rPr>
                  </w:pPr>
                </w:p>
              </w:tc>
            </w:tr>
            <w:tr w14:paraId="3A57EBA7">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261" w:hRule="atLeast"/>
                <w:jc w:val="center"/>
              </w:trPr>
              <w:tc>
                <w:tcPr>
                  <w:tcW w:w="472" w:type="pct"/>
                  <w:tcBorders>
                    <w:top w:val="single" w:color="000000" w:sz="4" w:space="0"/>
                    <w:bottom w:val="single" w:color="000000" w:sz="4" w:space="0"/>
                    <w:tl2br w:val="nil"/>
                    <w:tr2bl w:val="nil"/>
                  </w:tcBorders>
                  <w:noWrap w:val="0"/>
                  <w:vAlign w:val="center"/>
                </w:tcPr>
                <w:p w14:paraId="778B580A">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配料工序</w:t>
                  </w:r>
                </w:p>
              </w:tc>
              <w:tc>
                <w:tcPr>
                  <w:tcW w:w="454" w:type="pct"/>
                  <w:tcBorders>
                    <w:top w:val="single" w:color="000000" w:sz="4" w:space="0"/>
                    <w:bottom w:val="single" w:color="000000" w:sz="4" w:space="0"/>
                    <w:tl2br w:val="nil"/>
                    <w:tr2bl w:val="nil"/>
                  </w:tcBorders>
                  <w:noWrap w:val="0"/>
                  <w:vAlign w:val="center"/>
                </w:tcPr>
                <w:p w14:paraId="46037A08">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颗粒物</w:t>
                  </w:r>
                </w:p>
              </w:tc>
              <w:tc>
                <w:tcPr>
                  <w:tcW w:w="400" w:type="pct"/>
                  <w:tcBorders>
                    <w:top w:val="single" w:color="000000" w:sz="4" w:space="0"/>
                    <w:bottom w:val="single" w:color="000000" w:sz="4" w:space="0"/>
                    <w:tl2br w:val="nil"/>
                    <w:tr2bl w:val="nil"/>
                  </w:tcBorders>
                  <w:noWrap w:val="0"/>
                  <w:vAlign w:val="center"/>
                </w:tcPr>
                <w:p w14:paraId="4AD5BCFA">
                  <w:pPr>
                    <w:widowControl/>
                    <w:jc w:val="center"/>
                    <w:rPr>
                      <w:rFonts w:hint="default"/>
                      <w:b w:val="0"/>
                      <w:bCs w:val="0"/>
                      <w:color w:val="auto"/>
                      <w:kern w:val="2"/>
                      <w:sz w:val="21"/>
                      <w:szCs w:val="21"/>
                      <w:u w:val="none" w:color="auto"/>
                      <w:lang w:val="en-US" w:eastAsia="zh-CN"/>
                    </w:rPr>
                  </w:pPr>
                  <w:r>
                    <w:rPr>
                      <w:rFonts w:hint="eastAsia"/>
                      <w:b w:val="0"/>
                      <w:bCs w:val="0"/>
                      <w:color w:val="auto"/>
                      <w:kern w:val="2"/>
                      <w:sz w:val="21"/>
                      <w:szCs w:val="21"/>
                      <w:u w:val="none" w:color="auto"/>
                      <w:lang w:val="en-US" w:eastAsia="zh-CN"/>
                    </w:rPr>
                    <w:t>0.4165</w:t>
                  </w:r>
                </w:p>
              </w:tc>
              <w:tc>
                <w:tcPr>
                  <w:tcW w:w="535" w:type="pct"/>
                  <w:tcBorders>
                    <w:top w:val="single" w:color="000000" w:sz="4" w:space="0"/>
                    <w:bottom w:val="single" w:color="000000" w:sz="4" w:space="0"/>
                    <w:tl2br w:val="nil"/>
                    <w:tr2bl w:val="nil"/>
                  </w:tcBorders>
                  <w:shd w:val="clear" w:color="auto" w:fill="auto"/>
                  <w:noWrap w:val="0"/>
                  <w:vAlign w:val="center"/>
                </w:tcPr>
                <w:p w14:paraId="350D2E62">
                  <w:pPr>
                    <w:widowControl/>
                    <w:jc w:val="center"/>
                    <w:rPr>
                      <w:rFonts w:hint="default"/>
                      <w:b w:val="0"/>
                      <w:bCs w:val="0"/>
                      <w:color w:val="auto"/>
                      <w:kern w:val="2"/>
                      <w:sz w:val="21"/>
                      <w:szCs w:val="21"/>
                      <w:u w:val="none" w:color="auto"/>
                      <w:lang w:val="en-US" w:eastAsia="zh-CN"/>
                    </w:rPr>
                  </w:pPr>
                  <w:r>
                    <w:rPr>
                      <w:rFonts w:hint="eastAsia"/>
                      <w:b w:val="0"/>
                      <w:bCs w:val="0"/>
                      <w:color w:val="auto"/>
                      <w:kern w:val="2"/>
                      <w:sz w:val="21"/>
                      <w:szCs w:val="21"/>
                      <w:u w:val="none" w:color="auto"/>
                      <w:lang w:val="en-US" w:eastAsia="zh-CN"/>
                    </w:rPr>
                    <w:t>0.316</w:t>
                  </w:r>
                </w:p>
              </w:tc>
              <w:tc>
                <w:tcPr>
                  <w:tcW w:w="632" w:type="pct"/>
                  <w:tcBorders>
                    <w:top w:val="single" w:color="000000" w:sz="4" w:space="0"/>
                    <w:bottom w:val="single" w:color="000000" w:sz="4" w:space="0"/>
                    <w:tl2br w:val="nil"/>
                    <w:tr2bl w:val="nil"/>
                  </w:tcBorders>
                  <w:shd w:val="clear" w:color="auto" w:fill="auto"/>
                  <w:noWrap w:val="0"/>
                  <w:vAlign w:val="center"/>
                </w:tcPr>
                <w:p w14:paraId="30706C9F">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滤芯除尘器</w:t>
                  </w:r>
                </w:p>
              </w:tc>
              <w:tc>
                <w:tcPr>
                  <w:tcW w:w="512" w:type="pct"/>
                  <w:tcBorders>
                    <w:top w:val="single" w:color="000000" w:sz="4" w:space="0"/>
                    <w:bottom w:val="single" w:color="000000" w:sz="4" w:space="0"/>
                    <w:tl2br w:val="nil"/>
                    <w:tr2bl w:val="nil"/>
                  </w:tcBorders>
                  <w:noWrap w:val="0"/>
                  <w:vAlign w:val="center"/>
                </w:tcPr>
                <w:p w14:paraId="428A6DC6">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95%</w:t>
                  </w:r>
                </w:p>
              </w:tc>
              <w:tc>
                <w:tcPr>
                  <w:tcW w:w="443" w:type="pct"/>
                  <w:tcBorders>
                    <w:top w:val="single" w:color="000000" w:sz="4" w:space="0"/>
                    <w:bottom w:val="single" w:color="000000" w:sz="4" w:space="0"/>
                    <w:tl2br w:val="nil"/>
                    <w:tr2bl w:val="nil"/>
                  </w:tcBorders>
                  <w:noWrap w:val="0"/>
                  <w:vAlign w:val="center"/>
                </w:tcPr>
                <w:p w14:paraId="2D72AA1F">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cs="Times New Roman"/>
                      <w:b w:val="0"/>
                      <w:bCs w:val="0"/>
                      <w:color w:val="000000" w:themeColor="text1"/>
                      <w:kern w:val="2"/>
                      <w:sz w:val="21"/>
                      <w:szCs w:val="21"/>
                      <w:u w:val="none" w:color="auto"/>
                      <w:lang w:val="en-US" w:eastAsia="zh-CN"/>
                      <w14:textFill>
                        <w14:solidFill>
                          <w14:schemeClr w14:val="tx1"/>
                        </w14:solidFill>
                      </w14:textFill>
                    </w:rPr>
                    <w:t>0.0208</w:t>
                  </w:r>
                </w:p>
              </w:tc>
              <w:tc>
                <w:tcPr>
                  <w:tcW w:w="449" w:type="pct"/>
                  <w:tcBorders>
                    <w:top w:val="single" w:color="000000" w:sz="4" w:space="0"/>
                    <w:bottom w:val="single" w:color="000000" w:sz="4" w:space="0"/>
                    <w:tl2br w:val="nil"/>
                    <w:tr2bl w:val="nil"/>
                  </w:tcBorders>
                  <w:noWrap w:val="0"/>
                  <w:vAlign w:val="center"/>
                </w:tcPr>
                <w:p w14:paraId="73367940">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1320</w:t>
                  </w:r>
                </w:p>
              </w:tc>
              <w:tc>
                <w:tcPr>
                  <w:tcW w:w="333" w:type="pct"/>
                  <w:tcBorders>
                    <w:bottom w:val="single" w:color="000000" w:sz="4" w:space="0"/>
                    <w:tl2br w:val="nil"/>
                    <w:tr2bl w:val="nil"/>
                  </w:tcBorders>
                  <w:noWrap w:val="0"/>
                  <w:vAlign w:val="center"/>
                </w:tcPr>
                <w:p w14:paraId="458D2883">
                  <w:pPr>
                    <w:widowControl/>
                    <w:jc w:val="center"/>
                    <w:rPr>
                      <w:rFonts w:hint="default" w:cs="Times New Roman"/>
                      <w:b w:val="0"/>
                      <w:bCs w:val="0"/>
                      <w:color w:val="000000" w:themeColor="text1"/>
                      <w:kern w:val="2"/>
                      <w:sz w:val="21"/>
                      <w:szCs w:val="21"/>
                      <w:u w:val="none" w:color="auto"/>
                      <w:lang w:val="en-US" w:eastAsia="zh-CN"/>
                      <w14:textFill>
                        <w14:solidFill>
                          <w14:schemeClr w14:val="tx1"/>
                        </w14:solidFill>
                      </w14:textFill>
                    </w:rPr>
                  </w:pPr>
                  <w:r>
                    <w:rPr>
                      <w:rFonts w:hint="eastAsia" w:cs="Times New Roman"/>
                      <w:b w:val="0"/>
                      <w:bCs w:val="0"/>
                      <w:color w:val="000000" w:themeColor="text1"/>
                      <w:kern w:val="2"/>
                      <w:sz w:val="21"/>
                      <w:szCs w:val="21"/>
                      <w:u w:val="none" w:color="auto"/>
                      <w:lang w:val="en-US" w:eastAsia="zh-CN"/>
                      <w14:textFill>
                        <w14:solidFill>
                          <w14:schemeClr w14:val="tx1"/>
                        </w14:solidFill>
                      </w14:textFill>
                    </w:rPr>
                    <w:t>0.0158</w:t>
                  </w:r>
                </w:p>
              </w:tc>
              <w:tc>
                <w:tcPr>
                  <w:tcW w:w="412" w:type="pct"/>
                  <w:tcBorders>
                    <w:bottom w:val="single" w:color="000000" w:sz="4" w:space="0"/>
                    <w:tl2br w:val="nil"/>
                    <w:tr2bl w:val="nil"/>
                  </w:tcBorders>
                  <w:noWrap w:val="0"/>
                  <w:vAlign w:val="center"/>
                </w:tcPr>
                <w:p w14:paraId="3A0E73A7">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4000</w:t>
                  </w:r>
                </w:p>
              </w:tc>
              <w:tc>
                <w:tcPr>
                  <w:tcW w:w="354" w:type="pct"/>
                  <w:tcBorders>
                    <w:bottom w:val="single" w:color="000000" w:sz="4" w:space="0"/>
                    <w:tl2br w:val="nil"/>
                    <w:tr2bl w:val="nil"/>
                  </w:tcBorders>
                  <w:noWrap w:val="0"/>
                  <w:vAlign w:val="center"/>
                </w:tcPr>
                <w:p w14:paraId="1553E12C">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cs="Times New Roman"/>
                      <w:b w:val="0"/>
                      <w:bCs w:val="0"/>
                      <w:color w:val="000000" w:themeColor="text1"/>
                      <w:kern w:val="2"/>
                      <w:sz w:val="21"/>
                      <w:szCs w:val="21"/>
                      <w:u w:val="none" w:color="auto"/>
                      <w:lang w:val="en-US" w:eastAsia="zh-CN"/>
                      <w14:textFill>
                        <w14:solidFill>
                          <w14:schemeClr w14:val="tx1"/>
                        </w14:solidFill>
                      </w14:textFill>
                    </w:rPr>
                    <w:t>3.95</w:t>
                  </w:r>
                </w:p>
              </w:tc>
            </w:tr>
            <w:tr w14:paraId="5888BDA8">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472" w:type="pct"/>
                  <w:vMerge w:val="restart"/>
                  <w:tcBorders>
                    <w:top w:val="single" w:color="000000" w:sz="4" w:space="0"/>
                    <w:tl2br w:val="nil"/>
                    <w:tr2bl w:val="nil"/>
                  </w:tcBorders>
                  <w:noWrap w:val="0"/>
                  <w:vAlign w:val="center"/>
                </w:tcPr>
                <w:p w14:paraId="529F18D4">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污水处理站</w:t>
                  </w:r>
                </w:p>
              </w:tc>
              <w:tc>
                <w:tcPr>
                  <w:tcW w:w="454" w:type="pct"/>
                  <w:tcBorders>
                    <w:top w:val="single" w:color="000000" w:sz="4" w:space="0"/>
                    <w:bottom w:val="single" w:color="000000" w:sz="4" w:space="0"/>
                    <w:tl2br w:val="nil"/>
                    <w:tr2bl w:val="nil"/>
                  </w:tcBorders>
                  <w:noWrap w:val="0"/>
                  <w:vAlign w:val="center"/>
                </w:tcPr>
                <w:p w14:paraId="4F8447C4">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H</w:t>
                  </w:r>
                  <w:r>
                    <w:rPr>
                      <w:rFonts w:hint="default" w:ascii="Times New Roman" w:hAnsi="Times New Roman" w:eastAsia="宋体" w:cs="Times New Roman"/>
                      <w:b w:val="0"/>
                      <w:bCs w:val="0"/>
                      <w:color w:val="000000" w:themeColor="text1"/>
                      <w:kern w:val="2"/>
                      <w:sz w:val="21"/>
                      <w:szCs w:val="21"/>
                      <w:u w:val="none" w:color="auto"/>
                      <w:vertAlign w:val="sub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S</w:t>
                  </w:r>
                </w:p>
              </w:tc>
              <w:tc>
                <w:tcPr>
                  <w:tcW w:w="400" w:type="pct"/>
                  <w:tcBorders>
                    <w:top w:val="single" w:color="000000" w:sz="4" w:space="0"/>
                    <w:bottom w:val="single" w:color="000000" w:sz="4" w:space="0"/>
                    <w:tl2br w:val="nil"/>
                    <w:tr2bl w:val="nil"/>
                  </w:tcBorders>
                  <w:noWrap w:val="0"/>
                  <w:vAlign w:val="center"/>
                </w:tcPr>
                <w:p w14:paraId="637E140B">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0.001</w:t>
                  </w:r>
                </w:p>
              </w:tc>
              <w:tc>
                <w:tcPr>
                  <w:tcW w:w="535" w:type="pct"/>
                  <w:tcBorders>
                    <w:top w:val="single" w:color="000000" w:sz="4" w:space="0"/>
                    <w:bottom w:val="single" w:color="000000" w:sz="4" w:space="0"/>
                    <w:tl2br w:val="nil"/>
                    <w:tr2bl w:val="nil"/>
                  </w:tcBorders>
                  <w:shd w:val="clear" w:color="auto" w:fill="auto"/>
                  <w:noWrap w:val="0"/>
                  <w:vAlign w:val="center"/>
                </w:tcPr>
                <w:p w14:paraId="352291EE">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 xml:space="preserve">0.0001 </w:t>
                  </w:r>
                </w:p>
              </w:tc>
              <w:tc>
                <w:tcPr>
                  <w:tcW w:w="632" w:type="pct"/>
                  <w:vMerge w:val="restart"/>
                  <w:tcBorders>
                    <w:top w:val="single" w:color="000000" w:sz="4" w:space="0"/>
                    <w:tl2br w:val="nil"/>
                    <w:tr2bl w:val="nil"/>
                  </w:tcBorders>
                  <w:shd w:val="clear" w:color="auto" w:fill="auto"/>
                  <w:noWrap w:val="0"/>
                  <w:vAlign w:val="center"/>
                </w:tcPr>
                <w:p w14:paraId="69E10B5F">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cs="Times New Roman"/>
                      <w:b w:val="0"/>
                      <w:bCs w:val="0"/>
                      <w:color w:val="000000" w:themeColor="text1"/>
                      <w:kern w:val="2"/>
                      <w:sz w:val="21"/>
                      <w:szCs w:val="21"/>
                      <w:u w:val="none" w:color="auto"/>
                      <w:lang w:val="en-US" w:eastAsia="zh-CN"/>
                      <w14:textFill>
                        <w14:solidFill>
                          <w14:schemeClr w14:val="tx1"/>
                        </w14:solidFill>
                      </w14:textFill>
                    </w:rPr>
                    <w:t>生物除臭池</w:t>
                  </w:r>
                </w:p>
              </w:tc>
              <w:tc>
                <w:tcPr>
                  <w:tcW w:w="512" w:type="pct"/>
                  <w:vMerge w:val="restart"/>
                  <w:tcBorders>
                    <w:top w:val="single" w:color="000000" w:sz="4" w:space="0"/>
                    <w:tl2br w:val="nil"/>
                    <w:tr2bl w:val="nil"/>
                  </w:tcBorders>
                  <w:noWrap w:val="0"/>
                  <w:vAlign w:val="center"/>
                </w:tcPr>
                <w:p w14:paraId="59F3F8E2">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90%</w:t>
                  </w:r>
                </w:p>
              </w:tc>
              <w:tc>
                <w:tcPr>
                  <w:tcW w:w="443" w:type="pct"/>
                  <w:tcBorders>
                    <w:top w:val="single" w:color="000000" w:sz="4" w:space="0"/>
                    <w:bottom w:val="single" w:color="000000" w:sz="4" w:space="0"/>
                    <w:tl2br w:val="nil"/>
                    <w:tr2bl w:val="nil"/>
                  </w:tcBorders>
                  <w:noWrap w:val="0"/>
                  <w:vAlign w:val="center"/>
                </w:tcPr>
                <w:p w14:paraId="7697B40E">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 xml:space="preserve">0.0001 </w:t>
                  </w:r>
                </w:p>
              </w:tc>
              <w:tc>
                <w:tcPr>
                  <w:tcW w:w="449" w:type="pct"/>
                  <w:vMerge w:val="restart"/>
                  <w:tcBorders>
                    <w:top w:val="single" w:color="000000" w:sz="4" w:space="0"/>
                    <w:tl2br w:val="nil"/>
                    <w:tr2bl w:val="nil"/>
                  </w:tcBorders>
                  <w:noWrap w:val="0"/>
                  <w:vAlign w:val="center"/>
                </w:tcPr>
                <w:p w14:paraId="0C823A57">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7920</w:t>
                  </w:r>
                </w:p>
              </w:tc>
              <w:tc>
                <w:tcPr>
                  <w:tcW w:w="333" w:type="pct"/>
                  <w:tcBorders>
                    <w:top w:val="single" w:color="000000" w:sz="4" w:space="0"/>
                    <w:bottom w:val="single" w:color="000000" w:sz="4" w:space="0"/>
                    <w:tl2br w:val="nil"/>
                    <w:tr2bl w:val="nil"/>
                  </w:tcBorders>
                  <w:noWrap w:val="0"/>
                  <w:vAlign w:val="center"/>
                </w:tcPr>
                <w:p w14:paraId="6BE76B5E">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 xml:space="preserve">0.00001 </w:t>
                  </w:r>
                </w:p>
              </w:tc>
              <w:tc>
                <w:tcPr>
                  <w:tcW w:w="412" w:type="pct"/>
                  <w:vMerge w:val="restart"/>
                  <w:tcBorders>
                    <w:top w:val="single" w:color="000000" w:sz="4" w:space="0"/>
                    <w:tl2br w:val="nil"/>
                    <w:tr2bl w:val="nil"/>
                  </w:tcBorders>
                  <w:noWrap w:val="0"/>
                  <w:vAlign w:val="center"/>
                </w:tcPr>
                <w:p w14:paraId="7913D5C8">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5000</w:t>
                  </w:r>
                </w:p>
              </w:tc>
              <w:tc>
                <w:tcPr>
                  <w:tcW w:w="354" w:type="pct"/>
                  <w:tcBorders>
                    <w:top w:val="single" w:color="000000" w:sz="4" w:space="0"/>
                    <w:bottom w:val="single" w:color="000000" w:sz="4" w:space="0"/>
                    <w:tl2br w:val="nil"/>
                    <w:tr2bl w:val="nil"/>
                  </w:tcBorders>
                  <w:noWrap w:val="0"/>
                  <w:vAlign w:val="center"/>
                </w:tcPr>
                <w:p w14:paraId="4207A444">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 xml:space="preserve">0.0026 </w:t>
                  </w:r>
                </w:p>
              </w:tc>
            </w:tr>
            <w:tr w14:paraId="302CD0BB">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472" w:type="pct"/>
                  <w:vMerge w:val="continue"/>
                  <w:tcBorders>
                    <w:tl2br w:val="nil"/>
                    <w:tr2bl w:val="nil"/>
                  </w:tcBorders>
                  <w:noWrap w:val="0"/>
                  <w:vAlign w:val="center"/>
                </w:tcPr>
                <w:p w14:paraId="077CC5C3">
                  <w:pPr>
                    <w:widowControl/>
                    <w:jc w:val="cente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p>
              </w:tc>
              <w:tc>
                <w:tcPr>
                  <w:tcW w:w="454" w:type="pct"/>
                  <w:tcBorders>
                    <w:top w:val="single" w:color="000000" w:sz="4" w:space="0"/>
                    <w:bottom w:val="single" w:color="000000" w:sz="4" w:space="0"/>
                    <w:tl2br w:val="nil"/>
                    <w:tr2bl w:val="nil"/>
                  </w:tcBorders>
                  <w:noWrap w:val="0"/>
                  <w:vAlign w:val="center"/>
                </w:tcPr>
                <w:p w14:paraId="615FE31D">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NH</w:t>
                  </w:r>
                  <w:r>
                    <w:rPr>
                      <w:rFonts w:hint="default" w:ascii="Times New Roman" w:hAnsi="Times New Roman" w:eastAsia="宋体" w:cs="Times New Roman"/>
                      <w:b w:val="0"/>
                      <w:bCs w:val="0"/>
                      <w:color w:val="000000" w:themeColor="text1"/>
                      <w:kern w:val="2"/>
                      <w:sz w:val="21"/>
                      <w:szCs w:val="21"/>
                      <w:u w:val="none" w:color="auto"/>
                      <w:vertAlign w:val="subscript"/>
                      <w:lang w:val="en-US" w:eastAsia="zh-CN"/>
                      <w14:textFill>
                        <w14:solidFill>
                          <w14:schemeClr w14:val="tx1"/>
                        </w14:solidFill>
                      </w14:textFill>
                    </w:rPr>
                    <w:t>3</w:t>
                  </w:r>
                </w:p>
              </w:tc>
              <w:tc>
                <w:tcPr>
                  <w:tcW w:w="400" w:type="pct"/>
                  <w:tcBorders>
                    <w:top w:val="single" w:color="000000" w:sz="4" w:space="0"/>
                    <w:bottom w:val="single" w:color="000000" w:sz="4" w:space="0"/>
                    <w:tl2br w:val="nil"/>
                    <w:tr2bl w:val="nil"/>
                  </w:tcBorders>
                  <w:noWrap w:val="0"/>
                  <w:vAlign w:val="center"/>
                </w:tcPr>
                <w:p w14:paraId="5BEF942A">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0.0736</w:t>
                  </w:r>
                </w:p>
              </w:tc>
              <w:tc>
                <w:tcPr>
                  <w:tcW w:w="535" w:type="pct"/>
                  <w:tcBorders>
                    <w:top w:val="single" w:color="000000" w:sz="4" w:space="0"/>
                    <w:bottom w:val="single" w:color="000000" w:sz="4" w:space="0"/>
                    <w:tl2br w:val="nil"/>
                    <w:tr2bl w:val="nil"/>
                  </w:tcBorders>
                  <w:shd w:val="clear" w:color="auto" w:fill="auto"/>
                  <w:noWrap w:val="0"/>
                  <w:vAlign w:val="center"/>
                </w:tcPr>
                <w:p w14:paraId="2511FCFE">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 xml:space="preserve">0.0093 </w:t>
                  </w:r>
                </w:p>
              </w:tc>
              <w:tc>
                <w:tcPr>
                  <w:tcW w:w="632" w:type="pct"/>
                  <w:vMerge w:val="continue"/>
                  <w:tcBorders>
                    <w:tl2br w:val="nil"/>
                    <w:tr2bl w:val="nil"/>
                  </w:tcBorders>
                  <w:shd w:val="clear" w:color="auto" w:fill="auto"/>
                  <w:noWrap w:val="0"/>
                  <w:vAlign w:val="center"/>
                </w:tcPr>
                <w:p w14:paraId="0A637AF1">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p>
              </w:tc>
              <w:tc>
                <w:tcPr>
                  <w:tcW w:w="512" w:type="pct"/>
                  <w:vMerge w:val="continue"/>
                  <w:tcBorders>
                    <w:tl2br w:val="nil"/>
                    <w:tr2bl w:val="nil"/>
                  </w:tcBorders>
                  <w:noWrap w:val="0"/>
                  <w:vAlign w:val="center"/>
                </w:tcPr>
                <w:p w14:paraId="164AB85E">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p>
              </w:tc>
              <w:tc>
                <w:tcPr>
                  <w:tcW w:w="443" w:type="pct"/>
                  <w:tcBorders>
                    <w:top w:val="single" w:color="000000" w:sz="4" w:space="0"/>
                    <w:bottom w:val="single" w:color="000000" w:sz="4" w:space="0"/>
                    <w:tl2br w:val="nil"/>
                    <w:tr2bl w:val="nil"/>
                  </w:tcBorders>
                  <w:noWrap w:val="0"/>
                  <w:vAlign w:val="center"/>
                </w:tcPr>
                <w:p w14:paraId="0CFE8103">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 xml:space="preserve">0.0074 </w:t>
                  </w:r>
                </w:p>
              </w:tc>
              <w:tc>
                <w:tcPr>
                  <w:tcW w:w="449" w:type="pct"/>
                  <w:vMerge w:val="continue"/>
                  <w:tcBorders>
                    <w:tl2br w:val="nil"/>
                    <w:tr2bl w:val="nil"/>
                  </w:tcBorders>
                  <w:noWrap w:val="0"/>
                  <w:vAlign w:val="center"/>
                </w:tcPr>
                <w:p w14:paraId="7CB211A5">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p>
              </w:tc>
              <w:tc>
                <w:tcPr>
                  <w:tcW w:w="333" w:type="pct"/>
                  <w:tcBorders>
                    <w:top w:val="single" w:color="000000" w:sz="4" w:space="0"/>
                    <w:bottom w:val="single" w:color="000000" w:sz="4" w:space="0"/>
                    <w:tl2br w:val="nil"/>
                    <w:tr2bl w:val="nil"/>
                  </w:tcBorders>
                  <w:noWrap w:val="0"/>
                  <w:vAlign w:val="center"/>
                </w:tcPr>
                <w:p w14:paraId="7FED1DC7">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 xml:space="preserve">0.00093 </w:t>
                  </w:r>
                </w:p>
              </w:tc>
              <w:tc>
                <w:tcPr>
                  <w:tcW w:w="412" w:type="pct"/>
                  <w:vMerge w:val="continue"/>
                  <w:tcBorders>
                    <w:bottom w:val="single" w:color="000000" w:sz="4" w:space="0"/>
                    <w:tl2br w:val="nil"/>
                    <w:tr2bl w:val="nil"/>
                  </w:tcBorders>
                  <w:noWrap w:val="0"/>
                  <w:vAlign w:val="center"/>
                </w:tcPr>
                <w:p w14:paraId="4EBF6C2C">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p>
              </w:tc>
              <w:tc>
                <w:tcPr>
                  <w:tcW w:w="354" w:type="pct"/>
                  <w:tcBorders>
                    <w:top w:val="single" w:color="000000" w:sz="4" w:space="0"/>
                    <w:bottom w:val="single" w:color="000000" w:sz="4" w:space="0"/>
                    <w:tl2br w:val="nil"/>
                    <w:tr2bl w:val="nil"/>
                  </w:tcBorders>
                  <w:noWrap w:val="0"/>
                  <w:vAlign w:val="center"/>
                </w:tcPr>
                <w:p w14:paraId="7EF08A30">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 xml:space="preserve">0.1859 </w:t>
                  </w:r>
                </w:p>
              </w:tc>
            </w:tr>
            <w:tr w14:paraId="7CFB00C5">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4" w:hRule="atLeast"/>
                <w:jc w:val="center"/>
              </w:trPr>
              <w:tc>
                <w:tcPr>
                  <w:tcW w:w="472" w:type="pct"/>
                  <w:vMerge w:val="continue"/>
                  <w:tcBorders>
                    <w:bottom w:val="single" w:color="000000" w:sz="4" w:space="0"/>
                    <w:tl2br w:val="nil"/>
                    <w:tr2bl w:val="nil"/>
                  </w:tcBorders>
                  <w:noWrap w:val="0"/>
                  <w:vAlign w:val="center"/>
                </w:tcPr>
                <w:p w14:paraId="2E91ED37">
                  <w:pPr>
                    <w:widowControl/>
                    <w:jc w:val="cente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p>
              </w:tc>
              <w:tc>
                <w:tcPr>
                  <w:tcW w:w="454" w:type="pct"/>
                  <w:tcBorders>
                    <w:top w:val="single" w:color="000000" w:sz="4" w:space="0"/>
                    <w:bottom w:val="single" w:color="000000" w:sz="4" w:space="0"/>
                    <w:tl2br w:val="nil"/>
                    <w:tr2bl w:val="nil"/>
                  </w:tcBorders>
                  <w:noWrap w:val="0"/>
                  <w:vAlign w:val="center"/>
                </w:tcPr>
                <w:p w14:paraId="01747E5F">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臭气浓度</w:t>
                  </w:r>
                </w:p>
              </w:tc>
              <w:tc>
                <w:tcPr>
                  <w:tcW w:w="935" w:type="pct"/>
                  <w:gridSpan w:val="2"/>
                  <w:tcBorders>
                    <w:top w:val="single" w:color="000000" w:sz="4" w:space="0"/>
                    <w:bottom w:val="single" w:color="000000" w:sz="4" w:space="0"/>
                    <w:tl2br w:val="nil"/>
                    <w:tr2bl w:val="nil"/>
                  </w:tcBorders>
                  <w:noWrap w:val="0"/>
                  <w:vAlign w:val="center"/>
                </w:tcPr>
                <w:p w14:paraId="7C42D551">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4000</w:t>
                  </w:r>
                </w:p>
              </w:tc>
              <w:tc>
                <w:tcPr>
                  <w:tcW w:w="632" w:type="pct"/>
                  <w:vMerge w:val="continue"/>
                  <w:tcBorders>
                    <w:bottom w:val="single" w:color="000000" w:sz="4" w:space="0"/>
                    <w:tl2br w:val="nil"/>
                    <w:tr2bl w:val="nil"/>
                  </w:tcBorders>
                  <w:shd w:val="clear" w:color="auto" w:fill="auto"/>
                  <w:noWrap w:val="0"/>
                  <w:vAlign w:val="center"/>
                </w:tcPr>
                <w:p w14:paraId="63832B21">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p>
              </w:tc>
              <w:tc>
                <w:tcPr>
                  <w:tcW w:w="512" w:type="pct"/>
                  <w:vMerge w:val="continue"/>
                  <w:tcBorders>
                    <w:bottom w:val="single" w:color="000000" w:sz="4" w:space="0"/>
                    <w:tl2br w:val="nil"/>
                    <w:tr2bl w:val="nil"/>
                  </w:tcBorders>
                  <w:noWrap w:val="0"/>
                  <w:vAlign w:val="center"/>
                </w:tcPr>
                <w:p w14:paraId="1642724E">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p>
              </w:tc>
              <w:tc>
                <w:tcPr>
                  <w:tcW w:w="1993" w:type="pct"/>
                  <w:gridSpan w:val="5"/>
                  <w:tcBorders>
                    <w:top w:val="single" w:color="000000" w:sz="4" w:space="0"/>
                    <w:bottom w:val="single" w:color="000000" w:sz="4" w:space="0"/>
                    <w:tl2br w:val="nil"/>
                    <w:tr2bl w:val="nil"/>
                  </w:tcBorders>
                  <w:noWrap w:val="0"/>
                  <w:vAlign w:val="center"/>
                </w:tcPr>
                <w:p w14:paraId="4C14F92E">
                  <w:pPr>
                    <w:widowControl/>
                    <w:jc w:val="center"/>
                    <w:rPr>
                      <w:rFonts w:hint="default"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u w:val="none" w:color="auto"/>
                      <w:lang w:val="en-US" w:eastAsia="zh-CN"/>
                      <w14:textFill>
                        <w14:solidFill>
                          <w14:schemeClr w14:val="tx1"/>
                        </w14:solidFill>
                      </w14:textFill>
                    </w:rPr>
                    <w:t>400</w:t>
                  </w:r>
                </w:p>
              </w:tc>
            </w:tr>
          </w:tbl>
          <w:p w14:paraId="0273AA5B">
            <w:pPr>
              <w:tabs>
                <w:tab w:val="left" w:pos="3620"/>
              </w:tabs>
              <w:adjustRightInd w:val="0"/>
              <w:snapToGrid w:val="0"/>
              <w:spacing w:line="440" w:lineRule="exact"/>
              <w:ind w:firstLine="480" w:firstLineChars="200"/>
              <w:rPr>
                <w:rFonts w:hint="eastAsia" w:ascii="Times New Roman" w:hAnsi="宋体" w:eastAsia="宋体" w:cs="Times New Roman"/>
                <w:sz w:val="24"/>
                <w:szCs w:val="24"/>
                <w:u w:val="none" w:color="auto"/>
                <w:vertAlign w:val="baseline"/>
                <w:lang w:val="en-US" w:eastAsia="zh-CN"/>
              </w:rPr>
            </w:pPr>
            <w:r>
              <w:rPr>
                <w:rFonts w:hint="eastAsia" w:hAnsi="宋体"/>
                <w:sz w:val="24"/>
                <w:szCs w:val="24"/>
                <w:u w:val="none" w:color="auto"/>
                <w:lang w:val="en-US" w:eastAsia="zh-CN"/>
              </w:rPr>
              <w:t>由上表可知，本项目非甲烷总烃的排放浓度能够满足《电池工业污染物排放标准》（GB30484-2013）中非甲烷总烃有组织排放浓度50mg/m</w:t>
            </w:r>
            <w:r>
              <w:rPr>
                <w:rFonts w:hint="eastAsia" w:hAnsi="宋体"/>
                <w:sz w:val="24"/>
                <w:szCs w:val="24"/>
                <w:u w:val="none" w:color="auto"/>
                <w:vertAlign w:val="superscript"/>
                <w:lang w:val="en-US" w:eastAsia="zh-CN"/>
              </w:rPr>
              <w:t>3</w:t>
            </w:r>
            <w:r>
              <w:rPr>
                <w:rFonts w:hint="eastAsia" w:hAnsi="宋体"/>
                <w:sz w:val="24"/>
                <w:szCs w:val="24"/>
                <w:u w:val="none" w:color="auto"/>
                <w:lang w:val="en-US" w:eastAsia="zh-CN"/>
              </w:rPr>
              <w:t>的标准要求，满足《河南省重污染天气重点行业应急减排措施制定技术指南》（2024年修订版）中电池制造企业绩效分级指标A级企业非甲烷总烃30mg/m</w:t>
            </w:r>
            <w:r>
              <w:rPr>
                <w:rFonts w:hint="eastAsia" w:hAnsi="宋体"/>
                <w:sz w:val="24"/>
                <w:szCs w:val="24"/>
                <w:u w:val="none" w:color="auto"/>
                <w:vertAlign w:val="superscript"/>
                <w:lang w:val="en-US" w:eastAsia="zh-CN"/>
              </w:rPr>
              <w:t>3</w:t>
            </w:r>
            <w:r>
              <w:rPr>
                <w:rFonts w:hint="eastAsia" w:hAnsi="宋体"/>
                <w:sz w:val="24"/>
                <w:szCs w:val="24"/>
                <w:u w:val="none" w:color="auto"/>
                <w:lang w:val="en-US" w:eastAsia="zh-CN"/>
              </w:rPr>
              <w:t>的标准要求，同时满足《关于全省开展工业企业挥发性有机物专项治理工作中排放建议值的通知》（豫环攻坚办[2017]162号）附件1其他行业有机废气排放口非甲烷总烃80mg/m</w:t>
            </w:r>
            <w:r>
              <w:rPr>
                <w:rFonts w:hint="eastAsia" w:hAnsi="宋体"/>
                <w:sz w:val="24"/>
                <w:szCs w:val="24"/>
                <w:u w:val="none" w:color="auto"/>
                <w:vertAlign w:val="superscript"/>
                <w:lang w:val="en-US" w:eastAsia="zh-CN"/>
              </w:rPr>
              <w:t>3</w:t>
            </w:r>
            <w:r>
              <w:rPr>
                <w:rFonts w:hint="eastAsia" w:hAnsi="宋体"/>
                <w:sz w:val="24"/>
                <w:szCs w:val="24"/>
                <w:u w:val="none" w:color="auto"/>
                <w:lang w:val="en-US" w:eastAsia="zh-CN"/>
              </w:rPr>
              <w:t>限值要求</w:t>
            </w:r>
            <w:r>
              <w:rPr>
                <w:rFonts w:hint="eastAsia"/>
                <w:color w:val="000000"/>
                <w:szCs w:val="21"/>
                <w:u w:val="none" w:color="auto"/>
                <w:shd w:val="clear" w:color="auto" w:fill="FFFFFF"/>
                <w:lang w:val="en-US" w:eastAsia="zh-CN"/>
              </w:rPr>
              <w:t>；</w:t>
            </w:r>
            <w:r>
              <w:rPr>
                <w:rFonts w:hint="eastAsia" w:ascii="Times New Roman" w:hAnsi="宋体" w:eastAsia="宋体" w:cs="Times New Roman"/>
                <w:sz w:val="24"/>
                <w:szCs w:val="24"/>
                <w:u w:val="none" w:color="auto"/>
                <w:lang w:val="en-US" w:eastAsia="zh-CN"/>
              </w:rPr>
              <w:t>本项目有组织排放的</w:t>
            </w:r>
            <w:r>
              <w:rPr>
                <w:rFonts w:hint="default" w:ascii="Times New Roman" w:hAnsi="宋体" w:eastAsia="宋体" w:cs="Times New Roman"/>
                <w:sz w:val="24"/>
                <w:szCs w:val="24"/>
                <w:u w:val="none" w:color="auto"/>
                <w:lang w:val="en-US" w:eastAsia="zh-CN"/>
              </w:rPr>
              <w:t>NH</w:t>
            </w:r>
            <w:r>
              <w:rPr>
                <w:rFonts w:hint="default" w:ascii="Times New Roman" w:hAnsi="宋体" w:eastAsia="宋体" w:cs="Times New Roman"/>
                <w:sz w:val="24"/>
                <w:szCs w:val="24"/>
                <w:u w:val="none" w:color="auto"/>
                <w:vertAlign w:val="subscript"/>
                <w:lang w:val="en-US" w:eastAsia="zh-CN"/>
              </w:rPr>
              <w:t>3</w:t>
            </w:r>
            <w:r>
              <w:rPr>
                <w:rFonts w:hint="eastAsia" w:ascii="Times New Roman" w:hAnsi="宋体" w:eastAsia="宋体" w:cs="Times New Roman"/>
                <w:sz w:val="24"/>
                <w:szCs w:val="24"/>
                <w:u w:val="none" w:color="auto"/>
                <w:lang w:val="en-US" w:eastAsia="zh-CN"/>
              </w:rPr>
              <w:t>、</w:t>
            </w:r>
            <w:r>
              <w:rPr>
                <w:rFonts w:hint="default" w:ascii="Times New Roman" w:hAnsi="宋体" w:eastAsia="宋体" w:cs="Times New Roman"/>
                <w:sz w:val="24"/>
                <w:szCs w:val="24"/>
                <w:u w:val="none" w:color="auto"/>
                <w:lang w:val="en-US" w:eastAsia="zh-CN"/>
              </w:rPr>
              <w:t>H</w:t>
            </w:r>
            <w:r>
              <w:rPr>
                <w:rFonts w:hint="default" w:ascii="Times New Roman" w:hAnsi="宋体" w:eastAsia="宋体" w:cs="Times New Roman"/>
                <w:sz w:val="24"/>
                <w:szCs w:val="24"/>
                <w:u w:val="none" w:color="auto"/>
                <w:vertAlign w:val="subscript"/>
                <w:lang w:val="en-US" w:eastAsia="zh-CN"/>
              </w:rPr>
              <w:t>2</w:t>
            </w:r>
            <w:r>
              <w:rPr>
                <w:rFonts w:hint="default" w:ascii="Times New Roman" w:hAnsi="宋体" w:eastAsia="宋体" w:cs="Times New Roman"/>
                <w:sz w:val="24"/>
                <w:szCs w:val="24"/>
                <w:u w:val="none" w:color="auto"/>
                <w:lang w:val="en-US" w:eastAsia="zh-CN"/>
              </w:rPr>
              <w:t>S</w:t>
            </w:r>
            <w:r>
              <w:rPr>
                <w:rFonts w:hint="eastAsia" w:ascii="Times New Roman" w:hAnsi="宋体" w:eastAsia="宋体" w:cs="Times New Roman"/>
                <w:sz w:val="24"/>
                <w:szCs w:val="24"/>
                <w:u w:val="none" w:color="auto"/>
                <w:lang w:val="en-US" w:eastAsia="zh-CN"/>
              </w:rPr>
              <w:t>以及臭气浓度</w:t>
            </w:r>
            <w:r>
              <w:rPr>
                <w:rFonts w:hint="default" w:ascii="Times New Roman" w:hAnsi="宋体" w:eastAsia="宋体" w:cs="Times New Roman"/>
                <w:sz w:val="24"/>
                <w:szCs w:val="24"/>
                <w:u w:val="none" w:color="auto"/>
                <w:lang w:val="en-US" w:eastAsia="zh-CN"/>
              </w:rPr>
              <w:t>均可满足《恶臭污染物排放标准》(GB14554-93）表2恶臭污染物排放标准限值要求。</w:t>
            </w:r>
            <w:r>
              <w:rPr>
                <w:rFonts w:hint="eastAsia" w:hAnsi="宋体" w:cs="Times New Roman"/>
                <w:sz w:val="24"/>
                <w:szCs w:val="24"/>
                <w:u w:val="none" w:color="auto"/>
                <w:lang w:val="en-US" w:eastAsia="zh-CN"/>
              </w:rPr>
              <w:t>本项目颗粒物的排放浓度可满足</w:t>
            </w:r>
            <w:r>
              <w:rPr>
                <w:rFonts w:hint="eastAsia" w:hAnsi="宋体"/>
                <w:sz w:val="24"/>
                <w:szCs w:val="24"/>
                <w:u w:val="none" w:color="auto"/>
                <w:lang w:val="en-US" w:eastAsia="zh-CN"/>
              </w:rPr>
              <w:t>《电池工业污染物排放标准》（GB30484-2013）</w:t>
            </w:r>
            <w:r>
              <w:rPr>
                <w:rFonts w:hint="eastAsia" w:ascii="Times New Roman" w:hAnsi="宋体" w:eastAsia="宋体" w:cs="Times New Roman"/>
                <w:sz w:val="24"/>
                <w:szCs w:val="24"/>
                <w:u w:val="none" w:color="auto"/>
                <w:lang w:val="en-US" w:eastAsia="zh-CN"/>
              </w:rPr>
              <w:t>颗粒物有组织排放浓度30</w:t>
            </w:r>
            <w:r>
              <w:rPr>
                <w:rFonts w:hint="default" w:ascii="Times New Roman" w:hAnsi="宋体" w:eastAsia="宋体" w:cs="Times New Roman"/>
                <w:sz w:val="24"/>
                <w:szCs w:val="24"/>
                <w:u w:val="none" w:color="auto"/>
                <w:lang w:val="en-US" w:eastAsia="zh-CN"/>
              </w:rPr>
              <w:t>mg/m</w:t>
            </w:r>
            <w:r>
              <w:rPr>
                <w:rFonts w:hint="default" w:ascii="Times New Roman" w:hAnsi="宋体" w:eastAsia="宋体" w:cs="Times New Roman"/>
                <w:sz w:val="24"/>
                <w:szCs w:val="24"/>
                <w:u w:val="none" w:color="auto"/>
                <w:vertAlign w:val="superscript"/>
                <w:lang w:val="en-US" w:eastAsia="zh-CN"/>
              </w:rPr>
              <w:t>3</w:t>
            </w:r>
            <w:r>
              <w:rPr>
                <w:rFonts w:hint="eastAsia" w:ascii="Times New Roman" w:hAnsi="宋体" w:eastAsia="宋体" w:cs="Times New Roman"/>
                <w:sz w:val="24"/>
                <w:szCs w:val="24"/>
                <w:u w:val="none" w:color="auto"/>
                <w:lang w:val="en-US" w:eastAsia="zh-CN"/>
              </w:rPr>
              <w:t>，同时满足《新乡市生态环境局关于进一步规范工业企业颗粒物排放限值的通知》颗粒物有组织排放浓度10</w:t>
            </w:r>
            <w:r>
              <w:rPr>
                <w:rFonts w:hint="default" w:ascii="Times New Roman" w:hAnsi="宋体" w:eastAsia="宋体" w:cs="Times New Roman"/>
                <w:sz w:val="24"/>
                <w:szCs w:val="24"/>
                <w:u w:val="none" w:color="auto"/>
                <w:lang w:val="en-US" w:eastAsia="zh-CN"/>
              </w:rPr>
              <w:t>mg/m</w:t>
            </w:r>
            <w:r>
              <w:rPr>
                <w:rFonts w:hint="default" w:ascii="Times New Roman" w:hAnsi="宋体" w:eastAsia="宋体" w:cs="Times New Roman"/>
                <w:sz w:val="24"/>
                <w:szCs w:val="24"/>
                <w:u w:val="none" w:color="auto"/>
                <w:vertAlign w:val="superscript"/>
                <w:lang w:val="en-US" w:eastAsia="zh-CN"/>
              </w:rPr>
              <w:t>3</w:t>
            </w:r>
            <w:r>
              <w:rPr>
                <w:rFonts w:hint="eastAsia" w:ascii="Times New Roman" w:hAnsi="宋体" w:eastAsia="宋体" w:cs="Times New Roman"/>
                <w:sz w:val="24"/>
                <w:szCs w:val="24"/>
                <w:u w:val="none" w:color="auto"/>
                <w:vertAlign w:val="baseline"/>
                <w:lang w:val="en-US" w:eastAsia="zh-CN"/>
              </w:rPr>
              <w:t>以及《河南省重污染天气重点行业应急减排措施制定技术指南》（2024年修订版）电池制造A级要求颗粒物有组织排放浓度10mg/m</w:t>
            </w:r>
            <w:r>
              <w:rPr>
                <w:rFonts w:hint="eastAsia" w:ascii="Times New Roman" w:hAnsi="宋体" w:eastAsia="宋体" w:cs="Times New Roman"/>
                <w:sz w:val="24"/>
                <w:szCs w:val="24"/>
                <w:u w:val="none" w:color="auto"/>
                <w:vertAlign w:val="superscript"/>
                <w:lang w:val="en-US" w:eastAsia="zh-CN"/>
              </w:rPr>
              <w:t>3</w:t>
            </w:r>
            <w:r>
              <w:rPr>
                <w:rFonts w:hint="eastAsia" w:ascii="Times New Roman" w:hAnsi="宋体" w:eastAsia="宋体" w:cs="Times New Roman"/>
                <w:sz w:val="24"/>
                <w:szCs w:val="24"/>
                <w:u w:val="none" w:color="auto"/>
                <w:vertAlign w:val="baseline"/>
                <w:lang w:val="en-US" w:eastAsia="zh-CN"/>
              </w:rPr>
              <w:t>的要求。</w:t>
            </w:r>
          </w:p>
          <w:p w14:paraId="10E626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u w:val="none" w:color="auto"/>
              </w:rPr>
            </w:pPr>
            <w:r>
              <w:rPr>
                <w:u w:val="none" w:color="auto"/>
              </w:rPr>
              <w:object>
                <v:shape id="_x0000_i1027" o:spt="75" type="#_x0000_t75" style="height:189.2pt;width:368.95pt;" o:ole="t" filled="f" o:preferrelative="t" stroked="f" coordsize="21600,21600">
                  <v:path/>
                  <v:fill on="f" focussize="0,0"/>
                  <v:stroke on="f"/>
                  <v:imagedata r:id="rId33" o:title=""/>
                  <o:lock v:ext="edit" aspectratio="t"/>
                  <w10:wrap type="none"/>
                  <w10:anchorlock/>
                </v:shape>
                <o:OLEObject Type="Embed" ProgID="Visio.Drawing.11" ShapeID="_x0000_i1027" DrawAspect="Content" ObjectID="_1468075727" r:id="rId32">
                  <o:LockedField>false</o:LockedField>
                </o:OLEObject>
              </w:object>
            </w:r>
          </w:p>
          <w:p w14:paraId="7D9E6A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b/>
                <w:bCs/>
                <w:color w:val="000000"/>
                <w:sz w:val="24"/>
                <w:szCs w:val="24"/>
                <w:u w:val="none" w:color="auto"/>
                <w:shd w:val="clear" w:color="auto" w:fill="FFFFFF"/>
                <w:lang w:val="en-US" w:eastAsia="zh-CN"/>
              </w:rPr>
            </w:pPr>
            <w:r>
              <w:rPr>
                <w:rFonts w:hint="eastAsia"/>
                <w:b/>
                <w:bCs/>
                <w:color w:val="000000"/>
                <w:sz w:val="24"/>
                <w:szCs w:val="24"/>
                <w:u w:val="none" w:color="auto"/>
                <w:shd w:val="clear" w:color="auto" w:fill="FFFFFF"/>
                <w:lang w:val="en-US" w:eastAsia="zh-CN"/>
              </w:rPr>
              <w:t>图4-1    项目废气治理示意图</w:t>
            </w:r>
          </w:p>
          <w:p w14:paraId="28F93C28">
            <w:pPr>
              <w:keepNext w:val="0"/>
              <w:keepLines w:val="0"/>
              <w:pageBreakBefore w:val="0"/>
              <w:numPr>
                <w:ilvl w:val="0"/>
                <w:numId w:val="20"/>
              </w:numPr>
              <w:kinsoku/>
              <w:wordWrap/>
              <w:overflowPunct/>
              <w:topLinePunct w:val="0"/>
              <w:autoSpaceDE/>
              <w:autoSpaceDN/>
              <w:bidi w:val="0"/>
              <w:spacing w:line="440" w:lineRule="exact"/>
              <w:ind w:firstLine="482" w:firstLineChars="200"/>
              <w:jc w:val="left"/>
              <w:textAlignment w:val="auto"/>
              <w:rPr>
                <w:rFonts w:hint="eastAsia"/>
                <w:b/>
                <w:bCs/>
                <w:sz w:val="24"/>
                <w:szCs w:val="24"/>
                <w:u w:val="none" w:color="auto"/>
                <w:lang w:val="en-US" w:eastAsia="zh-CN"/>
              </w:rPr>
            </w:pPr>
            <w:r>
              <w:rPr>
                <w:rFonts w:hint="eastAsia"/>
                <w:b/>
                <w:bCs/>
                <w:sz w:val="24"/>
                <w:szCs w:val="24"/>
                <w:u w:val="none" w:color="auto"/>
                <w:lang w:val="en-US" w:eastAsia="zh-CN"/>
              </w:rPr>
              <w:t>无组织废气分析</w:t>
            </w:r>
          </w:p>
          <w:p w14:paraId="44501229">
            <w:pPr>
              <w:keepNext w:val="0"/>
              <w:keepLines w:val="0"/>
              <w:pageBreakBefore w:val="0"/>
              <w:numPr>
                <w:ilvl w:val="0"/>
                <w:numId w:val="0"/>
              </w:numPr>
              <w:kinsoku/>
              <w:wordWrap/>
              <w:overflowPunct/>
              <w:topLinePunct w:val="0"/>
              <w:autoSpaceDE/>
              <w:autoSpaceDN/>
              <w:bidi w:val="0"/>
              <w:spacing w:line="440" w:lineRule="exact"/>
              <w:ind w:firstLine="482" w:firstLineChars="200"/>
              <w:jc w:val="left"/>
              <w:textAlignment w:val="auto"/>
              <w:rPr>
                <w:rFonts w:hint="default"/>
                <w:b/>
                <w:bCs/>
                <w:sz w:val="24"/>
                <w:szCs w:val="24"/>
                <w:u w:val="none" w:color="auto"/>
                <w:lang w:val="en-US" w:eastAsia="zh-CN"/>
              </w:rPr>
            </w:pPr>
            <w:r>
              <w:rPr>
                <w:rFonts w:hint="eastAsia"/>
                <w:b/>
                <w:bCs/>
                <w:sz w:val="24"/>
                <w:szCs w:val="24"/>
                <w:u w:val="none" w:color="auto"/>
                <w:lang w:val="en-US" w:eastAsia="zh-CN"/>
              </w:rPr>
              <w:t>1、配料工序无组织粉尘分析</w:t>
            </w:r>
          </w:p>
          <w:p w14:paraId="16D281B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eastAsiaTheme="minorEastAsia"/>
                <w:color w:val="000000" w:themeColor="text1"/>
                <w:sz w:val="24"/>
                <w:u w:val="none" w:color="auto"/>
                <w:lang w:val="en-US"/>
                <w14:textFill>
                  <w14:solidFill>
                    <w14:schemeClr w14:val="tx1"/>
                  </w14:solidFill>
                </w14:textFill>
              </w:rPr>
            </w:pPr>
            <w:r>
              <w:rPr>
                <w:rFonts w:hint="eastAsia" w:ascii="Times New Roman" w:hAnsi="Times New Roman" w:cs="Times New Roman" w:eastAsiaTheme="minorEastAsia"/>
                <w:color w:val="000000" w:themeColor="text1"/>
                <w:kern w:val="2"/>
                <w:sz w:val="24"/>
                <w:szCs w:val="24"/>
                <w:u w:val="none" w:color="auto"/>
                <w:lang w:val="en-US" w:eastAsia="zh-CN" w:bidi="ar-SA"/>
                <w14:textFill>
                  <w14:solidFill>
                    <w14:schemeClr w14:val="tx1"/>
                  </w14:solidFill>
                </w14:textFill>
              </w:rPr>
              <w:t>本项目</w:t>
            </w:r>
            <w:r>
              <w:rPr>
                <w:rFonts w:hint="eastAsia" w:cs="Times New Roman" w:eastAsiaTheme="minorEastAsia"/>
                <w:color w:val="000000" w:themeColor="text1"/>
                <w:kern w:val="2"/>
                <w:sz w:val="24"/>
                <w:szCs w:val="24"/>
                <w:u w:val="none" w:color="auto"/>
                <w:lang w:val="en-US" w:eastAsia="zh-CN" w:bidi="ar-SA"/>
                <w14:textFill>
                  <w14:solidFill>
                    <w14:schemeClr w14:val="tx1"/>
                  </w14:solidFill>
                </w14:textFill>
              </w:rPr>
              <w:t>配料工序粉尘无组织粉尘产生量为0.0085t/a。</w:t>
            </w:r>
          </w:p>
          <w:p w14:paraId="65A930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80" w:leftChars="0"/>
              <w:jc w:val="both"/>
              <w:textAlignment w:val="auto"/>
              <w:rPr>
                <w:rFonts w:hint="eastAsia" w:eastAsiaTheme="minorEastAsia"/>
                <w:b/>
                <w:bCs/>
                <w:color w:val="000000" w:themeColor="text1"/>
                <w:sz w:val="24"/>
                <w:u w:val="none" w:color="auto"/>
                <w:lang w:val="en-US" w:eastAsia="zh-CN"/>
                <w14:textFill>
                  <w14:solidFill>
                    <w14:schemeClr w14:val="tx1"/>
                  </w14:solidFill>
                </w14:textFill>
              </w:rPr>
            </w:pPr>
            <w:r>
              <w:rPr>
                <w:rFonts w:hint="eastAsia" w:eastAsiaTheme="minorEastAsia"/>
                <w:b/>
                <w:bCs/>
                <w:color w:val="000000" w:themeColor="text1"/>
                <w:sz w:val="24"/>
                <w:u w:val="none" w:color="auto"/>
                <w:lang w:val="en-US" w:eastAsia="zh-CN"/>
                <w14:textFill>
                  <w14:solidFill>
                    <w14:schemeClr w14:val="tx1"/>
                  </w14:solidFill>
                </w14:textFill>
              </w:rPr>
              <w:t>2、非甲烷总烃无组织排放分析</w:t>
            </w:r>
          </w:p>
          <w:p w14:paraId="6F04BE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kern w:val="2"/>
                <w:sz w:val="24"/>
                <w:u w:val="none" w:color="auto"/>
                <w:lang w:eastAsia="zh-CN"/>
              </w:rPr>
            </w:pPr>
            <w:r>
              <w:rPr>
                <w:rFonts w:hint="eastAsia" w:cs="Times New Roman" w:asciiTheme="minorEastAsia" w:hAnsiTheme="minorEastAsia" w:eastAsiaTheme="minorEastAsia"/>
                <w:sz w:val="24"/>
                <w:u w:val="none" w:color="auto"/>
                <w:lang w:val="en-GB"/>
              </w:rPr>
              <w:t>本项目涂布烘干工序均位于密闭间内且设备密闭，</w:t>
            </w:r>
            <w:r>
              <w:rPr>
                <w:rFonts w:hint="eastAsia" w:cs="Times New Roman" w:asciiTheme="minorEastAsia" w:hAnsiTheme="minorEastAsia" w:eastAsiaTheme="minorEastAsia"/>
                <w:sz w:val="24"/>
                <w:u w:val="none" w:color="auto"/>
                <w:lang w:val="en-US" w:eastAsia="zh-CN"/>
              </w:rPr>
              <w:t>考虑收集效</w:t>
            </w:r>
            <w:r>
              <w:rPr>
                <w:rFonts w:hint="default" w:ascii="Times New Roman" w:hAnsi="Times New Roman" w:eastAsia="宋体" w:cs="Times New Roman"/>
                <w:sz w:val="24"/>
                <w:u w:val="none" w:color="auto"/>
                <w:lang w:val="en-US" w:eastAsia="zh-CN"/>
              </w:rPr>
              <w:t>率为99.99%，</w:t>
            </w:r>
            <w:r>
              <w:rPr>
                <w:rFonts w:hint="eastAsia" w:ascii="Times New Roman" w:hAnsi="Times New Roman" w:eastAsia="宋体" w:cs="Times New Roman"/>
                <w:sz w:val="24"/>
                <w:u w:val="none" w:color="auto"/>
                <w:lang w:val="en-US" w:eastAsia="zh-CN"/>
              </w:rPr>
              <w:t>则</w:t>
            </w:r>
            <w:r>
              <w:rPr>
                <w:rFonts w:hint="eastAsia" w:cs="Times New Roman"/>
                <w:sz w:val="24"/>
                <w:u w:val="none" w:color="auto"/>
                <w:lang w:val="en-US" w:eastAsia="zh-CN"/>
              </w:rPr>
              <w:t>非甲烷总烃</w:t>
            </w:r>
            <w:r>
              <w:rPr>
                <w:rFonts w:hint="eastAsia" w:ascii="Times New Roman" w:hAnsi="Times New Roman" w:eastAsia="宋体" w:cs="Times New Roman"/>
                <w:sz w:val="24"/>
                <w:u w:val="none" w:color="auto"/>
                <w:lang w:val="en-US" w:eastAsia="zh-CN"/>
              </w:rPr>
              <w:t>无组织</w:t>
            </w:r>
            <w:r>
              <w:rPr>
                <w:kern w:val="2"/>
                <w:sz w:val="24"/>
                <w:u w:val="none" w:color="auto"/>
              </w:rPr>
              <w:t>产生量为</w:t>
            </w:r>
            <w:r>
              <w:rPr>
                <w:rFonts w:hint="eastAsia"/>
                <w:kern w:val="2"/>
                <w:sz w:val="24"/>
                <w:u w:val="none" w:color="auto"/>
                <w:lang w:val="en-US" w:eastAsia="zh-CN"/>
              </w:rPr>
              <w:t>0.12</w:t>
            </w:r>
            <w:r>
              <w:rPr>
                <w:kern w:val="2"/>
                <w:sz w:val="24"/>
                <w:u w:val="none" w:color="auto"/>
              </w:rPr>
              <w:t>t/a</w:t>
            </w:r>
            <w:r>
              <w:rPr>
                <w:rFonts w:hint="eastAsia"/>
                <w:kern w:val="2"/>
                <w:sz w:val="24"/>
                <w:u w:val="none" w:color="auto"/>
                <w:lang w:eastAsia="zh-CN"/>
              </w:rPr>
              <w:t>。</w:t>
            </w:r>
          </w:p>
          <w:p w14:paraId="0B6AB7FE">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480" w:leftChars="0" w:firstLine="0" w:firstLineChars="0"/>
              <w:jc w:val="both"/>
              <w:textAlignment w:val="auto"/>
              <w:rPr>
                <w:rFonts w:hint="eastAsia"/>
                <w:b/>
                <w:bCs/>
                <w:kern w:val="2"/>
                <w:sz w:val="24"/>
                <w:u w:val="none" w:color="auto"/>
                <w:lang w:val="en-US" w:eastAsia="zh-CN"/>
              </w:rPr>
            </w:pPr>
            <w:r>
              <w:rPr>
                <w:rFonts w:hint="eastAsia"/>
                <w:b/>
                <w:bCs/>
                <w:kern w:val="2"/>
                <w:sz w:val="24"/>
                <w:u w:val="none" w:color="auto"/>
                <w:lang w:val="en-US" w:eastAsia="zh-CN"/>
              </w:rPr>
              <w:t>污水处理设施废气无组织排放分析</w:t>
            </w:r>
          </w:p>
          <w:p w14:paraId="7DE198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eastAsia="宋体" w:cs="Times New Roman" w:asciiTheme="minorEastAsia" w:hAnsiTheme="minorEastAsia"/>
                <w:sz w:val="24"/>
                <w:u w:val="none" w:color="auto"/>
                <w:lang w:val="en-US" w:eastAsia="zh-CN"/>
              </w:rPr>
            </w:pPr>
            <w:r>
              <w:rPr>
                <w:rFonts w:hint="eastAsia" w:cs="Times New Roman" w:asciiTheme="minorEastAsia" w:hAnsiTheme="minorEastAsia" w:eastAsiaTheme="minorEastAsia"/>
                <w:sz w:val="24"/>
                <w:u w:val="none" w:color="auto"/>
                <w:lang w:val="en-US" w:eastAsia="zh-CN"/>
              </w:rPr>
              <w:t>本项目污水处理设施均加盖密闭，考虑</w:t>
            </w:r>
            <w:r>
              <w:rPr>
                <w:rFonts w:hint="default" w:ascii="Times New Roman" w:hAnsi="Times New Roman" w:cs="Times New Roman" w:eastAsiaTheme="minorEastAsia"/>
                <w:sz w:val="24"/>
                <w:u w:val="none" w:color="auto"/>
                <w:lang w:val="en-US" w:eastAsia="zh-CN"/>
              </w:rPr>
              <w:t>收集效率为95%</w:t>
            </w:r>
            <w:r>
              <w:rPr>
                <w:rFonts w:hint="eastAsia" w:ascii="Times New Roman" w:hAnsi="Times New Roman" w:cs="Times New Roman" w:eastAsiaTheme="minorEastAsia"/>
                <w:sz w:val="24"/>
                <w:u w:val="none" w:color="auto"/>
                <w:lang w:val="en-US" w:eastAsia="zh-CN"/>
              </w:rPr>
              <w:t>，未被收集的氨以及硫化氢无组织排放</w:t>
            </w:r>
            <w:r>
              <w:rPr>
                <w:rFonts w:hint="eastAsia" w:ascii="Times New Roman" w:hAnsi="Times New Roman" w:eastAsia="宋体" w:cs="Times New Roman"/>
                <w:sz w:val="24"/>
                <w:u w:val="none" w:color="auto"/>
                <w:lang w:val="en-US" w:eastAsia="zh-CN"/>
              </w:rPr>
              <w:t>无组织氨排放量为0.00</w:t>
            </w:r>
            <w:r>
              <w:rPr>
                <w:rFonts w:hint="eastAsia" w:cs="Times New Roman"/>
                <w:sz w:val="24"/>
                <w:u w:val="none" w:color="auto"/>
                <w:lang w:val="en-US" w:eastAsia="zh-CN"/>
              </w:rPr>
              <w:t>39</w:t>
            </w:r>
            <w:r>
              <w:rPr>
                <w:kern w:val="2"/>
                <w:sz w:val="24"/>
                <w:u w:val="none" w:color="auto"/>
              </w:rPr>
              <w:t>t/a</w:t>
            </w:r>
            <w:r>
              <w:rPr>
                <w:rFonts w:hint="eastAsia"/>
                <w:kern w:val="2"/>
                <w:sz w:val="24"/>
                <w:u w:val="none" w:color="auto"/>
                <w:lang w:eastAsia="zh-CN"/>
              </w:rPr>
              <w:t>。</w:t>
            </w:r>
          </w:p>
          <w:p w14:paraId="0E866D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eastAsiaTheme="minorEastAsia"/>
                <w:color w:val="000000" w:themeColor="text1"/>
                <w:sz w:val="24"/>
                <w:u w:val="none" w:color="auto"/>
                <w14:textFill>
                  <w14:solidFill>
                    <w14:schemeClr w14:val="tx1"/>
                  </w14:solidFill>
                </w14:textFill>
              </w:rPr>
            </w:pPr>
            <w:r>
              <w:rPr>
                <w:rFonts w:hint="eastAsia" w:eastAsiaTheme="minorEastAsia"/>
                <w:color w:val="000000" w:themeColor="text1"/>
                <w:sz w:val="24"/>
                <w:u w:val="none" w:color="auto"/>
                <w:lang w:val="en-US" w:eastAsia="zh-CN"/>
                <w14:textFill>
                  <w14:solidFill>
                    <w14:schemeClr w14:val="tx1"/>
                  </w14:solidFill>
                </w14:textFill>
              </w:rPr>
              <w:t>综上所述，</w:t>
            </w:r>
            <w:r>
              <w:rPr>
                <w:rFonts w:hint="eastAsia" w:eastAsiaTheme="minorEastAsia"/>
                <w:color w:val="000000" w:themeColor="text1"/>
                <w:sz w:val="24"/>
                <w:u w:val="none" w:color="auto"/>
                <w14:textFill>
                  <w14:solidFill>
                    <w14:schemeClr w14:val="tx1"/>
                  </w14:solidFill>
                </w14:textFill>
              </w:rPr>
              <w:t>无组织废气治理措施如下：</w:t>
            </w:r>
          </w:p>
          <w:p w14:paraId="1189F8F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kern w:val="2"/>
                <w:sz w:val="24"/>
                <w:u w:val="none" w:color="auto"/>
                <w:lang w:eastAsia="zh-CN"/>
              </w:rPr>
            </w:pPr>
            <w:r>
              <w:rPr>
                <w:rFonts w:hint="eastAsia"/>
                <w:kern w:val="2"/>
                <w:sz w:val="24"/>
                <w:u w:val="none" w:color="auto"/>
                <w:lang w:eastAsia="zh-CN"/>
              </w:rPr>
              <w:t>评价建议：</w:t>
            </w:r>
          </w:p>
          <w:p w14:paraId="77E61E0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Times New Roman" w:hAnsi="Times New Roman" w:cs="Times New Roman" w:eastAsiaTheme="minorEastAsia"/>
                <w:color w:val="000000" w:themeColor="text1"/>
                <w:sz w:val="24"/>
                <w:u w:val="none" w:color="auto"/>
                <w:lang w:eastAsia="zh-CN"/>
                <w14:textFill>
                  <w14:solidFill>
                    <w14:schemeClr w14:val="tx1"/>
                  </w14:solidFill>
                </w14:textFill>
              </w:rPr>
            </w:pPr>
            <w:r>
              <w:rPr>
                <w:rFonts w:hint="default" w:ascii="Times New Roman" w:hAnsi="Times New Roman" w:cs="Times New Roman" w:eastAsiaTheme="minorEastAsia"/>
                <w:color w:val="000000" w:themeColor="text1"/>
                <w:sz w:val="24"/>
                <w:u w:val="none" w:color="auto"/>
                <w:lang w:eastAsia="zh-CN"/>
                <w14:textFill>
                  <w14:solidFill>
                    <w14:schemeClr w14:val="tx1"/>
                  </w14:solidFill>
                </w14:textFill>
              </w:rPr>
              <w:t>①</w:t>
            </w:r>
            <w:r>
              <w:rPr>
                <w:rFonts w:hint="eastAsia" w:ascii="Times New Roman" w:hAnsi="Times New Roman" w:cs="Times New Roman" w:eastAsiaTheme="minorEastAsia"/>
                <w:color w:val="000000" w:themeColor="text1"/>
                <w:sz w:val="24"/>
                <w:u w:val="none" w:color="auto"/>
                <w:lang w:eastAsia="zh-CN"/>
                <w14:textFill>
                  <w14:solidFill>
                    <w14:schemeClr w14:val="tx1"/>
                  </w14:solidFill>
                </w14:textFill>
              </w:rPr>
              <w:t>企业加强设备的密闭性，保证收集效率，减少密封点管线阀门的泄漏排放；</w:t>
            </w:r>
          </w:p>
          <w:p w14:paraId="610BA3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Times New Roman" w:hAnsi="Times New Roman" w:cs="Times New Roman" w:eastAsiaTheme="minorEastAsia"/>
                <w:color w:val="000000" w:themeColor="text1"/>
                <w:sz w:val="24"/>
                <w:u w:val="none" w:color="auto"/>
                <w:lang w:eastAsia="zh-CN"/>
                <w14:textFill>
                  <w14:solidFill>
                    <w14:schemeClr w14:val="tx1"/>
                  </w14:solidFill>
                </w14:textFill>
              </w:rPr>
            </w:pPr>
            <w:r>
              <w:rPr>
                <w:rFonts w:hint="default" w:ascii="Times New Roman" w:hAnsi="Times New Roman" w:cs="Times New Roman" w:eastAsiaTheme="minorEastAsia"/>
                <w:color w:val="000000" w:themeColor="text1"/>
                <w:sz w:val="24"/>
                <w:u w:val="none" w:color="auto"/>
                <w:lang w:eastAsia="zh-CN"/>
                <w14:textFill>
                  <w14:solidFill>
                    <w14:schemeClr w14:val="tx1"/>
                  </w14:solidFill>
                </w14:textFill>
              </w:rPr>
              <w:t>②</w:t>
            </w:r>
            <w:r>
              <w:rPr>
                <w:rFonts w:ascii="宋体" w:hAnsi="宋体" w:eastAsia="宋体" w:cs="宋体"/>
                <w:sz w:val="24"/>
                <w:szCs w:val="24"/>
                <w:u w:val="none" w:color="auto"/>
              </w:rPr>
              <w:t>定期对废气治理设施喷淋水进行更换，保证吸附效率</w:t>
            </w:r>
            <w:r>
              <w:rPr>
                <w:rFonts w:hint="eastAsia" w:ascii="Times New Roman" w:hAnsi="Times New Roman" w:cs="Times New Roman" w:eastAsiaTheme="minorEastAsia"/>
                <w:color w:val="000000" w:themeColor="text1"/>
                <w:sz w:val="24"/>
                <w:u w:val="none" w:color="auto"/>
                <w:lang w:eastAsia="zh-CN"/>
                <w14:textFill>
                  <w14:solidFill>
                    <w14:schemeClr w14:val="tx1"/>
                  </w14:solidFill>
                </w14:textFill>
              </w:rPr>
              <w:t>；</w:t>
            </w:r>
          </w:p>
          <w:p w14:paraId="3E0928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hAnsiTheme="minorEastAsia" w:eastAsiaTheme="minorEastAsia"/>
                <w:sz w:val="24"/>
                <w:szCs w:val="24"/>
                <w:u w:val="none" w:color="auto"/>
                <w:lang w:eastAsia="zh-CN"/>
              </w:rPr>
            </w:pPr>
            <w:r>
              <w:rPr>
                <w:rFonts w:hint="default" w:ascii="Times New Roman" w:hAnsi="Times New Roman" w:cs="Times New Roman" w:eastAsiaTheme="minorEastAsia"/>
                <w:color w:val="000000" w:themeColor="text1"/>
                <w:sz w:val="24"/>
                <w:u w:val="none" w:color="auto"/>
                <w:lang w:eastAsia="zh-CN"/>
                <w14:textFill>
                  <w14:solidFill>
                    <w14:schemeClr w14:val="tx1"/>
                  </w14:solidFill>
                </w14:textFill>
              </w:rPr>
              <w:t>③</w:t>
            </w:r>
            <w:r>
              <w:rPr>
                <w:rFonts w:hint="eastAsia" w:hAnsiTheme="minorEastAsia" w:eastAsiaTheme="minorEastAsia"/>
                <w:sz w:val="24"/>
                <w:szCs w:val="24"/>
                <w:u w:val="none" w:color="auto"/>
              </w:rPr>
              <w:t>污水处理站各臭源构筑物加盖密闭负压收集恶臭气体，</w:t>
            </w:r>
            <w:r>
              <w:rPr>
                <w:rFonts w:hint="eastAsia" w:hAnsiTheme="minorEastAsia" w:eastAsiaTheme="minorEastAsia"/>
                <w:sz w:val="24"/>
                <w:szCs w:val="24"/>
                <w:u w:val="none" w:color="auto"/>
                <w:lang w:val="en-US" w:eastAsia="zh-CN"/>
              </w:rPr>
              <w:t>收集后</w:t>
            </w:r>
            <w:r>
              <w:rPr>
                <w:rFonts w:hint="eastAsia" w:hAnsiTheme="minorEastAsia" w:eastAsiaTheme="minorEastAsia"/>
                <w:sz w:val="24"/>
                <w:szCs w:val="24"/>
                <w:u w:val="none" w:color="auto"/>
              </w:rPr>
              <w:t>送入</w:t>
            </w:r>
            <w:r>
              <w:rPr>
                <w:rFonts w:hint="eastAsia" w:hAnsiTheme="minorEastAsia" w:eastAsiaTheme="minorEastAsia"/>
                <w:sz w:val="24"/>
                <w:szCs w:val="24"/>
                <w:u w:val="none" w:color="auto"/>
                <w:lang w:eastAsia="zh-CN"/>
              </w:rPr>
              <w:t>生物除臭池</w:t>
            </w:r>
            <w:r>
              <w:rPr>
                <w:rFonts w:hint="eastAsia" w:hAnsiTheme="minorEastAsia" w:eastAsiaTheme="minorEastAsia"/>
                <w:sz w:val="24"/>
                <w:szCs w:val="24"/>
                <w:u w:val="none" w:color="auto"/>
              </w:rPr>
              <w:t>处理后</w:t>
            </w:r>
            <w:r>
              <w:rPr>
                <w:rFonts w:hint="eastAsia" w:hAnsiTheme="minorEastAsia" w:eastAsiaTheme="minorEastAsia"/>
                <w:sz w:val="24"/>
                <w:szCs w:val="24"/>
                <w:u w:val="none" w:color="auto"/>
                <w:lang w:eastAsia="zh-CN"/>
              </w:rPr>
              <w:t>，</w:t>
            </w:r>
            <w:r>
              <w:rPr>
                <w:rFonts w:hint="eastAsia" w:hAnsiTheme="minorEastAsia" w:eastAsiaTheme="minorEastAsia"/>
                <w:sz w:val="24"/>
                <w:szCs w:val="24"/>
                <w:u w:val="none" w:color="auto"/>
                <w:lang w:val="en-US" w:eastAsia="zh-CN"/>
              </w:rPr>
              <w:t>尾气</w:t>
            </w:r>
            <w:r>
              <w:rPr>
                <w:rFonts w:hint="eastAsia" w:hAnsiTheme="minorEastAsia" w:eastAsiaTheme="minorEastAsia"/>
                <w:sz w:val="24"/>
                <w:szCs w:val="24"/>
                <w:u w:val="none" w:color="auto"/>
              </w:rPr>
              <w:t xml:space="preserve">经 1 根 </w:t>
            </w:r>
            <w:r>
              <w:rPr>
                <w:rFonts w:hint="eastAsia" w:hAnsiTheme="minorEastAsia" w:eastAsiaTheme="minorEastAsia"/>
                <w:sz w:val="24"/>
                <w:szCs w:val="24"/>
                <w:u w:val="none" w:color="auto"/>
                <w:lang w:val="en-US" w:eastAsia="zh-CN"/>
              </w:rPr>
              <w:t>15m</w:t>
            </w:r>
            <w:r>
              <w:rPr>
                <w:rFonts w:hint="eastAsia" w:hAnsiTheme="minorEastAsia" w:eastAsiaTheme="minorEastAsia"/>
                <w:sz w:val="24"/>
                <w:szCs w:val="24"/>
                <w:u w:val="none" w:color="auto"/>
              </w:rPr>
              <w:t>高排气筒</w:t>
            </w:r>
            <w:r>
              <w:rPr>
                <w:rFonts w:hint="eastAsia" w:hAnsiTheme="minorEastAsia" w:eastAsiaTheme="minorEastAsia"/>
                <w:sz w:val="24"/>
                <w:szCs w:val="24"/>
                <w:u w:val="none" w:color="auto"/>
                <w:lang w:eastAsia="zh-CN"/>
              </w:rPr>
              <w:t>（</w:t>
            </w:r>
            <w:r>
              <w:rPr>
                <w:rFonts w:hint="eastAsia" w:hAnsiTheme="minorEastAsia" w:eastAsiaTheme="minorEastAsia"/>
                <w:sz w:val="24"/>
                <w:szCs w:val="24"/>
                <w:u w:val="none" w:color="auto"/>
                <w:lang w:val="en-US" w:eastAsia="zh-CN"/>
              </w:rPr>
              <w:t>DA003</w:t>
            </w:r>
            <w:r>
              <w:rPr>
                <w:rFonts w:hint="eastAsia" w:hAnsiTheme="minorEastAsia" w:eastAsiaTheme="minorEastAsia"/>
                <w:sz w:val="24"/>
                <w:szCs w:val="24"/>
                <w:u w:val="none" w:color="auto"/>
                <w:lang w:eastAsia="zh-CN"/>
              </w:rPr>
              <w:t>）</w:t>
            </w:r>
            <w:r>
              <w:rPr>
                <w:rFonts w:hint="eastAsia" w:hAnsiTheme="minorEastAsia" w:eastAsiaTheme="minorEastAsia"/>
                <w:sz w:val="24"/>
                <w:szCs w:val="24"/>
                <w:u w:val="none" w:color="auto"/>
              </w:rPr>
              <w:t>排放</w:t>
            </w:r>
            <w:r>
              <w:rPr>
                <w:rFonts w:hint="eastAsia" w:hAnsiTheme="minorEastAsia" w:eastAsiaTheme="minorEastAsia"/>
                <w:sz w:val="24"/>
                <w:szCs w:val="24"/>
                <w:u w:val="none" w:color="auto"/>
                <w:lang w:eastAsia="zh-CN"/>
              </w:rPr>
              <w:t>。</w:t>
            </w:r>
          </w:p>
          <w:p w14:paraId="698A03D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eastAsiaTheme="minorEastAsia"/>
                <w:color w:val="000000" w:themeColor="text1"/>
                <w:sz w:val="24"/>
                <w:u w:val="none" w:color="auto"/>
                <w14:textFill>
                  <w14:solidFill>
                    <w14:schemeClr w14:val="tx1"/>
                  </w14:solidFill>
                </w14:textFill>
              </w:rPr>
            </w:pPr>
            <w:r>
              <w:rPr>
                <w:rFonts w:hint="eastAsia" w:eastAsiaTheme="minorEastAsia"/>
                <w:color w:val="000000" w:themeColor="text1"/>
                <w:sz w:val="24"/>
                <w:u w:val="none" w:color="auto"/>
                <w:lang w:val="en-US" w:eastAsia="zh-CN"/>
                <w14:textFill>
                  <w14:solidFill>
                    <w14:schemeClr w14:val="tx1"/>
                  </w14:solidFill>
                </w14:textFill>
              </w:rPr>
              <w:t>无组织废气</w:t>
            </w:r>
            <w:r>
              <w:rPr>
                <w:rFonts w:hint="eastAsia" w:eastAsiaTheme="minorEastAsia"/>
                <w:color w:val="000000" w:themeColor="text1"/>
                <w:sz w:val="24"/>
                <w:u w:val="none" w:color="auto"/>
                <w14:textFill>
                  <w14:solidFill>
                    <w14:schemeClr w14:val="tx1"/>
                  </w14:solidFill>
                </w14:textFill>
              </w:rPr>
              <w:t>经一系列治理措施后，依据《环境影响评价技术导则-大气环境》（HJ2.2-2018）附录A推荐模型中的AERSCREEN模式计算，本项目污染物厂界浓度见下表。</w:t>
            </w:r>
          </w:p>
          <w:p w14:paraId="568A3B1E">
            <w:pPr>
              <w:spacing w:line="440" w:lineRule="exact"/>
              <w:ind w:firstLine="482" w:firstLineChars="200"/>
              <w:jc w:val="center"/>
              <w:rPr>
                <w:rFonts w:hint="eastAsia" w:eastAsiaTheme="minorEastAsia"/>
                <w:color w:val="000000" w:themeColor="text1"/>
                <w:sz w:val="24"/>
                <w:u w:val="none" w:color="auto"/>
                <w14:textFill>
                  <w14:solidFill>
                    <w14:schemeClr w14:val="tx1"/>
                  </w14:solidFill>
                </w14:textFill>
              </w:rPr>
            </w:pPr>
            <w:r>
              <w:rPr>
                <w:rFonts w:hint="default" w:ascii="Times New Roman" w:hAnsi="Times New Roman" w:eastAsia="宋体" w:cs="Times New Roman"/>
                <w:b/>
                <w:bCs/>
                <w:sz w:val="24"/>
                <w:szCs w:val="24"/>
                <w:u w:val="none" w:color="auto"/>
                <w:lang w:val="en-US" w:eastAsia="zh-CN"/>
              </w:rPr>
              <w:t>表4-</w:t>
            </w:r>
            <w:r>
              <w:rPr>
                <w:rFonts w:hint="eastAsia" w:cs="Times New Roman"/>
                <w:b/>
                <w:bCs/>
                <w:sz w:val="24"/>
                <w:szCs w:val="24"/>
                <w:u w:val="none" w:color="auto"/>
                <w:lang w:val="en-US" w:eastAsia="zh-CN"/>
              </w:rPr>
              <w:t>4</w:t>
            </w:r>
            <w:r>
              <w:rPr>
                <w:rFonts w:hint="default" w:ascii="Times New Roman" w:hAnsi="Times New Roman" w:eastAsia="宋体" w:cs="Times New Roman"/>
                <w:b/>
                <w:bCs/>
                <w:sz w:val="24"/>
                <w:szCs w:val="24"/>
                <w:u w:val="none" w:color="auto"/>
                <w:lang w:val="en-US" w:eastAsia="zh-CN"/>
              </w:rPr>
              <w:t xml:space="preserve">    本项目污染物厂界浓度一览表  单位：(ug/m³)</w:t>
            </w:r>
          </w:p>
          <w:tbl>
            <w:tblPr>
              <w:tblStyle w:val="33"/>
              <w:tblW w:w="8043"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958"/>
              <w:gridCol w:w="1454"/>
              <w:gridCol w:w="1681"/>
              <w:gridCol w:w="1446"/>
              <w:gridCol w:w="1495"/>
            </w:tblGrid>
            <w:tr w14:paraId="3099626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9" w:type="dxa"/>
                  <w:tcBorders>
                    <w:bottom w:val="single" w:color="000000" w:sz="8" w:space="0"/>
                    <w:tl2br w:val="nil"/>
                    <w:tr2bl w:val="nil"/>
                  </w:tcBorders>
                  <w:vAlign w:val="center"/>
                </w:tcPr>
                <w:p w14:paraId="5FEBD7B8">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b/>
                      <w:bCs/>
                      <w:color w:val="auto"/>
                      <w:kern w:val="2"/>
                      <w:sz w:val="21"/>
                      <w:u w:val="none" w:color="auto"/>
                      <w:lang w:val="en-US" w:eastAsia="zh-CN"/>
                    </w:rPr>
                  </w:pPr>
                  <w:r>
                    <w:rPr>
                      <w:rFonts w:hint="default"/>
                      <w:b/>
                      <w:bCs/>
                      <w:color w:val="auto"/>
                      <w:kern w:val="2"/>
                      <w:sz w:val="21"/>
                      <w:u w:val="none" w:color="auto"/>
                    </w:rPr>
                    <w:t>预测源</w:t>
                  </w:r>
                </w:p>
              </w:tc>
              <w:tc>
                <w:tcPr>
                  <w:tcW w:w="958" w:type="dxa"/>
                  <w:tcBorders>
                    <w:bottom w:val="single" w:color="000000" w:sz="8" w:space="0"/>
                    <w:tl2br w:val="nil"/>
                    <w:tr2bl w:val="nil"/>
                  </w:tcBorders>
                  <w:vAlign w:val="center"/>
                </w:tcPr>
                <w:p w14:paraId="6CAE9273">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b/>
                      <w:bCs/>
                      <w:color w:val="auto"/>
                      <w:kern w:val="2"/>
                      <w:sz w:val="21"/>
                      <w:u w:val="none" w:color="auto"/>
                      <w:lang w:val="en-US" w:eastAsia="zh-CN"/>
                    </w:rPr>
                  </w:pPr>
                  <w:r>
                    <w:rPr>
                      <w:rFonts w:hint="default"/>
                      <w:b/>
                      <w:bCs/>
                      <w:color w:val="auto"/>
                      <w:kern w:val="2"/>
                      <w:sz w:val="21"/>
                      <w:u w:val="none" w:color="auto"/>
                    </w:rPr>
                    <w:t>污染物</w:t>
                  </w:r>
                </w:p>
              </w:tc>
              <w:tc>
                <w:tcPr>
                  <w:tcW w:w="1454" w:type="dxa"/>
                  <w:tcBorders>
                    <w:bottom w:val="single" w:color="000000" w:sz="8" w:space="0"/>
                    <w:tl2br w:val="nil"/>
                    <w:tr2bl w:val="nil"/>
                  </w:tcBorders>
                  <w:vAlign w:val="center"/>
                </w:tcPr>
                <w:p w14:paraId="79CAA7AC">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b/>
                      <w:bCs/>
                      <w:color w:val="auto"/>
                      <w:kern w:val="2"/>
                      <w:sz w:val="21"/>
                      <w:u w:val="none" w:color="auto"/>
                      <w:lang w:val="en-US" w:eastAsia="zh-CN"/>
                    </w:rPr>
                  </w:pPr>
                  <w:r>
                    <w:rPr>
                      <w:rFonts w:hint="default" w:ascii="Times New Roman" w:hAnsi="Times New Roman" w:eastAsia="宋体"/>
                      <w:b/>
                      <w:bCs/>
                      <w:color w:val="auto"/>
                      <w:kern w:val="2"/>
                      <w:sz w:val="21"/>
                      <w:u w:val="none" w:color="auto"/>
                      <w:lang w:val="en-US" w:eastAsia="zh-CN"/>
                    </w:rPr>
                    <w:t>东厂界</w:t>
                  </w:r>
                  <w:r>
                    <w:rPr>
                      <w:rFonts w:hint="eastAsia" w:ascii="Times New Roman" w:hAnsi="Times New Roman" w:eastAsia="宋体"/>
                      <w:b/>
                      <w:bCs/>
                      <w:color w:val="auto"/>
                      <w:kern w:val="2"/>
                      <w:sz w:val="21"/>
                      <w:u w:val="none" w:color="auto"/>
                      <w:lang w:val="en-US" w:eastAsia="zh-CN"/>
                    </w:rPr>
                    <w:t>(52m)</w:t>
                  </w:r>
                </w:p>
              </w:tc>
              <w:tc>
                <w:tcPr>
                  <w:tcW w:w="1681" w:type="dxa"/>
                  <w:tcBorders>
                    <w:bottom w:val="single" w:color="000000" w:sz="8" w:space="0"/>
                    <w:tl2br w:val="nil"/>
                    <w:tr2bl w:val="nil"/>
                  </w:tcBorders>
                  <w:vAlign w:val="center"/>
                </w:tcPr>
                <w:p w14:paraId="18085FC7">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b/>
                      <w:bCs/>
                      <w:color w:val="auto"/>
                      <w:kern w:val="2"/>
                      <w:sz w:val="21"/>
                      <w:u w:val="none" w:color="auto"/>
                      <w:lang w:val="en-US" w:eastAsia="zh-CN"/>
                    </w:rPr>
                  </w:pPr>
                  <w:r>
                    <w:rPr>
                      <w:rFonts w:hint="default" w:ascii="Times New Roman" w:hAnsi="Times New Roman" w:eastAsia="宋体"/>
                      <w:b/>
                      <w:bCs/>
                      <w:color w:val="auto"/>
                      <w:kern w:val="2"/>
                      <w:sz w:val="21"/>
                      <w:u w:val="none" w:color="auto"/>
                      <w:lang w:val="en-US" w:eastAsia="zh-CN"/>
                    </w:rPr>
                    <w:t>南厂界</w:t>
                  </w:r>
                  <w:r>
                    <w:rPr>
                      <w:rFonts w:hint="eastAsia" w:ascii="Times New Roman" w:hAnsi="Times New Roman" w:eastAsia="宋体"/>
                      <w:b/>
                      <w:bCs/>
                      <w:color w:val="auto"/>
                      <w:kern w:val="2"/>
                      <w:sz w:val="21"/>
                      <w:u w:val="none" w:color="auto"/>
                      <w:lang w:val="en-US" w:eastAsia="zh-CN"/>
                    </w:rPr>
                    <w:t>(230m)</w:t>
                  </w:r>
                </w:p>
              </w:tc>
              <w:tc>
                <w:tcPr>
                  <w:tcW w:w="1446" w:type="dxa"/>
                  <w:tcBorders>
                    <w:bottom w:val="single" w:color="000000" w:sz="8" w:space="0"/>
                    <w:tl2br w:val="nil"/>
                    <w:tr2bl w:val="nil"/>
                  </w:tcBorders>
                  <w:vAlign w:val="center"/>
                </w:tcPr>
                <w:p w14:paraId="220B3328">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Times New Roman" w:hAnsi="Times New Roman" w:eastAsia="宋体"/>
                      <w:b/>
                      <w:bCs/>
                      <w:color w:val="auto"/>
                      <w:kern w:val="2"/>
                      <w:sz w:val="21"/>
                      <w:u w:val="none" w:color="auto"/>
                      <w:lang w:val="en-US" w:eastAsia="zh-CN"/>
                    </w:rPr>
                  </w:pPr>
                  <w:r>
                    <w:rPr>
                      <w:rFonts w:hint="default" w:ascii="Times New Roman" w:hAnsi="Times New Roman" w:eastAsia="宋体"/>
                      <w:b/>
                      <w:bCs/>
                      <w:color w:val="auto"/>
                      <w:kern w:val="2"/>
                      <w:sz w:val="21"/>
                      <w:u w:val="none" w:color="auto"/>
                      <w:lang w:val="en-US" w:eastAsia="zh-CN"/>
                    </w:rPr>
                    <w:t>西厂界</w:t>
                  </w:r>
                  <w:r>
                    <w:rPr>
                      <w:rFonts w:hint="eastAsia" w:ascii="Times New Roman" w:hAnsi="Times New Roman" w:eastAsia="宋体"/>
                      <w:b/>
                      <w:bCs/>
                      <w:color w:val="auto"/>
                      <w:kern w:val="2"/>
                      <w:sz w:val="21"/>
                      <w:u w:val="none" w:color="auto"/>
                      <w:lang w:val="en-US" w:eastAsia="zh-CN"/>
                    </w:rPr>
                    <w:t>(15</w:t>
                  </w:r>
                  <w:r>
                    <w:rPr>
                      <w:rFonts w:hint="default" w:ascii="Times New Roman" w:hAnsi="Times New Roman" w:eastAsia="宋体"/>
                      <w:b/>
                      <w:bCs/>
                      <w:color w:val="auto"/>
                      <w:kern w:val="2"/>
                      <w:sz w:val="21"/>
                      <w:u w:val="none" w:color="auto"/>
                      <w:lang w:val="en-US" w:eastAsia="zh-CN"/>
                    </w:rPr>
                    <w:t>m</w:t>
                  </w:r>
                  <w:r>
                    <w:rPr>
                      <w:rFonts w:hint="eastAsia" w:ascii="Times New Roman" w:hAnsi="Times New Roman" w:eastAsia="宋体"/>
                      <w:b/>
                      <w:bCs/>
                      <w:color w:val="auto"/>
                      <w:kern w:val="2"/>
                      <w:sz w:val="21"/>
                      <w:u w:val="none" w:color="auto"/>
                      <w:lang w:val="en-US" w:eastAsia="zh-CN"/>
                    </w:rPr>
                    <w:t>)</w:t>
                  </w:r>
                </w:p>
              </w:tc>
              <w:tc>
                <w:tcPr>
                  <w:tcW w:w="1495" w:type="dxa"/>
                  <w:tcBorders>
                    <w:bottom w:val="single" w:color="000000" w:sz="8" w:space="0"/>
                    <w:tl2br w:val="nil"/>
                    <w:tr2bl w:val="nil"/>
                  </w:tcBorders>
                  <w:vAlign w:val="center"/>
                </w:tcPr>
                <w:p w14:paraId="4BE1E314">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b/>
                      <w:bCs/>
                      <w:color w:val="auto"/>
                      <w:kern w:val="2"/>
                      <w:sz w:val="21"/>
                      <w:u w:val="none" w:color="auto"/>
                      <w:lang w:val="en-US" w:eastAsia="zh-CN"/>
                    </w:rPr>
                  </w:pPr>
                  <w:r>
                    <w:rPr>
                      <w:rFonts w:hint="default" w:ascii="Times New Roman" w:hAnsi="Times New Roman" w:eastAsia="宋体"/>
                      <w:b/>
                      <w:bCs/>
                      <w:color w:val="auto"/>
                      <w:kern w:val="2"/>
                      <w:sz w:val="21"/>
                      <w:u w:val="none" w:color="auto"/>
                      <w:lang w:val="en-US" w:eastAsia="zh-CN"/>
                    </w:rPr>
                    <w:t>北厂界</w:t>
                  </w:r>
                  <w:r>
                    <w:rPr>
                      <w:rFonts w:hint="eastAsia" w:ascii="Times New Roman" w:hAnsi="Times New Roman" w:eastAsia="宋体"/>
                      <w:b/>
                      <w:bCs/>
                      <w:color w:val="auto"/>
                      <w:kern w:val="2"/>
                      <w:sz w:val="21"/>
                      <w:u w:val="none" w:color="auto"/>
                      <w:lang w:val="en-US" w:eastAsia="zh-CN"/>
                    </w:rPr>
                    <w:t>(370m)</w:t>
                  </w:r>
                </w:p>
              </w:tc>
            </w:tr>
            <w:tr w14:paraId="0334335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9" w:type="dxa"/>
                  <w:vMerge w:val="restart"/>
                  <w:tcBorders>
                    <w:top w:val="single" w:color="000000" w:sz="8" w:space="0"/>
                    <w:tl2br w:val="nil"/>
                    <w:tr2bl w:val="nil"/>
                  </w:tcBorders>
                  <w:vAlign w:val="center"/>
                </w:tcPr>
                <w:p w14:paraId="46ED4E5C">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Times New Roman" w:hAnsi="Times New Roman" w:eastAsia="宋体"/>
                      <w:color w:val="auto"/>
                      <w:kern w:val="2"/>
                      <w:sz w:val="21"/>
                      <w:u w:val="none" w:color="auto"/>
                      <w:lang w:val="en-US" w:eastAsia="zh-CN"/>
                    </w:rPr>
                  </w:pPr>
                  <w:r>
                    <w:rPr>
                      <w:rFonts w:hint="eastAsia" w:ascii="Times New Roman" w:hAnsi="Times New Roman" w:eastAsia="宋体"/>
                      <w:color w:val="auto"/>
                      <w:kern w:val="2"/>
                      <w:sz w:val="21"/>
                      <w:u w:val="none" w:color="auto"/>
                      <w:lang w:val="en-US" w:eastAsia="zh-CN"/>
                    </w:rPr>
                    <w:t>生产</w:t>
                  </w:r>
                </w:p>
                <w:p w14:paraId="7C505FEF">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olor w:val="auto"/>
                      <w:kern w:val="2"/>
                      <w:sz w:val="21"/>
                      <w:u w:val="none" w:color="auto"/>
                      <w:lang w:val="en-US" w:eastAsia="zh-CN"/>
                    </w:rPr>
                  </w:pPr>
                  <w:r>
                    <w:rPr>
                      <w:rFonts w:hint="eastAsia" w:ascii="Times New Roman" w:hAnsi="Times New Roman" w:eastAsia="宋体"/>
                      <w:color w:val="auto"/>
                      <w:kern w:val="2"/>
                      <w:sz w:val="21"/>
                      <w:u w:val="none" w:color="auto"/>
                      <w:lang w:val="en-US" w:eastAsia="zh-CN"/>
                    </w:rPr>
                    <w:t>车间</w:t>
                  </w:r>
                </w:p>
              </w:tc>
              <w:tc>
                <w:tcPr>
                  <w:tcW w:w="958" w:type="dxa"/>
                  <w:tcBorders>
                    <w:top w:val="single" w:color="000000" w:sz="8" w:space="0"/>
                    <w:tl2br w:val="nil"/>
                    <w:tr2bl w:val="nil"/>
                  </w:tcBorders>
                  <w:vAlign w:val="center"/>
                </w:tcPr>
                <w:p w14:paraId="034046A3">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Times New Roman" w:hAnsi="Times New Roman" w:eastAsia="宋体"/>
                      <w:b w:val="0"/>
                      <w:bCs/>
                      <w:color w:val="auto"/>
                      <w:kern w:val="2"/>
                      <w:sz w:val="21"/>
                      <w:u w:val="none" w:color="auto"/>
                      <w:lang w:val="en-US" w:eastAsia="zh-CN"/>
                    </w:rPr>
                  </w:pPr>
                  <w:r>
                    <w:rPr>
                      <w:rFonts w:hint="eastAsia" w:ascii="Times New Roman" w:hAnsi="Times New Roman" w:eastAsia="宋体"/>
                      <w:b w:val="0"/>
                      <w:bCs/>
                      <w:color w:val="auto"/>
                      <w:kern w:val="2"/>
                      <w:sz w:val="21"/>
                      <w:u w:val="none" w:color="auto"/>
                      <w:lang w:val="en-US" w:eastAsia="zh-CN"/>
                    </w:rPr>
                    <w:t>颗粒物</w:t>
                  </w:r>
                </w:p>
              </w:tc>
              <w:tc>
                <w:tcPr>
                  <w:tcW w:w="1454" w:type="dxa"/>
                  <w:tcBorders>
                    <w:top w:val="single" w:color="000000" w:sz="8" w:space="0"/>
                    <w:tl2br w:val="nil"/>
                    <w:tr2bl w:val="nil"/>
                  </w:tcBorders>
                  <w:vAlign w:val="center"/>
                </w:tcPr>
                <w:p w14:paraId="37C2ED16">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b w:val="0"/>
                      <w:bCs/>
                      <w:color w:val="auto"/>
                      <w:kern w:val="2"/>
                      <w:sz w:val="21"/>
                      <w:u w:val="none" w:color="auto"/>
                      <w:lang w:val="en-US" w:eastAsia="zh-CN"/>
                    </w:rPr>
                  </w:pPr>
                  <w:r>
                    <w:rPr>
                      <w:rFonts w:hint="eastAsia" w:ascii="Times New Roman"/>
                      <w:b w:val="0"/>
                      <w:bCs/>
                      <w:color w:val="auto"/>
                      <w:kern w:val="2"/>
                      <w:sz w:val="21"/>
                      <w:u w:val="none" w:color="auto"/>
                      <w:lang w:val="en-US" w:eastAsia="zh-CN"/>
                    </w:rPr>
                    <w:t>0.443</w:t>
                  </w:r>
                </w:p>
              </w:tc>
              <w:tc>
                <w:tcPr>
                  <w:tcW w:w="1681" w:type="dxa"/>
                  <w:tcBorders>
                    <w:top w:val="single" w:color="000000" w:sz="8" w:space="0"/>
                    <w:tl2br w:val="nil"/>
                    <w:tr2bl w:val="nil"/>
                  </w:tcBorders>
                  <w:vAlign w:val="center"/>
                </w:tcPr>
                <w:p w14:paraId="30D600B8">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b w:val="0"/>
                      <w:bCs/>
                      <w:color w:val="auto"/>
                      <w:kern w:val="2"/>
                      <w:sz w:val="21"/>
                      <w:u w:val="none" w:color="auto"/>
                      <w:lang w:val="en-US" w:eastAsia="zh-CN"/>
                    </w:rPr>
                  </w:pPr>
                  <w:r>
                    <w:rPr>
                      <w:rFonts w:hint="eastAsia" w:ascii="Times New Roman"/>
                      <w:b w:val="0"/>
                      <w:bCs/>
                      <w:color w:val="auto"/>
                      <w:kern w:val="2"/>
                      <w:sz w:val="21"/>
                      <w:u w:val="none" w:color="auto"/>
                      <w:lang w:val="en-US" w:eastAsia="zh-CN"/>
                    </w:rPr>
                    <w:t>0.0739</w:t>
                  </w:r>
                </w:p>
              </w:tc>
              <w:tc>
                <w:tcPr>
                  <w:tcW w:w="1446" w:type="dxa"/>
                  <w:tcBorders>
                    <w:top w:val="single" w:color="000000" w:sz="8" w:space="0"/>
                    <w:tl2br w:val="nil"/>
                    <w:tr2bl w:val="nil"/>
                  </w:tcBorders>
                  <w:vAlign w:val="center"/>
                </w:tcPr>
                <w:p w14:paraId="001851AF">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b w:val="0"/>
                      <w:bCs/>
                      <w:color w:val="auto"/>
                      <w:kern w:val="2"/>
                      <w:sz w:val="21"/>
                      <w:u w:val="none" w:color="auto"/>
                      <w:lang w:val="en-US" w:eastAsia="zh-CN"/>
                    </w:rPr>
                  </w:pPr>
                  <w:r>
                    <w:rPr>
                      <w:rFonts w:hint="eastAsia" w:ascii="Times New Roman"/>
                      <w:b w:val="0"/>
                      <w:bCs/>
                      <w:color w:val="auto"/>
                      <w:kern w:val="2"/>
                      <w:sz w:val="21"/>
                      <w:u w:val="none" w:color="auto"/>
                      <w:lang w:val="en-US" w:eastAsia="zh-CN"/>
                    </w:rPr>
                    <w:t>0.0371</w:t>
                  </w:r>
                </w:p>
              </w:tc>
              <w:tc>
                <w:tcPr>
                  <w:tcW w:w="1495" w:type="dxa"/>
                  <w:tcBorders>
                    <w:top w:val="single" w:color="000000" w:sz="8" w:space="0"/>
                    <w:tl2br w:val="nil"/>
                    <w:tr2bl w:val="nil"/>
                  </w:tcBorders>
                  <w:vAlign w:val="center"/>
                </w:tcPr>
                <w:p w14:paraId="4BE010BF">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b w:val="0"/>
                      <w:bCs/>
                      <w:color w:val="auto"/>
                      <w:kern w:val="2"/>
                      <w:sz w:val="21"/>
                      <w:u w:val="none" w:color="auto"/>
                      <w:lang w:val="en-US" w:eastAsia="zh-CN"/>
                    </w:rPr>
                  </w:pPr>
                  <w:r>
                    <w:rPr>
                      <w:rFonts w:hint="eastAsia" w:ascii="Times New Roman"/>
                      <w:b w:val="0"/>
                      <w:bCs/>
                      <w:color w:val="auto"/>
                      <w:kern w:val="2"/>
                      <w:sz w:val="21"/>
                      <w:u w:val="none" w:color="auto"/>
                      <w:lang w:val="en-US" w:eastAsia="zh-CN"/>
                    </w:rPr>
                    <w:t>0.0695</w:t>
                  </w:r>
                </w:p>
              </w:tc>
            </w:tr>
            <w:tr w14:paraId="5A825EB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9" w:type="dxa"/>
                  <w:vMerge w:val="continue"/>
                  <w:tcBorders>
                    <w:tl2br w:val="nil"/>
                    <w:tr2bl w:val="nil"/>
                  </w:tcBorders>
                  <w:vAlign w:val="center"/>
                </w:tcPr>
                <w:p w14:paraId="772D6B9F">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Times New Roman" w:hAnsi="Times New Roman" w:eastAsia="宋体"/>
                      <w:color w:val="auto"/>
                      <w:kern w:val="2"/>
                      <w:sz w:val="21"/>
                      <w:u w:val="none" w:color="auto"/>
                      <w:lang w:val="en-US" w:eastAsia="zh-CN"/>
                    </w:rPr>
                  </w:pPr>
                </w:p>
              </w:tc>
              <w:tc>
                <w:tcPr>
                  <w:tcW w:w="958" w:type="dxa"/>
                  <w:tcBorders>
                    <w:tl2br w:val="nil"/>
                    <w:tr2bl w:val="nil"/>
                  </w:tcBorders>
                  <w:vAlign w:val="center"/>
                </w:tcPr>
                <w:p w14:paraId="78548371">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b w:val="0"/>
                      <w:bCs/>
                      <w:color w:val="auto"/>
                      <w:kern w:val="2"/>
                      <w:sz w:val="21"/>
                      <w:u w:val="none" w:color="auto"/>
                      <w:lang w:val="en-US" w:eastAsia="zh-CN"/>
                    </w:rPr>
                  </w:pPr>
                  <w:r>
                    <w:rPr>
                      <w:rFonts w:hint="eastAsia" w:ascii="Times New Roman"/>
                      <w:b w:val="0"/>
                      <w:bCs/>
                      <w:color w:val="auto"/>
                      <w:kern w:val="2"/>
                      <w:sz w:val="21"/>
                      <w:u w:val="none" w:color="auto"/>
                      <w:lang w:val="en-US" w:eastAsia="zh-CN"/>
                    </w:rPr>
                    <w:t>非甲烷总烃</w:t>
                  </w:r>
                </w:p>
              </w:tc>
              <w:tc>
                <w:tcPr>
                  <w:tcW w:w="1454" w:type="dxa"/>
                  <w:tcBorders>
                    <w:tl2br w:val="nil"/>
                    <w:tr2bl w:val="nil"/>
                  </w:tcBorders>
                  <w:vAlign w:val="center"/>
                </w:tcPr>
                <w:p w14:paraId="01AC95F9">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b w:val="0"/>
                      <w:bCs/>
                      <w:color w:val="000000" w:themeColor="text1"/>
                      <w:kern w:val="2"/>
                      <w:sz w:val="21"/>
                      <w:u w:val="none" w:color="auto"/>
                      <w:lang w:val="en-US" w:eastAsia="zh-CN"/>
                      <w14:textFill>
                        <w14:solidFill>
                          <w14:schemeClr w14:val="tx1"/>
                        </w14:solidFill>
                      </w14:textFill>
                    </w:rPr>
                  </w:pPr>
                  <w:r>
                    <w:rPr>
                      <w:rFonts w:hint="eastAsia" w:ascii="Times New Roman"/>
                      <w:b w:val="0"/>
                      <w:bCs/>
                      <w:color w:val="000000" w:themeColor="text1"/>
                      <w:kern w:val="2"/>
                      <w:sz w:val="21"/>
                      <w:u w:val="none" w:color="auto"/>
                      <w:lang w:val="en-US" w:eastAsia="zh-CN"/>
                      <w14:textFill>
                        <w14:solidFill>
                          <w14:schemeClr w14:val="tx1"/>
                        </w14:solidFill>
                      </w14:textFill>
                    </w:rPr>
                    <w:t>0.261</w:t>
                  </w:r>
                </w:p>
              </w:tc>
              <w:tc>
                <w:tcPr>
                  <w:tcW w:w="1681" w:type="dxa"/>
                  <w:tcBorders>
                    <w:tl2br w:val="nil"/>
                    <w:tr2bl w:val="nil"/>
                  </w:tcBorders>
                  <w:vAlign w:val="center"/>
                </w:tcPr>
                <w:p w14:paraId="153848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b w:val="0"/>
                      <w:bCs/>
                      <w:color w:val="auto"/>
                      <w:kern w:val="2"/>
                      <w:sz w:val="21"/>
                      <w:u w:val="none" w:color="auto"/>
                      <w:lang w:val="en-US" w:eastAsia="zh-CN"/>
                    </w:rPr>
                  </w:pPr>
                  <w:r>
                    <w:rPr>
                      <w:rFonts w:hint="eastAsia"/>
                      <w:b w:val="0"/>
                      <w:bCs/>
                      <w:color w:val="auto"/>
                      <w:kern w:val="2"/>
                      <w:sz w:val="21"/>
                      <w:u w:val="none" w:color="auto"/>
                      <w:lang w:val="en-US" w:eastAsia="zh-CN"/>
                    </w:rPr>
                    <w:t>0.431</w:t>
                  </w:r>
                </w:p>
              </w:tc>
              <w:tc>
                <w:tcPr>
                  <w:tcW w:w="1446" w:type="dxa"/>
                  <w:tcBorders>
                    <w:tl2br w:val="nil"/>
                    <w:tr2bl w:val="nil"/>
                  </w:tcBorders>
                  <w:vAlign w:val="center"/>
                </w:tcPr>
                <w:p w14:paraId="1D405B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b w:val="0"/>
                      <w:bCs/>
                      <w:color w:val="auto"/>
                      <w:kern w:val="2"/>
                      <w:sz w:val="21"/>
                      <w:u w:val="none" w:color="auto"/>
                      <w:lang w:val="en-US" w:eastAsia="zh-CN"/>
                    </w:rPr>
                  </w:pPr>
                  <w:r>
                    <w:rPr>
                      <w:rFonts w:hint="eastAsia"/>
                      <w:b w:val="0"/>
                      <w:bCs/>
                      <w:color w:val="auto"/>
                      <w:kern w:val="2"/>
                      <w:sz w:val="21"/>
                      <w:u w:val="none" w:color="auto"/>
                      <w:lang w:val="en-US" w:eastAsia="zh-CN"/>
                    </w:rPr>
                    <w:t>0.218</w:t>
                  </w:r>
                </w:p>
              </w:tc>
              <w:tc>
                <w:tcPr>
                  <w:tcW w:w="1495" w:type="dxa"/>
                  <w:tcBorders>
                    <w:tl2br w:val="nil"/>
                    <w:tr2bl w:val="nil"/>
                  </w:tcBorders>
                  <w:vAlign w:val="center"/>
                </w:tcPr>
                <w:p w14:paraId="77A2C4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b w:val="0"/>
                      <w:bCs/>
                      <w:color w:val="auto"/>
                      <w:kern w:val="2"/>
                      <w:sz w:val="21"/>
                      <w:u w:val="none" w:color="auto"/>
                      <w:lang w:val="en-US" w:eastAsia="zh-CN"/>
                    </w:rPr>
                  </w:pPr>
                  <w:r>
                    <w:rPr>
                      <w:rFonts w:hint="eastAsia"/>
                      <w:b w:val="0"/>
                      <w:bCs/>
                      <w:color w:val="auto"/>
                      <w:kern w:val="2"/>
                      <w:sz w:val="21"/>
                      <w:u w:val="none" w:color="auto"/>
                      <w:lang w:val="en-US" w:eastAsia="zh-CN"/>
                    </w:rPr>
                    <w:t>0.402</w:t>
                  </w:r>
                </w:p>
              </w:tc>
            </w:tr>
            <w:tr w14:paraId="07A1560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009" w:type="dxa"/>
                  <w:vMerge w:val="restart"/>
                  <w:tcBorders>
                    <w:tl2br w:val="nil"/>
                    <w:tr2bl w:val="nil"/>
                  </w:tcBorders>
                  <w:vAlign w:val="center"/>
                </w:tcPr>
                <w:p w14:paraId="24D9C26E">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olor w:val="auto"/>
                      <w:kern w:val="2"/>
                      <w:sz w:val="21"/>
                      <w:u w:val="none" w:color="auto"/>
                      <w:lang w:val="en-US" w:eastAsia="zh-CN"/>
                    </w:rPr>
                  </w:pPr>
                  <w:r>
                    <w:rPr>
                      <w:rFonts w:hint="eastAsia" w:ascii="Times New Roman"/>
                      <w:color w:val="auto"/>
                      <w:kern w:val="2"/>
                      <w:sz w:val="21"/>
                      <w:u w:val="none" w:color="auto"/>
                      <w:lang w:val="en-US" w:eastAsia="zh-CN"/>
                    </w:rPr>
                    <w:t>污水处理站</w:t>
                  </w:r>
                </w:p>
              </w:tc>
              <w:tc>
                <w:tcPr>
                  <w:tcW w:w="958" w:type="dxa"/>
                  <w:tcBorders>
                    <w:tl2br w:val="nil"/>
                    <w:tr2bl w:val="nil"/>
                  </w:tcBorders>
                  <w:vAlign w:val="center"/>
                </w:tcPr>
                <w:p w14:paraId="0A346F63">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b w:val="0"/>
                      <w:bCs/>
                      <w:color w:val="auto"/>
                      <w:kern w:val="2"/>
                      <w:sz w:val="21"/>
                      <w:u w:val="none" w:color="auto"/>
                      <w:lang w:val="en-US" w:eastAsia="zh-CN"/>
                    </w:rPr>
                  </w:pPr>
                  <w:r>
                    <w:rPr>
                      <w:rFonts w:hint="eastAsia" w:ascii="Times New Roman"/>
                      <w:b w:val="0"/>
                      <w:bCs/>
                      <w:color w:val="auto"/>
                      <w:kern w:val="2"/>
                      <w:sz w:val="21"/>
                      <w:u w:val="none" w:color="auto"/>
                      <w:lang w:val="en-US" w:eastAsia="zh-CN"/>
                    </w:rPr>
                    <w:t>氨</w:t>
                  </w:r>
                </w:p>
              </w:tc>
              <w:tc>
                <w:tcPr>
                  <w:tcW w:w="1454" w:type="dxa"/>
                  <w:tcBorders>
                    <w:tl2br w:val="nil"/>
                    <w:tr2bl w:val="nil"/>
                  </w:tcBorders>
                  <w:vAlign w:val="center"/>
                </w:tcPr>
                <w:p w14:paraId="65B47CE4">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b w:val="0"/>
                      <w:bCs/>
                      <w:color w:val="000000" w:themeColor="text1"/>
                      <w:kern w:val="2"/>
                      <w:sz w:val="21"/>
                      <w:highlight w:val="yellow"/>
                      <w:u w:val="none" w:color="auto"/>
                      <w:lang w:val="en-US" w:eastAsia="zh-CN"/>
                      <w14:textFill>
                        <w14:solidFill>
                          <w14:schemeClr w14:val="tx1"/>
                        </w14:solidFill>
                      </w14:textFill>
                    </w:rPr>
                  </w:pPr>
                  <w:r>
                    <w:rPr>
                      <w:rFonts w:hint="eastAsia" w:ascii="Times New Roman"/>
                      <w:b w:val="0"/>
                      <w:bCs/>
                      <w:color w:val="000000" w:themeColor="text1"/>
                      <w:kern w:val="2"/>
                      <w:sz w:val="21"/>
                      <w:u w:val="none" w:color="auto"/>
                      <w:lang w:val="en-US" w:eastAsia="zh-CN"/>
                      <w14:textFill>
                        <w14:solidFill>
                          <w14:schemeClr w14:val="tx1"/>
                        </w14:solidFill>
                      </w14:textFill>
                    </w:rPr>
                    <w:t>0.0086</w:t>
                  </w:r>
                </w:p>
              </w:tc>
              <w:tc>
                <w:tcPr>
                  <w:tcW w:w="1681" w:type="dxa"/>
                  <w:tcBorders>
                    <w:tl2br w:val="nil"/>
                    <w:tr2bl w:val="nil"/>
                  </w:tcBorders>
                  <w:vAlign w:val="center"/>
                </w:tcPr>
                <w:p w14:paraId="22951BCE">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b w:val="0"/>
                      <w:bCs/>
                      <w:color w:val="000000" w:themeColor="text1"/>
                      <w:kern w:val="2"/>
                      <w:sz w:val="21"/>
                      <w:highlight w:val="yellow"/>
                      <w:u w:val="none" w:color="auto"/>
                      <w:lang w:val="en-US" w:eastAsia="zh-CN"/>
                      <w14:textFill>
                        <w14:solidFill>
                          <w14:schemeClr w14:val="tx1"/>
                        </w14:solidFill>
                      </w14:textFill>
                    </w:rPr>
                  </w:pPr>
                  <w:r>
                    <w:rPr>
                      <w:rFonts w:hint="eastAsia" w:ascii="Times New Roman"/>
                      <w:b w:val="0"/>
                      <w:bCs/>
                      <w:color w:val="000000" w:themeColor="text1"/>
                      <w:kern w:val="2"/>
                      <w:sz w:val="21"/>
                      <w:u w:val="none" w:color="auto"/>
                      <w:lang w:val="en-US" w:eastAsia="zh-CN"/>
                      <w14:textFill>
                        <w14:solidFill>
                          <w14:schemeClr w14:val="tx1"/>
                        </w14:solidFill>
                      </w14:textFill>
                    </w:rPr>
                    <w:t>0.0142</w:t>
                  </w:r>
                </w:p>
              </w:tc>
              <w:tc>
                <w:tcPr>
                  <w:tcW w:w="1446" w:type="dxa"/>
                  <w:tcBorders>
                    <w:tl2br w:val="nil"/>
                    <w:tr2bl w:val="nil"/>
                  </w:tcBorders>
                  <w:vAlign w:val="center"/>
                </w:tcPr>
                <w:p w14:paraId="5CCC7CB3">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b w:val="0"/>
                      <w:bCs/>
                      <w:color w:val="000000" w:themeColor="text1"/>
                      <w:kern w:val="2"/>
                      <w:sz w:val="21"/>
                      <w:highlight w:val="yellow"/>
                      <w:u w:val="none" w:color="auto"/>
                      <w:lang w:val="en-US" w:eastAsia="zh-CN"/>
                      <w14:textFill>
                        <w14:solidFill>
                          <w14:schemeClr w14:val="tx1"/>
                        </w14:solidFill>
                      </w14:textFill>
                    </w:rPr>
                  </w:pPr>
                  <w:r>
                    <w:rPr>
                      <w:rFonts w:hint="eastAsia" w:ascii="Times New Roman"/>
                      <w:b w:val="0"/>
                      <w:bCs/>
                      <w:color w:val="000000" w:themeColor="text1"/>
                      <w:kern w:val="2"/>
                      <w:sz w:val="21"/>
                      <w:u w:val="none" w:color="auto"/>
                      <w:lang w:val="en-US" w:eastAsia="zh-CN"/>
                      <w14:textFill>
                        <w14:solidFill>
                          <w14:schemeClr w14:val="tx1"/>
                        </w14:solidFill>
                      </w14:textFill>
                    </w:rPr>
                    <w:t>0.00717</w:t>
                  </w:r>
                </w:p>
              </w:tc>
              <w:tc>
                <w:tcPr>
                  <w:tcW w:w="1495" w:type="dxa"/>
                  <w:tcBorders>
                    <w:tl2br w:val="nil"/>
                    <w:tr2bl w:val="nil"/>
                  </w:tcBorders>
                  <w:vAlign w:val="center"/>
                </w:tcPr>
                <w:p w14:paraId="5416C6EB">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b w:val="0"/>
                      <w:bCs/>
                      <w:color w:val="000000" w:themeColor="text1"/>
                      <w:kern w:val="2"/>
                      <w:sz w:val="21"/>
                      <w:u w:val="none" w:color="auto"/>
                      <w:lang w:val="en-US" w:eastAsia="zh-CN"/>
                      <w14:textFill>
                        <w14:solidFill>
                          <w14:schemeClr w14:val="tx1"/>
                        </w14:solidFill>
                      </w14:textFill>
                    </w:rPr>
                  </w:pPr>
                  <w:r>
                    <w:rPr>
                      <w:rFonts w:hint="eastAsia" w:ascii="Times New Roman"/>
                      <w:b w:val="0"/>
                      <w:bCs/>
                      <w:color w:val="000000" w:themeColor="text1"/>
                      <w:kern w:val="2"/>
                      <w:sz w:val="21"/>
                      <w:u w:val="none" w:color="auto"/>
                      <w:lang w:val="en-US" w:eastAsia="zh-CN"/>
                      <w14:textFill>
                        <w14:solidFill>
                          <w14:schemeClr w14:val="tx1"/>
                        </w14:solidFill>
                      </w14:textFill>
                    </w:rPr>
                    <w:t>0.0132</w:t>
                  </w:r>
                </w:p>
              </w:tc>
            </w:tr>
            <w:tr w14:paraId="68D8B92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9" w:type="dxa"/>
                  <w:vMerge w:val="continue"/>
                  <w:tcBorders>
                    <w:tl2br w:val="nil"/>
                    <w:tr2bl w:val="nil"/>
                  </w:tcBorders>
                  <w:vAlign w:val="center"/>
                </w:tcPr>
                <w:p w14:paraId="0F23DECF">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Times New Roman"/>
                      <w:color w:val="auto"/>
                      <w:kern w:val="2"/>
                      <w:sz w:val="21"/>
                      <w:u w:val="none" w:color="auto"/>
                      <w:lang w:val="en-US" w:eastAsia="zh-CN"/>
                    </w:rPr>
                  </w:pPr>
                </w:p>
              </w:tc>
              <w:tc>
                <w:tcPr>
                  <w:tcW w:w="958" w:type="dxa"/>
                  <w:tcBorders>
                    <w:tl2br w:val="nil"/>
                    <w:tr2bl w:val="nil"/>
                  </w:tcBorders>
                  <w:vAlign w:val="center"/>
                </w:tcPr>
                <w:p w14:paraId="20E91948">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b w:val="0"/>
                      <w:bCs/>
                      <w:color w:val="auto"/>
                      <w:kern w:val="2"/>
                      <w:sz w:val="21"/>
                      <w:u w:val="none" w:color="auto"/>
                      <w:lang w:val="en-US" w:eastAsia="zh-CN"/>
                    </w:rPr>
                  </w:pPr>
                  <w:r>
                    <w:rPr>
                      <w:rFonts w:hint="eastAsia" w:ascii="Times New Roman"/>
                      <w:b w:val="0"/>
                      <w:bCs/>
                      <w:color w:val="auto"/>
                      <w:kern w:val="2"/>
                      <w:sz w:val="21"/>
                      <w:u w:val="none" w:color="auto"/>
                      <w:lang w:val="en-US" w:eastAsia="zh-CN"/>
                    </w:rPr>
                    <w:t>硫化氢</w:t>
                  </w:r>
                </w:p>
              </w:tc>
              <w:tc>
                <w:tcPr>
                  <w:tcW w:w="1454" w:type="dxa"/>
                  <w:tcBorders>
                    <w:tl2br w:val="nil"/>
                    <w:tr2bl w:val="nil"/>
                  </w:tcBorders>
                  <w:vAlign w:val="center"/>
                </w:tcPr>
                <w:p w14:paraId="6FAC9C3C">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b w:val="0"/>
                      <w:bCs/>
                      <w:color w:val="000000" w:themeColor="text1"/>
                      <w:kern w:val="2"/>
                      <w:sz w:val="21"/>
                      <w:u w:val="none" w:color="auto"/>
                      <w:lang w:val="en-US" w:eastAsia="zh-CN"/>
                      <w14:textFill>
                        <w14:solidFill>
                          <w14:schemeClr w14:val="tx1"/>
                        </w14:solidFill>
                      </w14:textFill>
                    </w:rPr>
                  </w:pPr>
                  <w:r>
                    <w:rPr>
                      <w:rFonts w:hint="eastAsia" w:ascii="Times New Roman"/>
                      <w:b w:val="0"/>
                      <w:bCs/>
                      <w:color w:val="000000" w:themeColor="text1"/>
                      <w:kern w:val="2"/>
                      <w:sz w:val="21"/>
                      <w:u w:val="none" w:color="auto"/>
                      <w:lang w:val="en-US" w:eastAsia="zh-CN"/>
                      <w14:textFill>
                        <w14:solidFill>
                          <w14:schemeClr w14:val="tx1"/>
                        </w14:solidFill>
                      </w14:textFill>
                    </w:rPr>
                    <w:t>0.000137</w:t>
                  </w:r>
                </w:p>
              </w:tc>
              <w:tc>
                <w:tcPr>
                  <w:tcW w:w="1681" w:type="dxa"/>
                  <w:tcBorders>
                    <w:tl2br w:val="nil"/>
                    <w:tr2bl w:val="nil"/>
                  </w:tcBorders>
                  <w:vAlign w:val="center"/>
                </w:tcPr>
                <w:p w14:paraId="0B844D7C">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b w:val="0"/>
                      <w:bCs/>
                      <w:color w:val="000000" w:themeColor="text1"/>
                      <w:kern w:val="2"/>
                      <w:sz w:val="21"/>
                      <w:u w:val="none" w:color="auto"/>
                      <w:lang w:val="en-US" w:eastAsia="zh-CN"/>
                      <w14:textFill>
                        <w14:solidFill>
                          <w14:schemeClr w14:val="tx1"/>
                        </w14:solidFill>
                      </w14:textFill>
                    </w:rPr>
                  </w:pPr>
                  <w:r>
                    <w:rPr>
                      <w:rFonts w:hint="eastAsia" w:ascii="Times New Roman"/>
                      <w:b w:val="0"/>
                      <w:bCs/>
                      <w:color w:val="000000" w:themeColor="text1"/>
                      <w:kern w:val="2"/>
                      <w:sz w:val="21"/>
                      <w:u w:val="none" w:color="auto"/>
                      <w:lang w:val="en-US" w:eastAsia="zh-CN"/>
                      <w14:textFill>
                        <w14:solidFill>
                          <w14:schemeClr w14:val="tx1"/>
                        </w14:solidFill>
                      </w14:textFill>
                    </w:rPr>
                    <w:t>0.000227</w:t>
                  </w:r>
                </w:p>
              </w:tc>
              <w:tc>
                <w:tcPr>
                  <w:tcW w:w="1446" w:type="dxa"/>
                  <w:tcBorders>
                    <w:tl2br w:val="nil"/>
                    <w:tr2bl w:val="nil"/>
                  </w:tcBorders>
                  <w:vAlign w:val="center"/>
                </w:tcPr>
                <w:p w14:paraId="4F1BE20D">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b w:val="0"/>
                      <w:bCs/>
                      <w:color w:val="000000" w:themeColor="text1"/>
                      <w:kern w:val="2"/>
                      <w:sz w:val="21"/>
                      <w:u w:val="none" w:color="auto"/>
                      <w:lang w:val="en-US" w:eastAsia="zh-CN"/>
                      <w14:textFill>
                        <w14:solidFill>
                          <w14:schemeClr w14:val="tx1"/>
                        </w14:solidFill>
                      </w14:textFill>
                    </w:rPr>
                  </w:pPr>
                  <w:r>
                    <w:rPr>
                      <w:rFonts w:hint="eastAsia" w:ascii="Times New Roman"/>
                      <w:b w:val="0"/>
                      <w:bCs/>
                      <w:color w:val="000000" w:themeColor="text1"/>
                      <w:kern w:val="2"/>
                      <w:sz w:val="21"/>
                      <w:u w:val="none" w:color="auto"/>
                      <w:lang w:val="en-US" w:eastAsia="zh-CN"/>
                      <w14:textFill>
                        <w14:solidFill>
                          <w14:schemeClr w14:val="tx1"/>
                        </w14:solidFill>
                      </w14:textFill>
                    </w:rPr>
                    <w:t>0.00012</w:t>
                  </w:r>
                </w:p>
              </w:tc>
              <w:tc>
                <w:tcPr>
                  <w:tcW w:w="1495" w:type="dxa"/>
                  <w:tcBorders>
                    <w:tl2br w:val="nil"/>
                    <w:tr2bl w:val="nil"/>
                  </w:tcBorders>
                  <w:vAlign w:val="center"/>
                </w:tcPr>
                <w:p w14:paraId="36262D03">
                  <w:pPr>
                    <w:pStyle w:val="5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b w:val="0"/>
                      <w:bCs/>
                      <w:color w:val="000000" w:themeColor="text1"/>
                      <w:kern w:val="2"/>
                      <w:sz w:val="21"/>
                      <w:u w:val="none" w:color="auto"/>
                      <w:lang w:val="en-US" w:eastAsia="zh-CN"/>
                      <w14:textFill>
                        <w14:solidFill>
                          <w14:schemeClr w14:val="tx1"/>
                        </w14:solidFill>
                      </w14:textFill>
                    </w:rPr>
                  </w:pPr>
                  <w:r>
                    <w:rPr>
                      <w:rFonts w:hint="eastAsia" w:ascii="Times New Roman"/>
                      <w:b w:val="0"/>
                      <w:bCs/>
                      <w:color w:val="000000" w:themeColor="text1"/>
                      <w:kern w:val="2"/>
                      <w:sz w:val="21"/>
                      <w:u w:val="none" w:color="auto"/>
                      <w:lang w:val="en-US" w:eastAsia="zh-CN"/>
                      <w14:textFill>
                        <w14:solidFill>
                          <w14:schemeClr w14:val="tx1"/>
                        </w14:solidFill>
                      </w14:textFill>
                    </w:rPr>
                    <w:t>0.000212</w:t>
                  </w:r>
                </w:p>
              </w:tc>
            </w:tr>
          </w:tbl>
          <w:p w14:paraId="1E30879D">
            <w:pPr>
              <w:spacing w:line="440" w:lineRule="exact"/>
              <w:ind w:firstLine="480" w:firstLineChars="200"/>
              <w:jc w:val="both"/>
              <w:rPr>
                <w:rFonts w:hint="default" w:hAnsi="宋体"/>
                <w:sz w:val="24"/>
                <w:u w:val="none" w:color="auto"/>
                <w:vertAlign w:val="baseline"/>
                <w:lang w:val="en-US" w:eastAsia="zh-CN"/>
              </w:rPr>
            </w:pPr>
            <w:r>
              <w:rPr>
                <w:rFonts w:hint="eastAsia" w:hAnsi="宋体"/>
                <w:sz w:val="24"/>
                <w:u w:val="none" w:color="auto"/>
              </w:rPr>
              <w:t>由上表可知，</w:t>
            </w:r>
            <w:r>
              <w:rPr>
                <w:rFonts w:hint="eastAsia" w:hAnsi="宋体"/>
                <w:bCs/>
                <w:sz w:val="24"/>
                <w:u w:val="none" w:color="auto"/>
                <w:lang w:val="en-US" w:eastAsia="zh-CN"/>
              </w:rPr>
              <w:t>颗粒物厂界浓度</w:t>
            </w:r>
            <w:r>
              <w:rPr>
                <w:rFonts w:hint="eastAsia" w:hAnsi="宋体"/>
                <w:sz w:val="24"/>
                <w:u w:val="none" w:color="auto"/>
              </w:rPr>
              <w:t>满足《电池工业污染物排放标准》（GB30484-2013）</w:t>
            </w:r>
            <w:r>
              <w:rPr>
                <w:rFonts w:hint="eastAsia" w:hAnsi="宋体"/>
                <w:sz w:val="24"/>
                <w:u w:val="none" w:color="auto"/>
                <w:lang w:val="en-US" w:eastAsia="zh-CN"/>
              </w:rPr>
              <w:t>厂界浓度0.3</w:t>
            </w:r>
            <w:r>
              <w:rPr>
                <w:rFonts w:hint="eastAsia" w:hAnsi="宋体"/>
                <w:sz w:val="24"/>
                <w:u w:val="none" w:color="auto"/>
              </w:rPr>
              <w:t>mg/m</w:t>
            </w:r>
            <w:r>
              <w:rPr>
                <w:rFonts w:hint="eastAsia" w:hAnsi="宋体"/>
                <w:sz w:val="24"/>
                <w:u w:val="none" w:color="auto"/>
                <w:vertAlign w:val="superscript"/>
              </w:rPr>
              <w:t>3</w:t>
            </w:r>
            <w:r>
              <w:rPr>
                <w:rFonts w:hint="eastAsia" w:hAnsi="宋体"/>
                <w:sz w:val="24"/>
                <w:u w:val="none" w:color="auto"/>
                <w:vertAlign w:val="baseline"/>
                <w:lang w:val="en-US" w:eastAsia="zh-CN"/>
              </w:rPr>
              <w:t>限值要求、同时满足</w:t>
            </w:r>
            <w:r>
              <w:rPr>
                <w:rFonts w:hint="eastAsia" w:hAnsi="宋体"/>
                <w:sz w:val="24"/>
                <w:u w:val="none" w:color="auto"/>
              </w:rPr>
              <w:t>《新乡市生态环境局关于进一步规范工业企业颗粒</w:t>
            </w:r>
            <w:r>
              <w:rPr>
                <w:rFonts w:hint="eastAsia" w:hAnsi="宋体"/>
                <w:sz w:val="24"/>
                <w:u w:val="none" w:color="auto"/>
                <w:lang w:eastAsia="zh-CN"/>
              </w:rPr>
              <w:t>物排</w:t>
            </w:r>
            <w:r>
              <w:rPr>
                <w:rFonts w:hint="eastAsia" w:hAnsi="宋体"/>
                <w:sz w:val="24"/>
                <w:u w:val="none" w:color="auto"/>
              </w:rPr>
              <w:t>放限值的通知》厂界颗粒物排放浓度不高于0.5mg/m</w:t>
            </w:r>
            <w:r>
              <w:rPr>
                <w:rFonts w:hint="eastAsia" w:hAnsi="宋体"/>
                <w:sz w:val="24"/>
                <w:u w:val="none" w:color="auto"/>
                <w:vertAlign w:val="superscript"/>
              </w:rPr>
              <w:t>3</w:t>
            </w:r>
            <w:r>
              <w:rPr>
                <w:rFonts w:hint="eastAsia" w:hAnsi="宋体"/>
                <w:sz w:val="24"/>
                <w:u w:val="none" w:color="auto"/>
              </w:rPr>
              <w:t>的要求</w:t>
            </w:r>
            <w:r>
              <w:rPr>
                <w:rFonts w:hint="eastAsia" w:hAnsi="宋体"/>
                <w:sz w:val="24"/>
                <w:u w:val="none" w:color="auto"/>
                <w:lang w:eastAsia="zh-CN"/>
              </w:rPr>
              <w:t>；非甲烷总烃</w:t>
            </w:r>
            <w:r>
              <w:rPr>
                <w:rFonts w:hint="eastAsia" w:hAnsi="宋体"/>
                <w:sz w:val="24"/>
                <w:u w:val="none" w:color="auto"/>
                <w:lang w:val="en-US" w:eastAsia="zh-CN"/>
              </w:rPr>
              <w:t>厂界浓度满足</w:t>
            </w:r>
            <w:r>
              <w:rPr>
                <w:rFonts w:hint="eastAsia" w:hAnsi="宋体"/>
                <w:sz w:val="24"/>
                <w:u w:val="none" w:color="auto"/>
              </w:rPr>
              <w:t>《电池工业污染物排放标准》（GB30484-2013）</w:t>
            </w:r>
            <w:r>
              <w:rPr>
                <w:rFonts w:hint="eastAsia" w:hAnsi="宋体"/>
                <w:sz w:val="24"/>
                <w:u w:val="none" w:color="auto"/>
                <w:lang w:val="en-US" w:eastAsia="zh-CN"/>
              </w:rPr>
              <w:t>厂界浓度2.0</w:t>
            </w:r>
            <w:r>
              <w:rPr>
                <w:rFonts w:hint="eastAsia" w:hAnsi="宋体"/>
                <w:sz w:val="24"/>
                <w:u w:val="none" w:color="auto"/>
              </w:rPr>
              <w:t>mg/m</w:t>
            </w:r>
            <w:r>
              <w:rPr>
                <w:rFonts w:hint="eastAsia" w:hAnsi="宋体"/>
                <w:sz w:val="24"/>
                <w:u w:val="none" w:color="auto"/>
                <w:vertAlign w:val="superscript"/>
              </w:rPr>
              <w:t>3</w:t>
            </w:r>
            <w:r>
              <w:rPr>
                <w:rFonts w:hint="eastAsia" w:hAnsi="宋体"/>
                <w:sz w:val="24"/>
                <w:u w:val="none" w:color="auto"/>
                <w:vertAlign w:val="baseline"/>
                <w:lang w:val="en-US" w:eastAsia="zh-CN"/>
              </w:rPr>
              <w:t>限值要求，同时满足《挥发性有机物无组织排放控制标准》（GB37822-2019）限值要求。氨、硫化氢、臭气浓度厂界浓度可满足《恶臭污染物排放标准》（GB14554-93）厂界浓度限值。</w:t>
            </w:r>
          </w:p>
          <w:p w14:paraId="4CF48CA1">
            <w:pPr>
              <w:spacing w:line="440" w:lineRule="exact"/>
              <w:ind w:firstLine="482" w:firstLineChars="200"/>
              <w:jc w:val="left"/>
              <w:rPr>
                <w:rFonts w:hint="eastAsia" w:eastAsiaTheme="minorEastAsia"/>
                <w:b/>
                <w:bCs/>
                <w:color w:val="000000" w:themeColor="text1"/>
                <w:sz w:val="24"/>
                <w:u w:val="none" w:color="auto"/>
                <w14:textFill>
                  <w14:solidFill>
                    <w14:schemeClr w14:val="tx1"/>
                  </w14:solidFill>
                </w14:textFill>
              </w:rPr>
            </w:pPr>
            <w:r>
              <w:rPr>
                <w:rFonts w:hint="eastAsia" w:eastAsiaTheme="minorEastAsia"/>
                <w:b/>
                <w:bCs/>
                <w:color w:val="000000" w:themeColor="text1"/>
                <w:sz w:val="24"/>
                <w:u w:val="none" w:color="auto"/>
                <w:lang w:eastAsia="zh-CN"/>
                <w14:textFill>
                  <w14:solidFill>
                    <w14:schemeClr w14:val="tx1"/>
                  </w14:solidFill>
                </w14:textFill>
              </w:rPr>
              <w:t>（</w:t>
            </w:r>
            <w:r>
              <w:rPr>
                <w:rFonts w:hint="eastAsia" w:eastAsiaTheme="minorEastAsia"/>
                <w:b/>
                <w:bCs/>
                <w:color w:val="000000" w:themeColor="text1"/>
                <w:sz w:val="24"/>
                <w:u w:val="none" w:color="auto"/>
                <w:lang w:val="en-US" w:eastAsia="zh-CN"/>
                <w14:textFill>
                  <w14:solidFill>
                    <w14:schemeClr w14:val="tx1"/>
                  </w14:solidFill>
                </w14:textFill>
              </w:rPr>
              <w:t>三</w:t>
            </w:r>
            <w:r>
              <w:rPr>
                <w:rFonts w:hint="eastAsia" w:eastAsiaTheme="minorEastAsia"/>
                <w:b/>
                <w:bCs/>
                <w:color w:val="000000" w:themeColor="text1"/>
                <w:sz w:val="24"/>
                <w:u w:val="none" w:color="auto"/>
                <w:lang w:eastAsia="zh-CN"/>
                <w14:textFill>
                  <w14:solidFill>
                    <w14:schemeClr w14:val="tx1"/>
                  </w14:solidFill>
                </w14:textFill>
              </w:rPr>
              <w:t>）</w:t>
            </w:r>
            <w:r>
              <w:rPr>
                <w:rFonts w:hint="eastAsia" w:eastAsiaTheme="minorEastAsia"/>
                <w:b/>
                <w:bCs/>
                <w:color w:val="000000" w:themeColor="text1"/>
                <w:sz w:val="24"/>
                <w:u w:val="none" w:color="auto"/>
                <w14:textFill>
                  <w14:solidFill>
                    <w14:schemeClr w14:val="tx1"/>
                  </w14:solidFill>
                </w14:textFill>
              </w:rPr>
              <w:t>废气治理措施可行性分析</w:t>
            </w:r>
          </w:p>
          <w:p w14:paraId="06A45736">
            <w:pPr>
              <w:keepNext w:val="0"/>
              <w:keepLines w:val="0"/>
              <w:pageBreakBefore w:val="0"/>
              <w:kinsoku/>
              <w:wordWrap/>
              <w:overflowPunct/>
              <w:topLinePunct w:val="0"/>
              <w:autoSpaceDE/>
              <w:autoSpaceDN/>
              <w:bidi w:val="0"/>
              <w:spacing w:line="440" w:lineRule="exact"/>
              <w:ind w:firstLine="480" w:firstLineChars="200"/>
              <w:jc w:val="both"/>
              <w:textAlignment w:val="auto"/>
              <w:rPr>
                <w:rFonts w:hint="default" w:ascii="Times New Roman" w:hAnsi="Times New Roman" w:cs="Times New Roman" w:eastAsiaTheme="minorEastAsia"/>
                <w:color w:val="000000" w:themeColor="text1"/>
                <w:sz w:val="24"/>
                <w:u w:val="none" w:color="auto"/>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u w:val="none" w:color="auto"/>
                <w:lang w:val="en-US" w:eastAsia="zh-CN"/>
                <w14:textFill>
                  <w14:solidFill>
                    <w14:schemeClr w14:val="tx1"/>
                  </w14:solidFill>
                </w14:textFill>
              </w:rPr>
              <w:t>依据《排污许可申请与核发技术规范 电池工业》（HJ967-2018）</w:t>
            </w:r>
            <w:r>
              <w:rPr>
                <w:rFonts w:hint="eastAsia" w:ascii="Times New Roman" w:hAnsi="Times New Roman" w:cs="Times New Roman" w:eastAsiaTheme="minorEastAsia"/>
                <w:color w:val="000000" w:themeColor="text1"/>
                <w:sz w:val="24"/>
                <w:u w:val="none" w:color="auto"/>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u w:val="none" w:color="auto"/>
                <w:lang w:val="en-US" w:eastAsia="zh-CN"/>
                <w14:textFill>
                  <w14:solidFill>
                    <w14:schemeClr w14:val="tx1"/>
                  </w14:solidFill>
                </w14:textFill>
              </w:rPr>
              <w:t>本项目采用活性炭吸附脱附+催化燃烧装置治理注液废气，采用NMP回收</w:t>
            </w:r>
            <w:r>
              <w:rPr>
                <w:rFonts w:hint="eastAsia" w:cs="Times New Roman" w:eastAsiaTheme="minorEastAsia"/>
                <w:color w:val="000000" w:themeColor="text1"/>
                <w:sz w:val="24"/>
                <w:u w:val="none" w:color="auto"/>
                <w:lang w:val="en-US" w:eastAsia="zh-CN"/>
                <w14:textFill>
                  <w14:solidFill>
                    <w14:schemeClr w14:val="tx1"/>
                  </w14:solidFill>
                </w14:textFill>
              </w:rPr>
              <w:t>装置</w:t>
            </w:r>
            <w:r>
              <w:rPr>
                <w:rFonts w:hint="default" w:ascii="Times New Roman" w:hAnsi="Times New Roman" w:cs="Times New Roman" w:eastAsiaTheme="minorEastAsia"/>
                <w:color w:val="000000" w:themeColor="text1"/>
                <w:sz w:val="24"/>
                <w:u w:val="none" w:color="auto"/>
                <w:lang w:val="en-US" w:eastAsia="zh-CN"/>
                <w14:textFill>
                  <w14:solidFill>
                    <w14:schemeClr w14:val="tx1"/>
                  </w14:solidFill>
                </w14:textFill>
              </w:rPr>
              <w:t>治理</w:t>
            </w:r>
            <w:r>
              <w:rPr>
                <w:rFonts w:hint="eastAsia" w:ascii="Times New Roman" w:hAnsi="Times New Roman" w:cs="Times New Roman" w:eastAsiaTheme="minorEastAsia"/>
                <w:color w:val="000000" w:themeColor="text1"/>
                <w:sz w:val="24"/>
                <w:u w:val="none" w:color="auto"/>
                <w:lang w:val="en-US" w:eastAsia="zh-CN"/>
                <w14:textFill>
                  <w14:solidFill>
                    <w14:schemeClr w14:val="tx1"/>
                  </w14:solidFill>
                </w14:textFill>
              </w:rPr>
              <w:t>正极</w:t>
            </w:r>
            <w:r>
              <w:rPr>
                <w:rFonts w:hint="default" w:ascii="Times New Roman" w:hAnsi="Times New Roman" w:cs="Times New Roman" w:eastAsiaTheme="minorEastAsia"/>
                <w:color w:val="000000" w:themeColor="text1"/>
                <w:sz w:val="24"/>
                <w:u w:val="none" w:color="auto"/>
                <w:lang w:val="en-US" w:eastAsia="zh-CN"/>
                <w14:textFill>
                  <w14:solidFill>
                    <w14:schemeClr w14:val="tx1"/>
                  </w14:solidFill>
                </w14:textFill>
              </w:rPr>
              <w:t>配料、涂布烘干废气</w:t>
            </w:r>
            <w:r>
              <w:rPr>
                <w:rFonts w:hint="eastAsia" w:cs="Times New Roman" w:eastAsiaTheme="minorEastAsia"/>
                <w:color w:val="000000" w:themeColor="text1"/>
                <w:sz w:val="24"/>
                <w:u w:val="none" w:color="auto"/>
                <w:lang w:val="en-US" w:eastAsia="zh-CN"/>
                <w14:textFill>
                  <w14:solidFill>
                    <w14:schemeClr w14:val="tx1"/>
                  </w14:solidFill>
                </w14:textFill>
              </w:rPr>
              <w:t>均为可行技术。</w:t>
            </w:r>
            <w:r>
              <w:rPr>
                <w:rFonts w:hint="default" w:eastAsiaTheme="minorEastAsia"/>
                <w:color w:val="000000" w:themeColor="text1"/>
                <w:sz w:val="24"/>
                <w:u w:val="none" w:color="auto"/>
                <w:lang w:val="en-US"/>
                <w14:textFill>
                  <w14:solidFill>
                    <w14:schemeClr w14:val="tx1"/>
                  </w14:solidFill>
                </w14:textFill>
              </w:rPr>
              <w:t>本企业正极</w:t>
            </w:r>
            <w:r>
              <w:rPr>
                <w:rFonts w:hint="eastAsia" w:eastAsiaTheme="minorEastAsia"/>
                <w:color w:val="000000" w:themeColor="text1"/>
                <w:sz w:val="24"/>
                <w:u w:val="none" w:color="auto"/>
                <w:lang w:val="en-US" w:eastAsia="zh-CN"/>
                <w14:textFill>
                  <w14:solidFill>
                    <w14:schemeClr w14:val="tx1"/>
                  </w14:solidFill>
                </w14:textFill>
              </w:rPr>
              <w:t>、</w:t>
            </w:r>
            <w:r>
              <w:rPr>
                <w:rFonts w:hint="default" w:eastAsiaTheme="minorEastAsia"/>
                <w:color w:val="000000" w:themeColor="text1"/>
                <w:sz w:val="24"/>
                <w:u w:val="none" w:color="auto"/>
                <w:lang w:val="en-US"/>
                <w14:textFill>
                  <w14:solidFill>
                    <w14:schemeClr w14:val="tx1"/>
                  </w14:solidFill>
                </w14:textFill>
              </w:rPr>
              <w:t>负极</w:t>
            </w:r>
            <w:r>
              <w:rPr>
                <w:rFonts w:hint="eastAsia" w:eastAsiaTheme="minorEastAsia"/>
                <w:color w:val="000000" w:themeColor="text1"/>
                <w:sz w:val="24"/>
                <w:u w:val="none" w:color="auto"/>
                <w:lang w:val="en-US" w:eastAsia="zh-CN"/>
                <w14:textFill>
                  <w14:solidFill>
                    <w14:schemeClr w14:val="tx1"/>
                  </w14:solidFill>
                </w14:textFill>
              </w:rPr>
              <w:t>投料</w:t>
            </w:r>
            <w:r>
              <w:rPr>
                <w:rFonts w:hint="default" w:eastAsiaTheme="minorEastAsia"/>
                <w:color w:val="000000" w:themeColor="text1"/>
                <w:sz w:val="24"/>
                <w:u w:val="none" w:color="auto"/>
                <w:lang w:val="en-US"/>
                <w14:textFill>
                  <w14:solidFill>
                    <w14:schemeClr w14:val="tx1"/>
                  </w14:solidFill>
                </w14:textFill>
              </w:rPr>
              <w:t>配料工序产生的颗粒物分别经各自配套的滤芯式除尘器处理</w:t>
            </w:r>
            <w:r>
              <w:rPr>
                <w:rFonts w:hint="eastAsia" w:eastAsiaTheme="minorEastAsia"/>
                <w:color w:val="000000" w:themeColor="text1"/>
                <w:sz w:val="24"/>
                <w:u w:val="none" w:color="auto"/>
                <w:lang w:val="en-US" w:eastAsia="zh-CN"/>
                <w14:textFill>
                  <w14:solidFill>
                    <w14:schemeClr w14:val="tx1"/>
                  </w14:solidFill>
                </w14:textFill>
              </w:rPr>
              <w:t>属于可行技术。</w:t>
            </w:r>
          </w:p>
          <w:p w14:paraId="495FB1BC">
            <w:pPr>
              <w:keepNext w:val="0"/>
              <w:keepLines w:val="0"/>
              <w:pageBreakBefore w:val="0"/>
              <w:kinsoku/>
              <w:wordWrap/>
              <w:overflowPunct/>
              <w:topLinePunct w:val="0"/>
              <w:autoSpaceDE/>
              <w:autoSpaceDN/>
              <w:bidi w:val="0"/>
              <w:spacing w:line="440" w:lineRule="exact"/>
              <w:ind w:firstLine="480" w:firstLineChars="200"/>
              <w:jc w:val="both"/>
              <w:textAlignment w:val="auto"/>
              <w:rPr>
                <w:rFonts w:hint="eastAsia" w:eastAsiaTheme="minorEastAsia"/>
                <w:color w:val="000000" w:themeColor="text1"/>
                <w:sz w:val="24"/>
                <w:u w:val="none" w:color="auto"/>
                <w:lang w:val="en-US" w:eastAsia="zh-CN"/>
                <w14:textFill>
                  <w14:solidFill>
                    <w14:schemeClr w14:val="tx1"/>
                  </w14:solidFill>
                </w14:textFill>
              </w:rPr>
            </w:pPr>
            <w:r>
              <w:rPr>
                <w:rFonts w:hint="default" w:eastAsiaTheme="minorEastAsia"/>
                <w:color w:val="000000" w:themeColor="text1"/>
                <w:sz w:val="24"/>
                <w:u w:val="none" w:color="auto"/>
                <w:lang w:val="en-US"/>
                <w14:textFill>
                  <w14:solidFill>
                    <w14:schemeClr w14:val="tx1"/>
                  </w14:solidFill>
                </w14:textFill>
              </w:rPr>
              <w:t>滤芯式除尘器滤芯除尘器是一种高效的空气净化设备，它以滤筒作为过滤元件，通过表面过滤等方式捕捉粉尘，实现气体的净化；是一个连续的过滤和周期性的清灰过程，通过这种机制保证了除尘效率和设备的持续运行</w:t>
            </w:r>
            <w:r>
              <w:rPr>
                <w:rFonts w:hint="eastAsia" w:eastAsiaTheme="minorEastAsia"/>
                <w:color w:val="000000" w:themeColor="text1"/>
                <w:sz w:val="24"/>
                <w:u w:val="none" w:color="auto"/>
                <w:lang w:val="en-US" w:eastAsia="zh-CN"/>
                <w14:textFill>
                  <w14:solidFill>
                    <w14:schemeClr w14:val="tx1"/>
                  </w14:solidFill>
                </w14:textFill>
              </w:rPr>
              <w:t>。</w:t>
            </w:r>
          </w:p>
          <w:p w14:paraId="069C2391">
            <w:pPr>
              <w:keepNext w:val="0"/>
              <w:keepLines w:val="0"/>
              <w:pageBreakBefore w:val="0"/>
              <w:kinsoku/>
              <w:wordWrap/>
              <w:overflowPunct/>
              <w:topLinePunct w:val="0"/>
              <w:autoSpaceDE/>
              <w:autoSpaceDN/>
              <w:bidi w:val="0"/>
              <w:spacing w:line="440" w:lineRule="exact"/>
              <w:ind w:firstLine="480" w:firstLineChars="200"/>
              <w:jc w:val="both"/>
              <w:textAlignment w:val="auto"/>
              <w:rPr>
                <w:rFonts w:hint="default" w:eastAsia="宋体"/>
                <w:color w:val="000000" w:themeColor="text1"/>
                <w:sz w:val="24"/>
                <w:u w:val="none" w:color="auto"/>
                <w:lang w:val="en-US" w:eastAsia="zh-CN"/>
                <w14:textFill>
                  <w14:solidFill>
                    <w14:schemeClr w14:val="tx1"/>
                  </w14:solidFill>
                </w14:textFill>
              </w:rPr>
            </w:pPr>
            <w:r>
              <w:rPr>
                <w:rFonts w:hint="eastAsia" w:ascii="Times New Roman" w:hAnsi="Times New Roman" w:cs="宋体"/>
                <w:sz w:val="24"/>
                <w:szCs w:val="20"/>
                <w:u w:val="none" w:color="auto"/>
              </w:rPr>
              <w:t>本项目污水处理站废气主要为臭气浓度、H</w:t>
            </w:r>
            <w:r>
              <w:rPr>
                <w:rFonts w:hint="eastAsia" w:ascii="Times New Roman" w:hAnsi="Times New Roman" w:cs="宋体"/>
                <w:sz w:val="24"/>
                <w:szCs w:val="20"/>
                <w:u w:val="none" w:color="auto"/>
                <w:vertAlign w:val="subscript"/>
              </w:rPr>
              <w:t>2</w:t>
            </w:r>
            <w:r>
              <w:rPr>
                <w:rFonts w:hint="eastAsia" w:ascii="Times New Roman" w:hAnsi="Times New Roman" w:cs="宋体"/>
                <w:sz w:val="24"/>
                <w:szCs w:val="20"/>
                <w:u w:val="none" w:color="auto"/>
              </w:rPr>
              <w:t>S、NH</w:t>
            </w:r>
            <w:r>
              <w:rPr>
                <w:rFonts w:hint="eastAsia" w:ascii="Times New Roman" w:hAnsi="Times New Roman" w:cs="宋体"/>
                <w:sz w:val="24"/>
                <w:szCs w:val="20"/>
                <w:u w:val="none" w:color="auto"/>
                <w:vertAlign w:val="subscript"/>
              </w:rPr>
              <w:t>3</w:t>
            </w:r>
            <w:r>
              <w:rPr>
                <w:rFonts w:hint="eastAsia" w:ascii="Times New Roman" w:hAnsi="Times New Roman" w:cs="宋体"/>
                <w:sz w:val="24"/>
                <w:szCs w:val="20"/>
                <w:u w:val="none" w:color="auto"/>
              </w:rPr>
              <w:t>，</w:t>
            </w:r>
            <w:r>
              <w:rPr>
                <w:rFonts w:hint="eastAsia" w:cs="宋体"/>
                <w:sz w:val="24"/>
                <w:szCs w:val="20"/>
                <w:u w:val="none" w:color="auto"/>
                <w:lang w:val="en-US" w:eastAsia="zh-CN"/>
              </w:rPr>
              <w:t>参照</w:t>
            </w:r>
            <w:r>
              <w:rPr>
                <w:rFonts w:hint="eastAsia" w:ascii="Times New Roman" w:hAnsi="Times New Roman" w:cs="宋体"/>
                <w:sz w:val="24"/>
                <w:szCs w:val="20"/>
                <w:u w:val="none" w:color="auto"/>
              </w:rPr>
              <w:t>《排污许可证申请与核发技术规范  铁路、船舶、航空航天和其他运输设备制造业》（HJ1124-2020），针对废水生化处理设施及污泥间恶臭处理方法主要有碱液吸收和生物降解等，本项目选用</w:t>
            </w:r>
            <w:r>
              <w:rPr>
                <w:rFonts w:hint="eastAsia" w:cs="宋体"/>
                <w:sz w:val="24"/>
                <w:szCs w:val="20"/>
                <w:u w:val="none" w:color="auto"/>
                <w:lang w:eastAsia="zh-CN"/>
              </w:rPr>
              <w:t>生物除臭池</w:t>
            </w:r>
            <w:r>
              <w:rPr>
                <w:rFonts w:hint="eastAsia" w:ascii="Times New Roman" w:hAnsi="Times New Roman" w:cs="宋体"/>
                <w:sz w:val="24"/>
                <w:szCs w:val="20"/>
                <w:u w:val="none" w:color="auto"/>
              </w:rPr>
              <w:t>进行处理</w:t>
            </w:r>
            <w:r>
              <w:rPr>
                <w:rFonts w:hint="eastAsia" w:cs="宋体"/>
                <w:sz w:val="24"/>
                <w:szCs w:val="20"/>
                <w:u w:val="none" w:color="auto"/>
                <w:lang w:val="en-US" w:eastAsia="zh-CN"/>
              </w:rPr>
              <w:t>属于可行技术。</w:t>
            </w:r>
          </w:p>
          <w:p w14:paraId="1E4549B0">
            <w:pPr>
              <w:adjustRightInd w:val="0"/>
              <w:snapToGrid w:val="0"/>
              <w:spacing w:line="440" w:lineRule="exact"/>
              <w:ind w:firstLine="482" w:firstLineChars="200"/>
              <w:rPr>
                <w:rFonts w:hint="eastAsia" w:hAnsi="宋体" w:eastAsia="宋体"/>
                <w:b/>
                <w:bCs/>
                <w:sz w:val="24"/>
                <w:u w:val="none" w:color="auto"/>
                <w:lang w:val="en-US" w:eastAsia="zh-CN"/>
              </w:rPr>
            </w:pPr>
            <w:r>
              <w:rPr>
                <w:rFonts w:hint="eastAsia" w:hAnsi="宋体"/>
                <w:b/>
                <w:bCs/>
                <w:sz w:val="24"/>
                <w:u w:val="none" w:color="auto"/>
                <w:lang w:val="en-US" w:eastAsia="zh-CN"/>
              </w:rPr>
              <w:t>（四）污染源排放口情况及排放量分析</w:t>
            </w:r>
          </w:p>
          <w:p w14:paraId="12F5F5EB">
            <w:pPr>
              <w:adjustRightInd w:val="0"/>
              <w:snapToGrid w:val="0"/>
              <w:spacing w:line="440" w:lineRule="exact"/>
              <w:ind w:firstLine="480" w:firstLineChars="200"/>
              <w:rPr>
                <w:rFonts w:hint="eastAsia" w:hAnsi="宋体"/>
                <w:sz w:val="24"/>
                <w:u w:val="none" w:color="auto"/>
              </w:rPr>
            </w:pPr>
            <w:r>
              <w:rPr>
                <w:rFonts w:hint="eastAsia" w:hAnsi="宋体"/>
                <w:sz w:val="24"/>
                <w:u w:val="none" w:color="auto"/>
              </w:rPr>
              <w:t>本项目有组织排放口基本情况见下表。</w:t>
            </w:r>
          </w:p>
          <w:p w14:paraId="5EF9A9D4">
            <w:pPr>
              <w:adjustRightInd w:val="0"/>
              <w:snapToGrid w:val="0"/>
              <w:spacing w:line="440" w:lineRule="exact"/>
              <w:ind w:firstLine="482" w:firstLineChars="200"/>
              <w:jc w:val="center"/>
              <w:rPr>
                <w:rFonts w:hint="eastAsia" w:hAnsi="宋体"/>
                <w:b/>
                <w:bCs/>
                <w:sz w:val="24"/>
                <w:u w:val="none" w:color="auto"/>
              </w:rPr>
            </w:pPr>
            <w:r>
              <w:rPr>
                <w:rFonts w:hint="eastAsia" w:hAnsi="宋体"/>
                <w:b/>
                <w:bCs/>
                <w:sz w:val="24"/>
                <w:u w:val="none" w:color="auto"/>
              </w:rPr>
              <w:t>表 4-</w:t>
            </w:r>
            <w:r>
              <w:rPr>
                <w:rFonts w:hint="eastAsia" w:hAnsi="宋体"/>
                <w:b/>
                <w:bCs/>
                <w:sz w:val="24"/>
                <w:u w:val="none" w:color="auto"/>
                <w:lang w:val="en-US" w:eastAsia="zh-CN"/>
              </w:rPr>
              <w:t>5</w:t>
            </w:r>
            <w:r>
              <w:rPr>
                <w:rFonts w:hint="eastAsia" w:hAnsi="宋体"/>
                <w:b/>
                <w:bCs/>
                <w:sz w:val="24"/>
                <w:u w:val="none" w:color="auto"/>
              </w:rPr>
              <w:t xml:space="preserve">    本项目有组织排放源基本情况</w:t>
            </w:r>
          </w:p>
          <w:tbl>
            <w:tblPr>
              <w:tblStyle w:val="32"/>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26"/>
              <w:gridCol w:w="733"/>
              <w:gridCol w:w="715"/>
              <w:gridCol w:w="755"/>
              <w:gridCol w:w="637"/>
              <w:gridCol w:w="516"/>
              <w:gridCol w:w="522"/>
              <w:gridCol w:w="592"/>
              <w:gridCol w:w="744"/>
              <w:gridCol w:w="2362"/>
            </w:tblGrid>
            <w:tr w14:paraId="64228B3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6" w:type="dxa"/>
                  <w:vMerge w:val="restart"/>
                  <w:tcBorders>
                    <w:tl2br w:val="nil"/>
                    <w:tr2bl w:val="nil"/>
                  </w:tcBorders>
                  <w:shd w:val="clear" w:color="auto" w:fill="FFFFFF"/>
                  <w:vAlign w:val="center"/>
                </w:tcPr>
                <w:p w14:paraId="340A559D">
                  <w:pPr>
                    <w:adjustRightInd w:val="0"/>
                    <w:snapToGrid w:val="0"/>
                    <w:jc w:val="center"/>
                    <w:rPr>
                      <w:rFonts w:hint="default" w:ascii="Times New Roman" w:hAnsi="Times New Roman" w:eastAsia="宋体" w:cs="Times New Roman"/>
                      <w:b/>
                      <w:szCs w:val="21"/>
                      <w:u w:val="none" w:color="auto"/>
                    </w:rPr>
                  </w:pPr>
                  <w:r>
                    <w:rPr>
                      <w:rFonts w:hint="default" w:ascii="Times New Roman" w:hAnsi="Times New Roman" w:eastAsia="宋体" w:cs="Times New Roman"/>
                      <w:b/>
                      <w:szCs w:val="21"/>
                      <w:u w:val="none" w:color="auto"/>
                    </w:rPr>
                    <w:t>编号</w:t>
                  </w:r>
                </w:p>
              </w:tc>
              <w:tc>
                <w:tcPr>
                  <w:tcW w:w="733" w:type="dxa"/>
                  <w:vMerge w:val="restart"/>
                  <w:tcBorders>
                    <w:tl2br w:val="nil"/>
                    <w:tr2bl w:val="nil"/>
                  </w:tcBorders>
                  <w:shd w:val="clear" w:color="auto" w:fill="FFFFFF"/>
                  <w:vAlign w:val="center"/>
                </w:tcPr>
                <w:p w14:paraId="32C7D6CB">
                  <w:pPr>
                    <w:adjustRightInd w:val="0"/>
                    <w:snapToGrid w:val="0"/>
                    <w:jc w:val="center"/>
                    <w:rPr>
                      <w:rFonts w:hint="default" w:ascii="Times New Roman" w:hAnsi="Times New Roman" w:eastAsia="宋体" w:cs="Times New Roman"/>
                      <w:b/>
                      <w:szCs w:val="21"/>
                      <w:u w:val="none" w:color="auto"/>
                    </w:rPr>
                  </w:pPr>
                  <w:r>
                    <w:rPr>
                      <w:rFonts w:hint="default" w:ascii="Times New Roman" w:hAnsi="Times New Roman" w:eastAsia="宋体" w:cs="Times New Roman"/>
                      <w:b/>
                      <w:szCs w:val="21"/>
                      <w:u w:val="none" w:color="auto"/>
                    </w:rPr>
                    <w:t>名称</w:t>
                  </w:r>
                </w:p>
              </w:tc>
              <w:tc>
                <w:tcPr>
                  <w:tcW w:w="1470" w:type="dxa"/>
                  <w:gridSpan w:val="2"/>
                  <w:tcBorders>
                    <w:tl2br w:val="nil"/>
                    <w:tr2bl w:val="nil"/>
                  </w:tcBorders>
                  <w:shd w:val="clear" w:color="auto" w:fill="FFFFFF"/>
                  <w:vAlign w:val="center"/>
                </w:tcPr>
                <w:p w14:paraId="10B4DE07">
                  <w:pPr>
                    <w:adjustRightInd w:val="0"/>
                    <w:snapToGrid w:val="0"/>
                    <w:jc w:val="center"/>
                    <w:rPr>
                      <w:rFonts w:hint="default" w:ascii="Times New Roman" w:hAnsi="Times New Roman" w:eastAsia="宋体" w:cs="Times New Roman"/>
                      <w:b/>
                      <w:szCs w:val="21"/>
                      <w:u w:val="none" w:color="auto"/>
                    </w:rPr>
                  </w:pPr>
                  <w:r>
                    <w:rPr>
                      <w:rFonts w:hint="default" w:ascii="Times New Roman" w:hAnsi="Times New Roman" w:eastAsia="宋体" w:cs="Times New Roman"/>
                      <w:b/>
                      <w:szCs w:val="21"/>
                      <w:u w:val="none" w:color="auto"/>
                    </w:rPr>
                    <w:t>排气筒底部中心坐标/m</w:t>
                  </w:r>
                </w:p>
              </w:tc>
              <w:tc>
                <w:tcPr>
                  <w:tcW w:w="637" w:type="dxa"/>
                  <w:vMerge w:val="restart"/>
                  <w:tcBorders>
                    <w:tl2br w:val="nil"/>
                    <w:tr2bl w:val="nil"/>
                  </w:tcBorders>
                  <w:shd w:val="clear" w:color="auto" w:fill="FFFFFF"/>
                  <w:vAlign w:val="center"/>
                </w:tcPr>
                <w:p w14:paraId="06E9E185">
                  <w:pPr>
                    <w:adjustRightInd w:val="0"/>
                    <w:snapToGrid w:val="0"/>
                    <w:jc w:val="center"/>
                    <w:rPr>
                      <w:rFonts w:hint="default" w:ascii="Times New Roman" w:hAnsi="Times New Roman" w:eastAsia="宋体" w:cs="Times New Roman"/>
                      <w:b/>
                      <w:szCs w:val="21"/>
                      <w:u w:val="none" w:color="auto"/>
                    </w:rPr>
                  </w:pPr>
                  <w:r>
                    <w:rPr>
                      <w:rFonts w:hint="default" w:ascii="Times New Roman" w:hAnsi="Times New Roman" w:eastAsia="宋体" w:cs="Times New Roman"/>
                      <w:b/>
                      <w:szCs w:val="21"/>
                      <w:u w:val="none" w:color="auto"/>
                    </w:rPr>
                    <w:t>排气筒高度/m</w:t>
                  </w:r>
                </w:p>
              </w:tc>
              <w:tc>
                <w:tcPr>
                  <w:tcW w:w="516" w:type="dxa"/>
                  <w:vMerge w:val="restart"/>
                  <w:tcBorders>
                    <w:tl2br w:val="nil"/>
                    <w:tr2bl w:val="nil"/>
                  </w:tcBorders>
                  <w:shd w:val="clear" w:color="auto" w:fill="FFFFFF"/>
                  <w:vAlign w:val="center"/>
                </w:tcPr>
                <w:p w14:paraId="4D1C8709">
                  <w:pPr>
                    <w:adjustRightInd w:val="0"/>
                    <w:snapToGrid w:val="0"/>
                    <w:jc w:val="center"/>
                    <w:rPr>
                      <w:rFonts w:hint="default" w:ascii="Times New Roman" w:hAnsi="Times New Roman" w:eastAsia="宋体" w:cs="Times New Roman"/>
                      <w:b/>
                      <w:szCs w:val="21"/>
                      <w:u w:val="none" w:color="auto"/>
                    </w:rPr>
                  </w:pPr>
                  <w:r>
                    <w:rPr>
                      <w:rFonts w:hint="default" w:ascii="Times New Roman" w:hAnsi="Times New Roman" w:eastAsia="宋体" w:cs="Times New Roman"/>
                      <w:b/>
                      <w:szCs w:val="21"/>
                      <w:u w:val="none" w:color="auto"/>
                    </w:rPr>
                    <w:t>出口内径/m</w:t>
                  </w:r>
                </w:p>
              </w:tc>
              <w:tc>
                <w:tcPr>
                  <w:tcW w:w="522" w:type="dxa"/>
                  <w:vMerge w:val="restart"/>
                  <w:tcBorders>
                    <w:tl2br w:val="nil"/>
                    <w:tr2bl w:val="nil"/>
                  </w:tcBorders>
                  <w:shd w:val="clear" w:color="auto" w:fill="FFFFFF"/>
                  <w:vAlign w:val="center"/>
                </w:tcPr>
                <w:p w14:paraId="5E1DCBA9">
                  <w:pPr>
                    <w:adjustRightInd w:val="0"/>
                    <w:snapToGrid w:val="0"/>
                    <w:jc w:val="center"/>
                    <w:rPr>
                      <w:rFonts w:hint="default" w:ascii="Times New Roman" w:hAnsi="Times New Roman" w:eastAsia="宋体" w:cs="Times New Roman"/>
                      <w:b/>
                      <w:szCs w:val="21"/>
                      <w:u w:val="none" w:color="auto"/>
                    </w:rPr>
                  </w:pPr>
                  <w:r>
                    <w:rPr>
                      <w:rFonts w:hint="default" w:ascii="Times New Roman" w:hAnsi="Times New Roman" w:eastAsia="宋体" w:cs="Times New Roman"/>
                      <w:b/>
                      <w:szCs w:val="21"/>
                      <w:u w:val="none" w:color="auto"/>
                    </w:rPr>
                    <w:t>类型</w:t>
                  </w:r>
                </w:p>
              </w:tc>
              <w:tc>
                <w:tcPr>
                  <w:tcW w:w="592" w:type="dxa"/>
                  <w:vMerge w:val="restart"/>
                  <w:tcBorders>
                    <w:tl2br w:val="nil"/>
                    <w:tr2bl w:val="nil"/>
                  </w:tcBorders>
                  <w:shd w:val="clear" w:color="auto" w:fill="FFFFFF"/>
                  <w:vAlign w:val="center"/>
                </w:tcPr>
                <w:p w14:paraId="39C636BC">
                  <w:pPr>
                    <w:adjustRightInd w:val="0"/>
                    <w:snapToGrid w:val="0"/>
                    <w:jc w:val="center"/>
                    <w:rPr>
                      <w:rFonts w:hint="default" w:ascii="Times New Roman" w:hAnsi="Times New Roman" w:eastAsia="宋体" w:cs="Times New Roman"/>
                      <w:b/>
                      <w:szCs w:val="21"/>
                      <w:u w:val="none" w:color="auto"/>
                    </w:rPr>
                  </w:pPr>
                  <w:r>
                    <w:rPr>
                      <w:rFonts w:hint="default" w:ascii="Times New Roman" w:hAnsi="Times New Roman" w:eastAsia="宋体" w:cs="Times New Roman"/>
                      <w:b/>
                      <w:szCs w:val="21"/>
                      <w:u w:val="none" w:color="auto"/>
                    </w:rPr>
                    <w:t>烟气温度/℃</w:t>
                  </w:r>
                </w:p>
              </w:tc>
              <w:tc>
                <w:tcPr>
                  <w:tcW w:w="744" w:type="dxa"/>
                  <w:vMerge w:val="restart"/>
                  <w:tcBorders>
                    <w:tl2br w:val="nil"/>
                    <w:tr2bl w:val="nil"/>
                  </w:tcBorders>
                  <w:shd w:val="clear" w:color="auto" w:fill="FFFFFF"/>
                  <w:vAlign w:val="center"/>
                </w:tcPr>
                <w:p w14:paraId="6D1483BC">
                  <w:pPr>
                    <w:adjustRightInd w:val="0"/>
                    <w:snapToGrid w:val="0"/>
                    <w:jc w:val="center"/>
                    <w:rPr>
                      <w:rFonts w:hint="default" w:ascii="Times New Roman" w:hAnsi="Times New Roman" w:eastAsia="宋体" w:cs="Times New Roman"/>
                      <w:b/>
                      <w:szCs w:val="21"/>
                      <w:u w:val="none" w:color="auto"/>
                    </w:rPr>
                  </w:pPr>
                  <w:r>
                    <w:rPr>
                      <w:rFonts w:hint="default" w:ascii="Times New Roman" w:hAnsi="Times New Roman" w:eastAsia="宋体" w:cs="Times New Roman"/>
                      <w:b/>
                      <w:szCs w:val="21"/>
                      <w:u w:val="none" w:color="auto"/>
                    </w:rPr>
                    <w:t>排放的污染物</w:t>
                  </w:r>
                </w:p>
              </w:tc>
              <w:tc>
                <w:tcPr>
                  <w:tcW w:w="2362" w:type="dxa"/>
                  <w:vMerge w:val="restart"/>
                  <w:tcBorders>
                    <w:tl2br w:val="nil"/>
                    <w:tr2bl w:val="nil"/>
                  </w:tcBorders>
                  <w:shd w:val="clear" w:color="auto" w:fill="FFFFFF"/>
                  <w:vAlign w:val="center"/>
                </w:tcPr>
                <w:p w14:paraId="21C4CAC0">
                  <w:pPr>
                    <w:adjustRightInd w:val="0"/>
                    <w:snapToGrid w:val="0"/>
                    <w:jc w:val="center"/>
                    <w:rPr>
                      <w:rFonts w:hint="default" w:ascii="Times New Roman" w:hAnsi="Times New Roman" w:eastAsia="宋体" w:cs="Times New Roman"/>
                      <w:b/>
                      <w:szCs w:val="21"/>
                      <w:u w:val="none" w:color="auto"/>
                    </w:rPr>
                  </w:pPr>
                  <w:r>
                    <w:rPr>
                      <w:rFonts w:hint="default" w:ascii="Times New Roman" w:hAnsi="Times New Roman" w:eastAsia="宋体" w:cs="Times New Roman"/>
                      <w:b/>
                      <w:szCs w:val="21"/>
                      <w:u w:val="none" w:color="auto"/>
                    </w:rPr>
                    <w:t>执行标准</w:t>
                  </w:r>
                </w:p>
              </w:tc>
            </w:tr>
            <w:tr w14:paraId="4F3BD98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6" w:type="dxa"/>
                  <w:vMerge w:val="continue"/>
                  <w:tcBorders>
                    <w:tl2br w:val="nil"/>
                    <w:tr2bl w:val="nil"/>
                  </w:tcBorders>
                  <w:shd w:val="pct10" w:color="auto" w:fill="auto"/>
                  <w:vAlign w:val="center"/>
                </w:tcPr>
                <w:p w14:paraId="24F4BFEE">
                  <w:pPr>
                    <w:adjustRightInd w:val="0"/>
                    <w:snapToGrid w:val="0"/>
                    <w:jc w:val="center"/>
                    <w:rPr>
                      <w:rFonts w:hint="default" w:ascii="Times New Roman" w:hAnsi="Times New Roman" w:eastAsia="宋体" w:cs="Times New Roman"/>
                      <w:szCs w:val="21"/>
                      <w:u w:val="none" w:color="auto"/>
                    </w:rPr>
                  </w:pPr>
                </w:p>
              </w:tc>
              <w:tc>
                <w:tcPr>
                  <w:tcW w:w="733" w:type="dxa"/>
                  <w:vMerge w:val="continue"/>
                  <w:tcBorders>
                    <w:tl2br w:val="nil"/>
                    <w:tr2bl w:val="nil"/>
                  </w:tcBorders>
                  <w:shd w:val="pct10" w:color="auto" w:fill="auto"/>
                  <w:vAlign w:val="center"/>
                </w:tcPr>
                <w:p w14:paraId="4BE585E9">
                  <w:pPr>
                    <w:adjustRightInd w:val="0"/>
                    <w:snapToGrid w:val="0"/>
                    <w:jc w:val="center"/>
                    <w:rPr>
                      <w:rFonts w:hint="default" w:ascii="Times New Roman" w:hAnsi="Times New Roman" w:eastAsia="宋体" w:cs="Times New Roman"/>
                      <w:szCs w:val="21"/>
                      <w:u w:val="none" w:color="auto"/>
                    </w:rPr>
                  </w:pPr>
                </w:p>
              </w:tc>
              <w:tc>
                <w:tcPr>
                  <w:tcW w:w="715" w:type="dxa"/>
                  <w:tcBorders>
                    <w:tl2br w:val="nil"/>
                    <w:tr2bl w:val="nil"/>
                  </w:tcBorders>
                  <w:shd w:val="clear" w:color="auto" w:fill="FFFFFF"/>
                  <w:vAlign w:val="center"/>
                </w:tcPr>
                <w:p w14:paraId="2E28244C">
                  <w:pPr>
                    <w:adjustRightInd w:val="0"/>
                    <w:snapToGrid w:val="0"/>
                    <w:jc w:val="center"/>
                    <w:rPr>
                      <w:rFonts w:hint="default" w:ascii="Times New Roman" w:hAnsi="Times New Roman" w:eastAsia="宋体" w:cs="Times New Roman"/>
                      <w:b/>
                      <w:color w:val="000000" w:themeColor="text1"/>
                      <w:szCs w:val="21"/>
                      <w:u w:val="none" w:color="auto"/>
                      <w14:textFill>
                        <w14:solidFill>
                          <w14:schemeClr w14:val="tx1"/>
                        </w14:solidFill>
                      </w14:textFill>
                    </w:rPr>
                  </w:pPr>
                  <w:r>
                    <w:rPr>
                      <w:rFonts w:hint="default" w:ascii="Times New Roman" w:hAnsi="Times New Roman" w:eastAsia="宋体" w:cs="Times New Roman"/>
                      <w:b/>
                      <w:color w:val="000000" w:themeColor="text1"/>
                      <w:szCs w:val="21"/>
                      <w:u w:val="none" w:color="auto"/>
                      <w14:textFill>
                        <w14:solidFill>
                          <w14:schemeClr w14:val="tx1"/>
                        </w14:solidFill>
                      </w14:textFill>
                    </w:rPr>
                    <w:t>X</w:t>
                  </w:r>
                </w:p>
              </w:tc>
              <w:tc>
                <w:tcPr>
                  <w:tcW w:w="755" w:type="dxa"/>
                  <w:tcBorders>
                    <w:tl2br w:val="nil"/>
                    <w:tr2bl w:val="nil"/>
                  </w:tcBorders>
                  <w:shd w:val="clear" w:color="auto" w:fill="FFFFFF"/>
                  <w:vAlign w:val="center"/>
                </w:tcPr>
                <w:p w14:paraId="546500BC">
                  <w:pPr>
                    <w:adjustRightInd w:val="0"/>
                    <w:snapToGrid w:val="0"/>
                    <w:jc w:val="center"/>
                    <w:rPr>
                      <w:rFonts w:hint="default" w:ascii="Times New Roman" w:hAnsi="Times New Roman" w:eastAsia="宋体" w:cs="Times New Roman"/>
                      <w:b/>
                      <w:color w:val="000000" w:themeColor="text1"/>
                      <w:szCs w:val="21"/>
                      <w:u w:val="none" w:color="auto"/>
                      <w14:textFill>
                        <w14:solidFill>
                          <w14:schemeClr w14:val="tx1"/>
                        </w14:solidFill>
                      </w14:textFill>
                    </w:rPr>
                  </w:pPr>
                  <w:r>
                    <w:rPr>
                      <w:rFonts w:hint="default" w:ascii="Times New Roman" w:hAnsi="Times New Roman" w:eastAsia="宋体" w:cs="Times New Roman"/>
                      <w:b/>
                      <w:color w:val="000000" w:themeColor="text1"/>
                      <w:szCs w:val="21"/>
                      <w:u w:val="none" w:color="auto"/>
                      <w14:textFill>
                        <w14:solidFill>
                          <w14:schemeClr w14:val="tx1"/>
                        </w14:solidFill>
                      </w14:textFill>
                    </w:rPr>
                    <w:t>Y</w:t>
                  </w:r>
                </w:p>
              </w:tc>
              <w:tc>
                <w:tcPr>
                  <w:tcW w:w="637" w:type="dxa"/>
                  <w:vMerge w:val="continue"/>
                  <w:tcBorders>
                    <w:tl2br w:val="nil"/>
                    <w:tr2bl w:val="nil"/>
                  </w:tcBorders>
                  <w:shd w:val="pct10" w:color="auto" w:fill="auto"/>
                  <w:vAlign w:val="center"/>
                </w:tcPr>
                <w:p w14:paraId="6F177381">
                  <w:pPr>
                    <w:adjustRightInd w:val="0"/>
                    <w:snapToGrid w:val="0"/>
                    <w:jc w:val="center"/>
                    <w:rPr>
                      <w:rFonts w:hint="default" w:ascii="Times New Roman" w:hAnsi="Times New Roman" w:eastAsia="宋体" w:cs="Times New Roman"/>
                      <w:szCs w:val="21"/>
                      <w:u w:val="none" w:color="auto"/>
                    </w:rPr>
                  </w:pPr>
                </w:p>
              </w:tc>
              <w:tc>
                <w:tcPr>
                  <w:tcW w:w="516" w:type="dxa"/>
                  <w:vMerge w:val="continue"/>
                  <w:tcBorders>
                    <w:tl2br w:val="nil"/>
                    <w:tr2bl w:val="nil"/>
                  </w:tcBorders>
                  <w:shd w:val="pct10" w:color="auto" w:fill="auto"/>
                  <w:vAlign w:val="center"/>
                </w:tcPr>
                <w:p w14:paraId="43FBAC37">
                  <w:pPr>
                    <w:adjustRightInd w:val="0"/>
                    <w:snapToGrid w:val="0"/>
                    <w:jc w:val="center"/>
                    <w:rPr>
                      <w:rFonts w:hint="default" w:ascii="Times New Roman" w:hAnsi="Times New Roman" w:eastAsia="宋体" w:cs="Times New Roman"/>
                      <w:szCs w:val="21"/>
                      <w:u w:val="none" w:color="auto"/>
                    </w:rPr>
                  </w:pPr>
                </w:p>
              </w:tc>
              <w:tc>
                <w:tcPr>
                  <w:tcW w:w="522" w:type="dxa"/>
                  <w:vMerge w:val="continue"/>
                  <w:tcBorders>
                    <w:tl2br w:val="nil"/>
                    <w:tr2bl w:val="nil"/>
                  </w:tcBorders>
                  <w:shd w:val="pct10" w:color="auto" w:fill="auto"/>
                  <w:vAlign w:val="center"/>
                </w:tcPr>
                <w:p w14:paraId="69AD5332">
                  <w:pPr>
                    <w:adjustRightInd w:val="0"/>
                    <w:snapToGrid w:val="0"/>
                    <w:jc w:val="center"/>
                    <w:rPr>
                      <w:rFonts w:hint="default" w:ascii="Times New Roman" w:hAnsi="Times New Roman" w:eastAsia="宋体" w:cs="Times New Roman"/>
                      <w:szCs w:val="21"/>
                      <w:u w:val="none" w:color="auto"/>
                    </w:rPr>
                  </w:pPr>
                </w:p>
              </w:tc>
              <w:tc>
                <w:tcPr>
                  <w:tcW w:w="592" w:type="dxa"/>
                  <w:vMerge w:val="continue"/>
                  <w:tcBorders>
                    <w:tl2br w:val="nil"/>
                    <w:tr2bl w:val="nil"/>
                  </w:tcBorders>
                  <w:shd w:val="pct10" w:color="auto" w:fill="auto"/>
                  <w:vAlign w:val="center"/>
                </w:tcPr>
                <w:p w14:paraId="405D5561">
                  <w:pPr>
                    <w:adjustRightInd w:val="0"/>
                    <w:snapToGrid w:val="0"/>
                    <w:jc w:val="center"/>
                    <w:rPr>
                      <w:rFonts w:hint="default" w:ascii="Times New Roman" w:hAnsi="Times New Roman" w:eastAsia="宋体" w:cs="Times New Roman"/>
                      <w:szCs w:val="21"/>
                      <w:u w:val="none" w:color="auto"/>
                    </w:rPr>
                  </w:pPr>
                </w:p>
              </w:tc>
              <w:tc>
                <w:tcPr>
                  <w:tcW w:w="744" w:type="dxa"/>
                  <w:vMerge w:val="continue"/>
                  <w:tcBorders>
                    <w:tl2br w:val="nil"/>
                    <w:tr2bl w:val="nil"/>
                  </w:tcBorders>
                  <w:shd w:val="pct10" w:color="auto" w:fill="auto"/>
                  <w:vAlign w:val="center"/>
                </w:tcPr>
                <w:p w14:paraId="57D1C074">
                  <w:pPr>
                    <w:adjustRightInd w:val="0"/>
                    <w:snapToGrid w:val="0"/>
                    <w:jc w:val="center"/>
                    <w:rPr>
                      <w:rFonts w:hint="default" w:ascii="Times New Roman" w:hAnsi="Times New Roman" w:eastAsia="宋体" w:cs="Times New Roman"/>
                      <w:szCs w:val="21"/>
                      <w:u w:val="none" w:color="auto"/>
                    </w:rPr>
                  </w:pPr>
                </w:p>
              </w:tc>
              <w:tc>
                <w:tcPr>
                  <w:tcW w:w="2362" w:type="dxa"/>
                  <w:vMerge w:val="continue"/>
                  <w:tcBorders>
                    <w:tl2br w:val="nil"/>
                    <w:tr2bl w:val="nil"/>
                  </w:tcBorders>
                  <w:shd w:val="pct10" w:color="auto" w:fill="auto"/>
                  <w:vAlign w:val="center"/>
                </w:tcPr>
                <w:p w14:paraId="00A9DB51">
                  <w:pPr>
                    <w:adjustRightInd w:val="0"/>
                    <w:snapToGrid w:val="0"/>
                    <w:jc w:val="center"/>
                    <w:rPr>
                      <w:rFonts w:hint="default" w:ascii="Times New Roman" w:hAnsi="Times New Roman" w:eastAsia="宋体" w:cs="Times New Roman"/>
                      <w:szCs w:val="21"/>
                      <w:u w:val="none" w:color="auto"/>
                    </w:rPr>
                  </w:pPr>
                </w:p>
              </w:tc>
            </w:tr>
            <w:tr w14:paraId="61B011A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5" w:hRule="atLeast"/>
                <w:jc w:val="center"/>
              </w:trPr>
              <w:tc>
                <w:tcPr>
                  <w:tcW w:w="326" w:type="dxa"/>
                  <w:tcBorders>
                    <w:tl2br w:val="nil"/>
                    <w:tr2bl w:val="nil"/>
                  </w:tcBorders>
                  <w:vAlign w:val="center"/>
                </w:tcPr>
                <w:p w14:paraId="539226C3">
                  <w:pPr>
                    <w:adjustRightInd w:val="0"/>
                    <w:snapToGrid w:val="0"/>
                    <w:jc w:val="center"/>
                    <w:rPr>
                      <w:rFonts w:hint="default" w:ascii="Times New Roman" w:hAnsi="Times New Roman" w:eastAsia="宋体" w:cs="Times New Roman"/>
                      <w:szCs w:val="21"/>
                      <w:u w:val="none" w:color="auto"/>
                    </w:rPr>
                  </w:pPr>
                  <w:r>
                    <w:rPr>
                      <w:rFonts w:hint="default" w:ascii="Times New Roman" w:hAnsi="Times New Roman" w:eastAsia="宋体" w:cs="Times New Roman"/>
                      <w:szCs w:val="21"/>
                      <w:u w:val="none" w:color="auto"/>
                    </w:rPr>
                    <w:t>DA001</w:t>
                  </w:r>
                </w:p>
              </w:tc>
              <w:tc>
                <w:tcPr>
                  <w:tcW w:w="733" w:type="dxa"/>
                  <w:tcBorders>
                    <w:tl2br w:val="nil"/>
                    <w:tr2bl w:val="nil"/>
                  </w:tcBorders>
                  <w:vAlign w:val="center"/>
                </w:tcPr>
                <w:p w14:paraId="7A916E83">
                  <w:pPr>
                    <w:adjustRightInd w:val="0"/>
                    <w:snapToGrid w:val="0"/>
                    <w:jc w:val="center"/>
                    <w:rPr>
                      <w:rFonts w:hint="default" w:ascii="Times New Roman" w:hAnsi="Times New Roman" w:eastAsia="宋体" w:cs="Times New Roman"/>
                      <w:szCs w:val="21"/>
                      <w:u w:val="none" w:color="auto"/>
                      <w:lang w:val="en-US" w:eastAsia="zh-CN"/>
                    </w:rPr>
                  </w:pPr>
                  <w:r>
                    <w:rPr>
                      <w:rFonts w:hint="eastAsia" w:cs="Times New Roman"/>
                      <w:szCs w:val="21"/>
                      <w:u w:val="none" w:color="auto"/>
                      <w:lang w:val="en-US" w:eastAsia="zh-CN"/>
                    </w:rPr>
                    <w:t>有机废气排放口</w:t>
                  </w:r>
                </w:p>
              </w:tc>
              <w:tc>
                <w:tcPr>
                  <w:tcW w:w="715" w:type="dxa"/>
                  <w:tcBorders>
                    <w:tl2br w:val="nil"/>
                    <w:tr2bl w:val="nil"/>
                  </w:tcBorders>
                  <w:vAlign w:val="center"/>
                </w:tcPr>
                <w:p w14:paraId="075C378A">
                  <w:pPr>
                    <w:adjustRightInd w:val="0"/>
                    <w:snapToGrid w:val="0"/>
                    <w:jc w:val="center"/>
                    <w:rPr>
                      <w:rFonts w:hint="eastAsia" w:ascii="Times New Roman" w:hAnsi="Times New Roman" w:eastAsia="宋体" w:cs="Times New Roman"/>
                      <w:szCs w:val="21"/>
                      <w:u w:val="none" w:color="auto"/>
                      <w:lang w:val="en-US" w:eastAsia="zh-CN"/>
                    </w:rPr>
                  </w:pPr>
                  <w:r>
                    <w:rPr>
                      <w:rFonts w:hint="default" w:ascii="Times New Roman" w:hAnsi="Times New Roman" w:eastAsia="宋体" w:cs="Times New Roman"/>
                      <w:szCs w:val="21"/>
                      <w:u w:val="none" w:color="auto"/>
                    </w:rPr>
                    <w:t>113°55′18.48″</w:t>
                  </w:r>
                  <w:r>
                    <w:rPr>
                      <w:rFonts w:hint="eastAsia" w:cs="Times New Roman"/>
                      <w:szCs w:val="21"/>
                      <w:u w:val="none" w:color="auto"/>
                      <w:lang w:val="en-US" w:eastAsia="zh-CN"/>
                    </w:rPr>
                    <w:t>E</w:t>
                  </w:r>
                </w:p>
              </w:tc>
              <w:tc>
                <w:tcPr>
                  <w:tcW w:w="755" w:type="dxa"/>
                  <w:tcBorders>
                    <w:tl2br w:val="nil"/>
                    <w:tr2bl w:val="nil"/>
                  </w:tcBorders>
                  <w:vAlign w:val="center"/>
                </w:tcPr>
                <w:p w14:paraId="063A3749">
                  <w:pPr>
                    <w:adjustRightInd w:val="0"/>
                    <w:snapToGrid w:val="0"/>
                    <w:jc w:val="center"/>
                    <w:rPr>
                      <w:rFonts w:hint="eastAsia" w:ascii="Times New Roman" w:hAnsi="Times New Roman" w:eastAsia="宋体" w:cs="Times New Roman"/>
                      <w:szCs w:val="21"/>
                      <w:u w:val="none" w:color="auto"/>
                      <w:lang w:val="en-US" w:eastAsia="zh-CN"/>
                    </w:rPr>
                  </w:pPr>
                  <w:r>
                    <w:rPr>
                      <w:rFonts w:hint="default" w:ascii="Times New Roman" w:hAnsi="Times New Roman" w:eastAsia="宋体" w:cs="Times New Roman"/>
                      <w:szCs w:val="21"/>
                      <w:u w:val="none" w:color="auto"/>
                    </w:rPr>
                    <w:t>35°14′15.176″</w:t>
                  </w:r>
                  <w:r>
                    <w:rPr>
                      <w:rFonts w:hint="eastAsia" w:cs="Times New Roman"/>
                      <w:szCs w:val="21"/>
                      <w:u w:val="none" w:color="auto"/>
                      <w:lang w:val="en-US" w:eastAsia="zh-CN"/>
                    </w:rPr>
                    <w:t>N</w:t>
                  </w:r>
                </w:p>
              </w:tc>
              <w:tc>
                <w:tcPr>
                  <w:tcW w:w="637" w:type="dxa"/>
                  <w:tcBorders>
                    <w:tl2br w:val="nil"/>
                    <w:tr2bl w:val="nil"/>
                  </w:tcBorders>
                  <w:vAlign w:val="center"/>
                </w:tcPr>
                <w:p w14:paraId="16A9F8FD">
                  <w:pPr>
                    <w:adjustRightInd w:val="0"/>
                    <w:snapToGrid w:val="0"/>
                    <w:jc w:val="center"/>
                    <w:rPr>
                      <w:rFonts w:hint="default" w:ascii="Times New Roman" w:hAnsi="Times New Roman" w:eastAsia="宋体" w:cs="Times New Roman"/>
                      <w:szCs w:val="21"/>
                      <w:u w:val="none" w:color="auto"/>
                      <w:lang w:val="en-US" w:eastAsia="zh-CN"/>
                    </w:rPr>
                  </w:pPr>
                  <w:r>
                    <w:rPr>
                      <w:rFonts w:hint="eastAsia"/>
                      <w:u w:val="none" w:color="auto"/>
                      <w:lang w:val="en-US" w:eastAsia="zh-CN"/>
                    </w:rPr>
                    <w:t>25m</w:t>
                  </w:r>
                </w:p>
              </w:tc>
              <w:tc>
                <w:tcPr>
                  <w:tcW w:w="516" w:type="dxa"/>
                  <w:tcBorders>
                    <w:tl2br w:val="nil"/>
                    <w:tr2bl w:val="nil"/>
                  </w:tcBorders>
                  <w:vAlign w:val="center"/>
                </w:tcPr>
                <w:p w14:paraId="617AED11">
                  <w:pPr>
                    <w:adjustRightInd w:val="0"/>
                    <w:snapToGrid w:val="0"/>
                    <w:jc w:val="center"/>
                    <w:rPr>
                      <w:rFonts w:hint="default" w:ascii="Times New Roman" w:hAnsi="Times New Roman" w:eastAsia="宋体" w:cs="Times New Roman"/>
                      <w:szCs w:val="21"/>
                      <w:u w:val="none" w:color="auto"/>
                      <w:lang w:val="en-US" w:eastAsia="zh-CN"/>
                    </w:rPr>
                  </w:pPr>
                  <w:r>
                    <w:rPr>
                      <w:rFonts w:hint="eastAsia"/>
                      <w:u w:val="none" w:color="auto"/>
                      <w:lang w:val="en-US" w:eastAsia="zh-CN"/>
                    </w:rPr>
                    <w:t>1.4</w:t>
                  </w:r>
                </w:p>
              </w:tc>
              <w:tc>
                <w:tcPr>
                  <w:tcW w:w="522" w:type="dxa"/>
                  <w:tcBorders>
                    <w:tl2br w:val="nil"/>
                    <w:tr2bl w:val="nil"/>
                  </w:tcBorders>
                  <w:vAlign w:val="center"/>
                </w:tcPr>
                <w:p w14:paraId="3B5EB77B">
                  <w:pPr>
                    <w:adjustRightInd w:val="0"/>
                    <w:snapToGrid w:val="0"/>
                    <w:jc w:val="center"/>
                    <w:rPr>
                      <w:rFonts w:hint="default" w:ascii="Times New Roman" w:hAnsi="Times New Roman" w:eastAsia="宋体" w:cs="Times New Roman"/>
                      <w:szCs w:val="21"/>
                      <w:u w:val="none" w:color="auto"/>
                    </w:rPr>
                  </w:pPr>
                  <w:r>
                    <w:rPr>
                      <w:rFonts w:hint="default" w:ascii="Times New Roman" w:hAnsi="Times New Roman" w:eastAsia="宋体" w:cs="Times New Roman"/>
                      <w:szCs w:val="21"/>
                      <w:u w:val="none" w:color="auto"/>
                    </w:rPr>
                    <w:t>一般排</w:t>
                  </w:r>
                  <w:r>
                    <w:rPr>
                      <w:rFonts w:hint="eastAsia" w:cs="Times New Roman"/>
                      <w:szCs w:val="21"/>
                      <w:u w:val="none" w:color="auto"/>
                      <w:lang w:val="en-US" w:eastAsia="zh-CN"/>
                    </w:rPr>
                    <w:t>放</w:t>
                  </w:r>
                  <w:r>
                    <w:rPr>
                      <w:rFonts w:hint="default" w:ascii="Times New Roman" w:hAnsi="Times New Roman" w:eastAsia="宋体" w:cs="Times New Roman"/>
                      <w:szCs w:val="21"/>
                      <w:u w:val="none" w:color="auto"/>
                    </w:rPr>
                    <w:t>口</w:t>
                  </w:r>
                </w:p>
              </w:tc>
              <w:tc>
                <w:tcPr>
                  <w:tcW w:w="592" w:type="dxa"/>
                  <w:tcBorders>
                    <w:tl2br w:val="nil"/>
                    <w:tr2bl w:val="nil"/>
                  </w:tcBorders>
                  <w:vAlign w:val="center"/>
                </w:tcPr>
                <w:p w14:paraId="156B60E6">
                  <w:pPr>
                    <w:adjustRightInd w:val="0"/>
                    <w:snapToGrid w:val="0"/>
                    <w:jc w:val="center"/>
                    <w:rPr>
                      <w:rFonts w:hint="default" w:ascii="Times New Roman" w:hAnsi="Times New Roman" w:eastAsia="宋体" w:cs="Times New Roman"/>
                      <w:szCs w:val="21"/>
                      <w:u w:val="none" w:color="auto"/>
                      <w:lang w:val="en-US" w:eastAsia="zh-CN"/>
                    </w:rPr>
                  </w:pPr>
                  <w:r>
                    <w:rPr>
                      <w:rFonts w:hint="eastAsia" w:cs="Times New Roman"/>
                      <w:szCs w:val="21"/>
                      <w:u w:val="none" w:color="auto"/>
                      <w:lang w:val="en-US" w:eastAsia="zh-CN"/>
                    </w:rPr>
                    <w:t>25</w:t>
                  </w:r>
                </w:p>
              </w:tc>
              <w:tc>
                <w:tcPr>
                  <w:tcW w:w="744" w:type="dxa"/>
                  <w:tcBorders>
                    <w:tl2br w:val="nil"/>
                    <w:tr2bl w:val="nil"/>
                  </w:tcBorders>
                  <w:vAlign w:val="center"/>
                </w:tcPr>
                <w:p w14:paraId="12D36B34">
                  <w:pPr>
                    <w:adjustRightInd w:val="0"/>
                    <w:snapToGrid w:val="0"/>
                    <w:jc w:val="center"/>
                    <w:rPr>
                      <w:rFonts w:hint="default" w:ascii="Times New Roman" w:hAnsi="Times New Roman" w:eastAsia="宋体" w:cs="Times New Roman"/>
                      <w:color w:val="000000"/>
                      <w:szCs w:val="21"/>
                      <w:u w:val="none" w:color="auto"/>
                    </w:rPr>
                  </w:pPr>
                  <w:r>
                    <w:rPr>
                      <w:rFonts w:hint="default" w:ascii="Times New Roman" w:hAnsi="Times New Roman" w:eastAsia="宋体" w:cs="Times New Roman"/>
                      <w:color w:val="000000"/>
                      <w:szCs w:val="21"/>
                      <w:u w:val="none" w:color="auto"/>
                    </w:rPr>
                    <w:t>非甲烷总烃</w:t>
                  </w:r>
                </w:p>
              </w:tc>
              <w:tc>
                <w:tcPr>
                  <w:tcW w:w="2362" w:type="dxa"/>
                  <w:tcBorders>
                    <w:tl2br w:val="nil"/>
                    <w:tr2bl w:val="nil"/>
                  </w:tcBorders>
                  <w:vAlign w:val="center"/>
                </w:tcPr>
                <w:p w14:paraId="15B80DE3">
                  <w:pPr>
                    <w:adjustRightInd w:val="0"/>
                    <w:snapToGrid w:val="0"/>
                    <w:jc w:val="both"/>
                    <w:rPr>
                      <w:rFonts w:hint="default" w:ascii="Times New Roman" w:hAnsi="Times New Roman" w:eastAsia="宋体" w:cs="Times New Roman"/>
                      <w:szCs w:val="21"/>
                      <w:u w:val="none" w:color="auto"/>
                    </w:rPr>
                  </w:pPr>
                  <w:r>
                    <w:rPr>
                      <w:rFonts w:hint="default" w:ascii="Times New Roman" w:hAnsi="Times New Roman" w:eastAsia="宋体" w:cs="Times New Roman"/>
                      <w:szCs w:val="21"/>
                      <w:u w:val="none" w:color="auto"/>
                    </w:rPr>
                    <w:t>《电池工业污染物排放标准》（GB30484-2013）</w:t>
                  </w:r>
                  <w:r>
                    <w:rPr>
                      <w:rFonts w:hint="eastAsia" w:cs="Times New Roman"/>
                      <w:szCs w:val="21"/>
                      <w:u w:val="none" w:color="auto"/>
                      <w:lang w:eastAsia="zh-CN"/>
                    </w:rPr>
                    <w:t>、</w:t>
                  </w:r>
                  <w:r>
                    <w:rPr>
                      <w:rFonts w:hint="default" w:ascii="Times New Roman" w:hAnsi="Times New Roman" w:eastAsia="宋体" w:cs="Times New Roman"/>
                      <w:szCs w:val="21"/>
                      <w:u w:val="none" w:color="auto"/>
                    </w:rPr>
                    <w:t>《河南省重污染天气重点行业应急减排措施制定技术指南》（2024年修订版）中电池制造企业绩效分级指标A级企业非甲烷总烃的标准要求</w:t>
                  </w:r>
                  <w:r>
                    <w:rPr>
                      <w:rFonts w:hint="eastAsia" w:cs="Times New Roman"/>
                      <w:szCs w:val="21"/>
                      <w:u w:val="none" w:color="auto"/>
                      <w:lang w:eastAsia="zh-CN"/>
                    </w:rPr>
                    <w:t>、</w:t>
                  </w:r>
                  <w:r>
                    <w:rPr>
                      <w:rFonts w:hint="default" w:ascii="Times New Roman" w:hAnsi="Times New Roman" w:eastAsia="宋体" w:cs="Times New Roman"/>
                      <w:szCs w:val="21"/>
                      <w:u w:val="none" w:color="auto"/>
                    </w:rPr>
                    <w:t>《关于全省开展工业企业挥发性有机物专项治理工作中排放建议值的通知》（豫环攻坚办[2017]162号）附件1其他行业有机废气排放口非甲烷总烃限值</w:t>
                  </w:r>
                  <w:r>
                    <w:rPr>
                      <w:rFonts w:hint="eastAsia" w:cs="Times New Roman"/>
                      <w:szCs w:val="21"/>
                      <w:u w:val="none" w:color="auto"/>
                      <w:lang w:val="en-US" w:eastAsia="zh-CN"/>
                    </w:rPr>
                    <w:t>要求</w:t>
                  </w:r>
                </w:p>
              </w:tc>
            </w:tr>
            <w:tr w14:paraId="7AD55E8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326" w:type="dxa"/>
                  <w:tcBorders>
                    <w:tl2br w:val="nil"/>
                    <w:tr2bl w:val="nil"/>
                  </w:tcBorders>
                  <w:vAlign w:val="center"/>
                </w:tcPr>
                <w:p w14:paraId="739C04EC">
                  <w:pPr>
                    <w:adjustRightInd w:val="0"/>
                    <w:snapToGrid w:val="0"/>
                    <w:jc w:val="center"/>
                    <w:rPr>
                      <w:rFonts w:hint="eastAsia" w:ascii="Times New Roman" w:hAnsi="Times New Roman" w:eastAsia="宋体" w:cs="Times New Roman"/>
                      <w:szCs w:val="21"/>
                      <w:u w:val="none" w:color="auto"/>
                      <w:lang w:eastAsia="zh-CN"/>
                    </w:rPr>
                  </w:pPr>
                  <w:r>
                    <w:rPr>
                      <w:rFonts w:hint="default" w:ascii="Times New Roman" w:hAnsi="Times New Roman" w:eastAsia="宋体" w:cs="Times New Roman"/>
                      <w:szCs w:val="21"/>
                      <w:u w:val="none" w:color="auto"/>
                    </w:rPr>
                    <w:t>DA00</w:t>
                  </w:r>
                  <w:r>
                    <w:rPr>
                      <w:rFonts w:hint="eastAsia" w:ascii="Times New Roman" w:hAnsi="Times New Roman" w:eastAsia="宋体" w:cs="Times New Roman"/>
                      <w:szCs w:val="21"/>
                      <w:u w:val="none" w:color="auto"/>
                      <w:lang w:val="en-US" w:eastAsia="zh-CN"/>
                    </w:rPr>
                    <w:t>2</w:t>
                  </w:r>
                </w:p>
              </w:tc>
              <w:tc>
                <w:tcPr>
                  <w:tcW w:w="733" w:type="dxa"/>
                  <w:tcBorders>
                    <w:tl2br w:val="nil"/>
                    <w:tr2bl w:val="nil"/>
                  </w:tcBorders>
                  <w:vAlign w:val="center"/>
                </w:tcPr>
                <w:p w14:paraId="763CE584">
                  <w:pPr>
                    <w:adjustRightInd w:val="0"/>
                    <w:snapToGrid w:val="0"/>
                    <w:jc w:val="center"/>
                    <w:rPr>
                      <w:rFonts w:hint="default" w:cs="Times New Roman"/>
                      <w:szCs w:val="21"/>
                      <w:u w:val="none" w:color="auto"/>
                      <w:lang w:val="en-US" w:eastAsia="zh-CN"/>
                    </w:rPr>
                  </w:pPr>
                  <w:r>
                    <w:rPr>
                      <w:rFonts w:hint="eastAsia" w:cs="Times New Roman"/>
                      <w:szCs w:val="21"/>
                      <w:u w:val="none" w:color="auto"/>
                      <w:lang w:val="en-US" w:eastAsia="zh-CN"/>
                    </w:rPr>
                    <w:t>正负极配料、投料工序排放口</w:t>
                  </w:r>
                </w:p>
              </w:tc>
              <w:tc>
                <w:tcPr>
                  <w:tcW w:w="715" w:type="dxa"/>
                  <w:tcBorders>
                    <w:tl2br w:val="nil"/>
                    <w:tr2bl w:val="nil"/>
                  </w:tcBorders>
                  <w:vAlign w:val="center"/>
                </w:tcPr>
                <w:p w14:paraId="581B8223">
                  <w:pPr>
                    <w:adjustRightInd w:val="0"/>
                    <w:snapToGrid w:val="0"/>
                    <w:jc w:val="center"/>
                    <w:rPr>
                      <w:rFonts w:hint="default" w:ascii="Times New Roman" w:hAnsi="Times New Roman" w:eastAsia="宋体" w:cs="Times New Roman"/>
                      <w:szCs w:val="21"/>
                      <w:u w:val="none" w:color="auto"/>
                    </w:rPr>
                  </w:pPr>
                  <w:r>
                    <w:rPr>
                      <w:rFonts w:hint="eastAsia" w:ascii="Times New Roman" w:hAnsi="Times New Roman" w:eastAsia="宋体" w:cs="Times New Roman"/>
                      <w:szCs w:val="21"/>
                      <w:u w:val="none" w:color="auto"/>
                      <w:lang w:val="en-US" w:eastAsia="zh-CN"/>
                    </w:rPr>
                    <w:t>113°55' 19.32"E</w:t>
                  </w:r>
                </w:p>
              </w:tc>
              <w:tc>
                <w:tcPr>
                  <w:tcW w:w="755" w:type="dxa"/>
                  <w:tcBorders>
                    <w:tl2br w:val="nil"/>
                    <w:tr2bl w:val="nil"/>
                  </w:tcBorders>
                  <w:vAlign w:val="center"/>
                </w:tcPr>
                <w:p w14:paraId="7EBF0E39">
                  <w:pPr>
                    <w:adjustRightInd w:val="0"/>
                    <w:snapToGrid w:val="0"/>
                    <w:jc w:val="center"/>
                    <w:rPr>
                      <w:rFonts w:hint="default" w:ascii="Times New Roman" w:hAnsi="Times New Roman" w:eastAsia="宋体" w:cs="Times New Roman"/>
                      <w:szCs w:val="21"/>
                      <w:u w:val="none" w:color="auto"/>
                    </w:rPr>
                  </w:pPr>
                  <w:r>
                    <w:rPr>
                      <w:rFonts w:hint="eastAsia" w:ascii="Times New Roman" w:hAnsi="Times New Roman" w:eastAsia="宋体" w:cs="Times New Roman"/>
                      <w:szCs w:val="21"/>
                      <w:u w:val="none" w:color="auto"/>
                      <w:lang w:val="en-US" w:eastAsia="zh-CN"/>
                    </w:rPr>
                    <w:t>35°14' 15.02"N</w:t>
                  </w:r>
                </w:p>
              </w:tc>
              <w:tc>
                <w:tcPr>
                  <w:tcW w:w="637" w:type="dxa"/>
                  <w:tcBorders>
                    <w:tl2br w:val="nil"/>
                    <w:tr2bl w:val="nil"/>
                  </w:tcBorders>
                  <w:vAlign w:val="center"/>
                </w:tcPr>
                <w:p w14:paraId="4248458C">
                  <w:pPr>
                    <w:adjustRightInd w:val="0"/>
                    <w:snapToGrid w:val="0"/>
                    <w:jc w:val="center"/>
                    <w:rPr>
                      <w:rFonts w:hint="eastAsia"/>
                      <w:u w:val="none" w:color="auto"/>
                      <w:lang w:val="en-US" w:eastAsia="zh-CN"/>
                    </w:rPr>
                  </w:pPr>
                  <w:r>
                    <w:rPr>
                      <w:rFonts w:hint="eastAsia"/>
                      <w:u w:val="none" w:color="auto"/>
                      <w:lang w:val="en-US" w:eastAsia="zh-CN"/>
                    </w:rPr>
                    <w:t>25m</w:t>
                  </w:r>
                </w:p>
              </w:tc>
              <w:tc>
                <w:tcPr>
                  <w:tcW w:w="516" w:type="dxa"/>
                  <w:tcBorders>
                    <w:tl2br w:val="nil"/>
                    <w:tr2bl w:val="nil"/>
                  </w:tcBorders>
                  <w:vAlign w:val="center"/>
                </w:tcPr>
                <w:p w14:paraId="3692E2B6">
                  <w:pPr>
                    <w:adjustRightInd w:val="0"/>
                    <w:snapToGrid w:val="0"/>
                    <w:jc w:val="center"/>
                    <w:rPr>
                      <w:rFonts w:hint="default"/>
                      <w:u w:val="none" w:color="auto"/>
                      <w:lang w:val="en-US" w:eastAsia="zh-CN"/>
                    </w:rPr>
                  </w:pPr>
                  <w:r>
                    <w:rPr>
                      <w:rFonts w:hint="eastAsia"/>
                      <w:u w:val="none" w:color="auto"/>
                      <w:lang w:val="en-US" w:eastAsia="zh-CN"/>
                    </w:rPr>
                    <w:t>0.3</w:t>
                  </w:r>
                </w:p>
              </w:tc>
              <w:tc>
                <w:tcPr>
                  <w:tcW w:w="522" w:type="dxa"/>
                  <w:tcBorders>
                    <w:tl2br w:val="nil"/>
                    <w:tr2bl w:val="nil"/>
                  </w:tcBorders>
                  <w:vAlign w:val="center"/>
                </w:tcPr>
                <w:p w14:paraId="49A8A2AD">
                  <w:pPr>
                    <w:adjustRightInd w:val="0"/>
                    <w:snapToGrid w:val="0"/>
                    <w:jc w:val="center"/>
                    <w:rPr>
                      <w:rFonts w:hint="default" w:ascii="Times New Roman" w:hAnsi="Times New Roman" w:eastAsia="宋体" w:cs="Times New Roman"/>
                      <w:szCs w:val="21"/>
                      <w:u w:val="none" w:color="auto"/>
                    </w:rPr>
                  </w:pPr>
                  <w:r>
                    <w:rPr>
                      <w:rFonts w:hint="default" w:ascii="Times New Roman" w:hAnsi="Times New Roman" w:eastAsia="宋体" w:cs="Times New Roman"/>
                      <w:szCs w:val="21"/>
                      <w:u w:val="none" w:color="auto"/>
                    </w:rPr>
                    <w:t>一般排</w:t>
                  </w:r>
                  <w:r>
                    <w:rPr>
                      <w:rFonts w:hint="eastAsia" w:cs="Times New Roman"/>
                      <w:szCs w:val="21"/>
                      <w:u w:val="none" w:color="auto"/>
                      <w:lang w:val="en-US" w:eastAsia="zh-CN"/>
                    </w:rPr>
                    <w:t>放</w:t>
                  </w:r>
                  <w:r>
                    <w:rPr>
                      <w:rFonts w:hint="default" w:ascii="Times New Roman" w:hAnsi="Times New Roman" w:eastAsia="宋体" w:cs="Times New Roman"/>
                      <w:szCs w:val="21"/>
                      <w:u w:val="none" w:color="auto"/>
                    </w:rPr>
                    <w:t>口</w:t>
                  </w:r>
                </w:p>
              </w:tc>
              <w:tc>
                <w:tcPr>
                  <w:tcW w:w="592" w:type="dxa"/>
                  <w:tcBorders>
                    <w:tl2br w:val="nil"/>
                    <w:tr2bl w:val="nil"/>
                  </w:tcBorders>
                  <w:vAlign w:val="center"/>
                </w:tcPr>
                <w:p w14:paraId="227323AB">
                  <w:pPr>
                    <w:adjustRightInd w:val="0"/>
                    <w:snapToGrid w:val="0"/>
                    <w:jc w:val="center"/>
                    <w:rPr>
                      <w:rFonts w:hint="default"/>
                      <w:u w:val="none" w:color="auto"/>
                      <w:lang w:val="en-US" w:eastAsia="zh-CN"/>
                    </w:rPr>
                  </w:pPr>
                  <w:r>
                    <w:rPr>
                      <w:rFonts w:hint="eastAsia" w:cs="Times New Roman"/>
                      <w:szCs w:val="21"/>
                      <w:u w:val="none" w:color="auto"/>
                      <w:lang w:val="en-US" w:eastAsia="zh-CN"/>
                    </w:rPr>
                    <w:t>25</w:t>
                  </w:r>
                </w:p>
              </w:tc>
              <w:tc>
                <w:tcPr>
                  <w:tcW w:w="744" w:type="dxa"/>
                  <w:tcBorders>
                    <w:tl2br w:val="nil"/>
                    <w:tr2bl w:val="nil"/>
                  </w:tcBorders>
                  <w:vAlign w:val="center"/>
                </w:tcPr>
                <w:p w14:paraId="64600B59">
                  <w:pPr>
                    <w:adjustRightInd w:val="0"/>
                    <w:snapToGrid w:val="0"/>
                    <w:jc w:val="center"/>
                    <w:rPr>
                      <w:rFonts w:hint="default" w:ascii="Times New Roman" w:hAnsi="Times New Roman" w:eastAsia="宋体" w:cs="Times New Roman"/>
                      <w:color w:val="000000"/>
                      <w:szCs w:val="21"/>
                      <w:u w:val="none" w:color="auto"/>
                      <w:lang w:val="en-US" w:eastAsia="zh-CN"/>
                    </w:rPr>
                  </w:pPr>
                  <w:r>
                    <w:rPr>
                      <w:rFonts w:hint="eastAsia" w:cs="Times New Roman"/>
                      <w:color w:val="000000"/>
                      <w:szCs w:val="21"/>
                      <w:u w:val="none" w:color="auto"/>
                      <w:lang w:val="en-US" w:eastAsia="zh-CN"/>
                    </w:rPr>
                    <w:t>颗粒物</w:t>
                  </w:r>
                </w:p>
              </w:tc>
              <w:tc>
                <w:tcPr>
                  <w:tcW w:w="2362" w:type="dxa"/>
                  <w:tcBorders>
                    <w:tl2br w:val="nil"/>
                    <w:tr2bl w:val="nil"/>
                  </w:tcBorders>
                  <w:vAlign w:val="center"/>
                </w:tcPr>
                <w:p w14:paraId="1BFCC518">
                  <w:pPr>
                    <w:adjustRightInd w:val="0"/>
                    <w:snapToGrid w:val="0"/>
                    <w:jc w:val="both"/>
                    <w:rPr>
                      <w:rFonts w:hint="default" w:ascii="Times New Roman" w:hAnsi="Times New Roman" w:eastAsia="宋体" w:cs="Times New Roman"/>
                      <w:szCs w:val="21"/>
                      <w:u w:val="none" w:color="auto"/>
                      <w:lang w:val="en-US" w:eastAsia="zh-CN"/>
                    </w:rPr>
                  </w:pPr>
                  <w:r>
                    <w:rPr>
                      <w:rFonts w:hint="default" w:ascii="Times New Roman" w:hAnsi="Times New Roman" w:eastAsia="宋体" w:cs="Times New Roman"/>
                      <w:szCs w:val="21"/>
                      <w:u w:val="none" w:color="auto"/>
                    </w:rPr>
                    <w:t>《电池工业污染物排放标准》（GB30484-2013）颗粒物有组织排放浓度30mg/m</w:t>
                  </w:r>
                  <w:r>
                    <w:rPr>
                      <w:rFonts w:hint="default" w:ascii="Times New Roman" w:hAnsi="Times New Roman" w:eastAsia="宋体" w:cs="Times New Roman"/>
                      <w:szCs w:val="21"/>
                      <w:u w:val="none" w:color="auto"/>
                      <w:vertAlign w:val="superscript"/>
                    </w:rPr>
                    <w:t>3</w:t>
                  </w:r>
                  <w:r>
                    <w:rPr>
                      <w:rFonts w:hint="default" w:ascii="Times New Roman" w:hAnsi="Times New Roman" w:eastAsia="宋体" w:cs="Times New Roman"/>
                      <w:szCs w:val="21"/>
                      <w:u w:val="none" w:color="auto"/>
                    </w:rPr>
                    <w:t>，同时满足《新乡市生态环境局关于进一步规范工业企业颗粒物排放限值的通知》颗粒物有组织排放浓度10mg/m</w:t>
                  </w:r>
                  <w:r>
                    <w:rPr>
                      <w:rFonts w:hint="default" w:ascii="Times New Roman" w:hAnsi="Times New Roman" w:eastAsia="宋体" w:cs="Times New Roman"/>
                      <w:szCs w:val="21"/>
                      <w:u w:val="none" w:color="auto"/>
                      <w:vertAlign w:val="superscript"/>
                    </w:rPr>
                    <w:t>3</w:t>
                  </w:r>
                  <w:r>
                    <w:rPr>
                      <w:rFonts w:hint="eastAsia" w:cs="Times New Roman"/>
                      <w:szCs w:val="21"/>
                      <w:u w:val="none" w:color="auto"/>
                      <w:vertAlign w:val="baseline"/>
                      <w:lang w:val="en-US" w:eastAsia="zh-CN"/>
                    </w:rPr>
                    <w:t>以及</w:t>
                  </w:r>
                  <w:r>
                    <w:rPr>
                      <w:rFonts w:hint="eastAsia" w:cs="Times New Roman"/>
                      <w:szCs w:val="21"/>
                      <w:u w:val="none" w:color="auto"/>
                      <w:vertAlign w:val="baseline"/>
                      <w:lang w:eastAsia="zh-CN"/>
                    </w:rPr>
                    <w:t>《河南省重污染天气重点行业应急减排措施制定技术指南》（2024年修订版）电池制造A级要求</w:t>
                  </w:r>
                  <w:r>
                    <w:rPr>
                      <w:rFonts w:hint="eastAsia" w:cs="Times New Roman"/>
                      <w:szCs w:val="21"/>
                      <w:u w:val="none" w:color="auto"/>
                      <w:vertAlign w:val="baseline"/>
                      <w:lang w:val="en-US" w:eastAsia="zh-CN"/>
                    </w:rPr>
                    <w:t>颗粒物</w:t>
                  </w:r>
                  <w:r>
                    <w:rPr>
                      <w:rFonts w:hint="eastAsia" w:ascii="Times New Roman" w:hAnsi="宋体" w:cs="Times New Roman"/>
                      <w:color w:val="auto"/>
                      <w:sz w:val="21"/>
                      <w:szCs w:val="21"/>
                      <w:u w:val="none" w:color="auto"/>
                      <w:lang w:val="en-US" w:eastAsia="zh-CN"/>
                    </w:rPr>
                    <w:t>有组织排放浓度10mg/m</w:t>
                  </w:r>
                  <w:r>
                    <w:rPr>
                      <w:rFonts w:hint="eastAsia" w:ascii="Times New Roman" w:hAnsi="宋体" w:cs="Times New Roman"/>
                      <w:color w:val="auto"/>
                      <w:sz w:val="21"/>
                      <w:szCs w:val="21"/>
                      <w:u w:val="none" w:color="auto"/>
                      <w:vertAlign w:val="superscript"/>
                      <w:lang w:val="en-US" w:eastAsia="zh-CN"/>
                    </w:rPr>
                    <w:t>3</w:t>
                  </w:r>
                </w:p>
              </w:tc>
            </w:tr>
            <w:tr w14:paraId="2D4A561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326" w:type="dxa"/>
                  <w:tcBorders>
                    <w:tl2br w:val="nil"/>
                    <w:tr2bl w:val="nil"/>
                  </w:tcBorders>
                  <w:vAlign w:val="center"/>
                </w:tcPr>
                <w:p w14:paraId="42993296">
                  <w:pPr>
                    <w:adjustRightInd w:val="0"/>
                    <w:snapToGrid w:val="0"/>
                    <w:jc w:val="center"/>
                    <w:rPr>
                      <w:rFonts w:hint="eastAsia" w:eastAsia="宋体"/>
                      <w:u w:val="none" w:color="auto"/>
                      <w:lang w:eastAsia="zh-CN"/>
                    </w:rPr>
                  </w:pPr>
                  <w:r>
                    <w:rPr>
                      <w:rFonts w:hint="default" w:ascii="Times New Roman" w:hAnsi="Times New Roman" w:eastAsia="宋体" w:cs="Times New Roman"/>
                      <w:szCs w:val="21"/>
                      <w:u w:val="none" w:color="auto"/>
                    </w:rPr>
                    <w:t>DA00</w:t>
                  </w:r>
                  <w:r>
                    <w:rPr>
                      <w:rFonts w:hint="eastAsia" w:cs="Times New Roman"/>
                      <w:szCs w:val="21"/>
                      <w:u w:val="none" w:color="auto"/>
                      <w:lang w:val="en-US" w:eastAsia="zh-CN"/>
                    </w:rPr>
                    <w:t>3</w:t>
                  </w:r>
                </w:p>
              </w:tc>
              <w:tc>
                <w:tcPr>
                  <w:tcW w:w="733" w:type="dxa"/>
                  <w:tcBorders>
                    <w:tl2br w:val="nil"/>
                    <w:tr2bl w:val="nil"/>
                  </w:tcBorders>
                  <w:vAlign w:val="center"/>
                </w:tcPr>
                <w:p w14:paraId="3FFC06E1">
                  <w:pPr>
                    <w:adjustRightInd w:val="0"/>
                    <w:snapToGrid w:val="0"/>
                    <w:jc w:val="center"/>
                    <w:rPr>
                      <w:rFonts w:hint="default" w:eastAsia="宋体"/>
                      <w:u w:val="none" w:color="auto"/>
                      <w:lang w:val="en-US" w:eastAsia="zh-CN"/>
                    </w:rPr>
                  </w:pPr>
                  <w:r>
                    <w:rPr>
                      <w:rFonts w:hint="eastAsia"/>
                      <w:u w:val="none" w:color="auto"/>
                      <w:lang w:val="en-US" w:eastAsia="zh-CN"/>
                    </w:rPr>
                    <w:t>污水处理站设施废气排放口</w:t>
                  </w:r>
                </w:p>
              </w:tc>
              <w:tc>
                <w:tcPr>
                  <w:tcW w:w="715" w:type="dxa"/>
                  <w:tcBorders>
                    <w:tl2br w:val="nil"/>
                    <w:tr2bl w:val="nil"/>
                  </w:tcBorders>
                  <w:vAlign w:val="center"/>
                </w:tcPr>
                <w:p w14:paraId="2AED8E5D">
                  <w:pPr>
                    <w:adjustRightInd w:val="0"/>
                    <w:snapToGrid w:val="0"/>
                    <w:jc w:val="center"/>
                    <w:rPr>
                      <w:rFonts w:hint="default" w:ascii="Times New Roman" w:hAnsi="Times New Roman" w:eastAsia="宋体" w:cs="Times New Roman"/>
                      <w:szCs w:val="21"/>
                      <w:u w:val="none" w:color="auto"/>
                    </w:rPr>
                  </w:pPr>
                  <w:r>
                    <w:rPr>
                      <w:rFonts w:hint="eastAsia" w:ascii="Times New Roman" w:hAnsi="Times New Roman" w:eastAsia="宋体" w:cs="Times New Roman"/>
                      <w:szCs w:val="21"/>
                      <w:u w:val="none" w:color="auto"/>
                    </w:rPr>
                    <w:t>113°55' 21.77"</w:t>
                  </w:r>
                  <w:r>
                    <w:rPr>
                      <w:rFonts w:hint="eastAsia" w:ascii="Times New Roman" w:hAnsi="Times New Roman" w:eastAsia="宋体" w:cs="Times New Roman"/>
                      <w:szCs w:val="21"/>
                      <w:u w:val="none" w:color="auto"/>
                      <w:lang w:val="en-US" w:eastAsia="zh-CN"/>
                    </w:rPr>
                    <w:t>E</w:t>
                  </w:r>
                </w:p>
              </w:tc>
              <w:tc>
                <w:tcPr>
                  <w:tcW w:w="755" w:type="dxa"/>
                  <w:tcBorders>
                    <w:tl2br w:val="nil"/>
                    <w:tr2bl w:val="nil"/>
                  </w:tcBorders>
                  <w:vAlign w:val="center"/>
                </w:tcPr>
                <w:p w14:paraId="32E808EC">
                  <w:pPr>
                    <w:adjustRightInd w:val="0"/>
                    <w:snapToGrid w:val="0"/>
                    <w:jc w:val="center"/>
                    <w:rPr>
                      <w:rFonts w:hint="eastAsia" w:ascii="Times New Roman" w:hAnsi="Times New Roman" w:eastAsia="宋体" w:cs="Times New Roman"/>
                      <w:szCs w:val="21"/>
                      <w:u w:val="none" w:color="auto"/>
                      <w:lang w:val="en-US" w:eastAsia="zh-CN"/>
                    </w:rPr>
                  </w:pPr>
                  <w:r>
                    <w:rPr>
                      <w:rFonts w:hint="default" w:ascii="Times New Roman" w:hAnsi="Times New Roman" w:eastAsia="宋体" w:cs="Times New Roman"/>
                      <w:szCs w:val="21"/>
                      <w:u w:val="none" w:color="auto"/>
                    </w:rPr>
                    <w:t>35° 14' 18.39"</w:t>
                  </w:r>
                  <w:r>
                    <w:rPr>
                      <w:rFonts w:hint="eastAsia" w:ascii="Times New Roman" w:hAnsi="Times New Roman" w:eastAsia="宋体" w:cs="Times New Roman"/>
                      <w:szCs w:val="21"/>
                      <w:u w:val="none" w:color="auto"/>
                      <w:lang w:val="en-US" w:eastAsia="zh-CN"/>
                    </w:rPr>
                    <w:t>N</w:t>
                  </w:r>
                </w:p>
              </w:tc>
              <w:tc>
                <w:tcPr>
                  <w:tcW w:w="637" w:type="dxa"/>
                  <w:tcBorders>
                    <w:tl2br w:val="nil"/>
                    <w:tr2bl w:val="nil"/>
                  </w:tcBorders>
                  <w:vAlign w:val="center"/>
                </w:tcPr>
                <w:p w14:paraId="05BF319E">
                  <w:pPr>
                    <w:adjustRightInd w:val="0"/>
                    <w:snapToGrid w:val="0"/>
                    <w:jc w:val="center"/>
                    <w:rPr>
                      <w:rFonts w:hint="default" w:ascii="Times New Roman" w:hAnsi="Times New Roman" w:eastAsia="宋体" w:cs="Times New Roman"/>
                      <w:szCs w:val="21"/>
                      <w:u w:val="none" w:color="auto"/>
                      <w:lang w:val="en-US" w:eastAsia="zh-CN"/>
                    </w:rPr>
                  </w:pPr>
                  <w:r>
                    <w:rPr>
                      <w:rFonts w:hint="eastAsia"/>
                      <w:u w:val="none" w:color="auto"/>
                      <w:lang w:val="en-US" w:eastAsia="zh-CN"/>
                    </w:rPr>
                    <w:t>15m</w:t>
                  </w:r>
                </w:p>
              </w:tc>
              <w:tc>
                <w:tcPr>
                  <w:tcW w:w="516" w:type="dxa"/>
                  <w:tcBorders>
                    <w:tl2br w:val="nil"/>
                    <w:tr2bl w:val="nil"/>
                  </w:tcBorders>
                  <w:vAlign w:val="center"/>
                </w:tcPr>
                <w:p w14:paraId="36ED2014">
                  <w:pPr>
                    <w:adjustRightInd w:val="0"/>
                    <w:snapToGrid w:val="0"/>
                    <w:jc w:val="center"/>
                    <w:rPr>
                      <w:rFonts w:hint="default" w:eastAsia="宋体"/>
                      <w:u w:val="none" w:color="auto"/>
                      <w:lang w:val="en-US" w:eastAsia="zh-CN"/>
                    </w:rPr>
                  </w:pPr>
                  <w:r>
                    <w:rPr>
                      <w:rFonts w:hint="eastAsia"/>
                      <w:u w:val="none" w:color="auto"/>
                      <w:lang w:val="en-US" w:eastAsia="zh-CN"/>
                    </w:rPr>
                    <w:t>0.4</w:t>
                  </w:r>
                </w:p>
              </w:tc>
              <w:tc>
                <w:tcPr>
                  <w:tcW w:w="522" w:type="dxa"/>
                  <w:tcBorders>
                    <w:tl2br w:val="nil"/>
                    <w:tr2bl w:val="nil"/>
                  </w:tcBorders>
                  <w:vAlign w:val="center"/>
                </w:tcPr>
                <w:p w14:paraId="6CE6D211">
                  <w:pPr>
                    <w:adjustRightInd w:val="0"/>
                    <w:snapToGrid w:val="0"/>
                    <w:jc w:val="center"/>
                    <w:rPr>
                      <w:u w:val="none" w:color="auto"/>
                    </w:rPr>
                  </w:pPr>
                  <w:r>
                    <w:rPr>
                      <w:rFonts w:hint="default" w:ascii="Times New Roman" w:hAnsi="Times New Roman" w:eastAsia="宋体" w:cs="Times New Roman"/>
                      <w:szCs w:val="21"/>
                      <w:u w:val="none" w:color="auto"/>
                    </w:rPr>
                    <w:t>一般排</w:t>
                  </w:r>
                  <w:r>
                    <w:rPr>
                      <w:rFonts w:hint="eastAsia" w:cs="Times New Roman"/>
                      <w:szCs w:val="21"/>
                      <w:u w:val="none" w:color="auto"/>
                      <w:lang w:val="en-US" w:eastAsia="zh-CN"/>
                    </w:rPr>
                    <w:t>放</w:t>
                  </w:r>
                  <w:r>
                    <w:rPr>
                      <w:rFonts w:hint="default" w:ascii="Times New Roman" w:hAnsi="Times New Roman" w:eastAsia="宋体" w:cs="Times New Roman"/>
                      <w:szCs w:val="21"/>
                      <w:u w:val="none" w:color="auto"/>
                    </w:rPr>
                    <w:t>口</w:t>
                  </w:r>
                </w:p>
              </w:tc>
              <w:tc>
                <w:tcPr>
                  <w:tcW w:w="592" w:type="dxa"/>
                  <w:tcBorders>
                    <w:tl2br w:val="nil"/>
                    <w:tr2bl w:val="nil"/>
                  </w:tcBorders>
                  <w:vAlign w:val="center"/>
                </w:tcPr>
                <w:p w14:paraId="1367A511">
                  <w:pPr>
                    <w:adjustRightInd w:val="0"/>
                    <w:snapToGrid w:val="0"/>
                    <w:jc w:val="center"/>
                    <w:rPr>
                      <w:rFonts w:hint="default" w:eastAsia="宋体"/>
                      <w:u w:val="none" w:color="auto"/>
                      <w:lang w:val="en-US" w:eastAsia="zh-CN"/>
                    </w:rPr>
                  </w:pPr>
                  <w:r>
                    <w:rPr>
                      <w:rFonts w:hint="eastAsia" w:cs="Times New Roman"/>
                      <w:szCs w:val="21"/>
                      <w:u w:val="none" w:color="auto"/>
                      <w:lang w:val="en-US" w:eastAsia="zh-CN"/>
                    </w:rPr>
                    <w:t>25</w:t>
                  </w:r>
                </w:p>
              </w:tc>
              <w:tc>
                <w:tcPr>
                  <w:tcW w:w="744" w:type="dxa"/>
                  <w:tcBorders>
                    <w:tl2br w:val="nil"/>
                    <w:tr2bl w:val="nil"/>
                  </w:tcBorders>
                  <w:vAlign w:val="center"/>
                </w:tcPr>
                <w:p w14:paraId="569259D8">
                  <w:pPr>
                    <w:adjustRightInd w:val="0"/>
                    <w:snapToGrid w:val="0"/>
                    <w:jc w:val="center"/>
                    <w:rPr>
                      <w:rFonts w:hint="default" w:ascii="Times New Roman" w:hAnsi="Times New Roman" w:eastAsia="宋体" w:cs="Times New Roman"/>
                      <w:color w:val="000000"/>
                      <w:szCs w:val="21"/>
                      <w:u w:val="none" w:color="auto"/>
                      <w:lang w:val="en-US" w:eastAsia="zh-CN"/>
                    </w:rPr>
                  </w:pPr>
                  <w:r>
                    <w:rPr>
                      <w:rFonts w:hint="eastAsia" w:cs="Times New Roman"/>
                      <w:color w:val="000000"/>
                      <w:szCs w:val="21"/>
                      <w:u w:val="none" w:color="auto"/>
                      <w:lang w:val="en-US" w:eastAsia="zh-CN"/>
                    </w:rPr>
                    <w:t>氨、硫化氢、臭气浓度</w:t>
                  </w:r>
                </w:p>
              </w:tc>
              <w:tc>
                <w:tcPr>
                  <w:tcW w:w="2362" w:type="dxa"/>
                  <w:tcBorders>
                    <w:tl2br w:val="nil"/>
                    <w:tr2bl w:val="nil"/>
                  </w:tcBorders>
                  <w:vAlign w:val="center"/>
                </w:tcPr>
                <w:p w14:paraId="77E6DDDB">
                  <w:pPr>
                    <w:pStyle w:val="96"/>
                    <w:rPr>
                      <w:rFonts w:hint="eastAsia" w:ascii="Times New Roman" w:hAnsi="Times New Roman" w:eastAsia="宋体" w:cs="Times New Roman"/>
                      <w:color w:val="000000"/>
                      <w:sz w:val="21"/>
                      <w:szCs w:val="21"/>
                      <w:highlight w:val="none"/>
                      <w:u w:val="none" w:color="auto"/>
                      <w:lang w:val="en-US" w:eastAsia="zh-CN"/>
                    </w:rPr>
                  </w:pPr>
                  <w:r>
                    <w:rPr>
                      <w:rFonts w:hint="eastAsia" w:ascii="Times New Roman" w:hAnsi="Times New Roman" w:eastAsia="宋体" w:cs="Times New Roman"/>
                      <w:color w:val="000000"/>
                      <w:sz w:val="21"/>
                      <w:szCs w:val="21"/>
                      <w:highlight w:val="none"/>
                      <w:u w:val="none" w:color="auto"/>
                      <w:lang w:val="en-US" w:eastAsia="zh-CN"/>
                    </w:rPr>
                    <w:t>《恶臭污染物排放标准》(GB14554-93）表2恶臭污染物排放标准值</w:t>
                  </w:r>
                  <w:r>
                    <w:rPr>
                      <w:rFonts w:hint="eastAsia" w:cs="Times New Roman"/>
                      <w:color w:val="000000"/>
                      <w:sz w:val="21"/>
                      <w:szCs w:val="21"/>
                      <w:highlight w:val="none"/>
                      <w:u w:val="none" w:color="auto"/>
                      <w:lang w:val="en-US" w:eastAsia="zh-CN"/>
                    </w:rPr>
                    <w:t>（</w:t>
                  </w:r>
                  <w:r>
                    <w:rPr>
                      <w:rFonts w:hint="eastAsia"/>
                      <w:bCs/>
                      <w:color w:val="000000" w:themeColor="text1"/>
                      <w:u w:val="none" w:color="auto"/>
                      <w14:textFill>
                        <w14:solidFill>
                          <w14:schemeClr w14:val="tx1"/>
                        </w14:solidFill>
                      </w14:textFill>
                    </w:rPr>
                    <w:t>硫化氢</w:t>
                  </w:r>
                  <w:r>
                    <w:rPr>
                      <w:rFonts w:hint="eastAsia"/>
                      <w:bCs/>
                      <w:color w:val="000000" w:themeColor="text1"/>
                      <w:u w:val="none" w:color="auto"/>
                      <w:lang w:val="en-US" w:eastAsia="zh-CN"/>
                      <w14:textFill>
                        <w14:solidFill>
                          <w14:schemeClr w14:val="tx1"/>
                        </w14:solidFill>
                      </w14:textFill>
                    </w:rPr>
                    <w:t>0.33</w:t>
                  </w:r>
                  <w:r>
                    <w:rPr>
                      <w:bCs/>
                      <w:color w:val="000000" w:themeColor="text1"/>
                      <w:u w:val="none" w:color="auto"/>
                      <w14:textFill>
                        <w14:solidFill>
                          <w14:schemeClr w14:val="tx1"/>
                        </w14:solidFill>
                      </w14:textFill>
                    </w:rPr>
                    <w:t>kg/h</w:t>
                  </w:r>
                  <w:r>
                    <w:rPr>
                      <w:rFonts w:hint="eastAsia"/>
                      <w:bCs/>
                      <w:color w:val="000000" w:themeColor="text1"/>
                      <w:u w:val="none" w:color="auto"/>
                      <w:lang w:eastAsia="zh-CN"/>
                      <w14:textFill>
                        <w14:solidFill>
                          <w14:schemeClr w14:val="tx1"/>
                        </w14:solidFill>
                      </w14:textFill>
                    </w:rPr>
                    <w:t>、</w:t>
                  </w:r>
                  <w:r>
                    <w:rPr>
                      <w:rFonts w:hint="eastAsia"/>
                      <w:bCs/>
                      <w:color w:val="000000" w:themeColor="text1"/>
                      <w:u w:val="none" w:color="auto"/>
                      <w14:textFill>
                        <w14:solidFill>
                          <w14:schemeClr w14:val="tx1"/>
                        </w14:solidFill>
                      </w14:textFill>
                    </w:rPr>
                    <w:t>氨</w:t>
                  </w:r>
                  <w:r>
                    <w:rPr>
                      <w:rFonts w:hint="eastAsia"/>
                      <w:bCs/>
                      <w:color w:val="000000" w:themeColor="text1"/>
                      <w:u w:val="none" w:color="auto"/>
                      <w:lang w:val="en-US" w:eastAsia="zh-CN"/>
                      <w14:textFill>
                        <w14:solidFill>
                          <w14:schemeClr w14:val="tx1"/>
                        </w14:solidFill>
                      </w14:textFill>
                    </w:rPr>
                    <w:t>4.9</w:t>
                  </w:r>
                  <w:r>
                    <w:rPr>
                      <w:bCs/>
                      <w:color w:val="000000" w:themeColor="text1"/>
                      <w:u w:val="none" w:color="auto"/>
                      <w14:textFill>
                        <w14:solidFill>
                          <w14:schemeClr w14:val="tx1"/>
                        </w14:solidFill>
                      </w14:textFill>
                    </w:rPr>
                    <w:t>kg/h</w:t>
                  </w:r>
                  <w:r>
                    <w:rPr>
                      <w:rFonts w:hint="eastAsia"/>
                      <w:bCs/>
                      <w:color w:val="000000" w:themeColor="text1"/>
                      <w:u w:val="none" w:color="auto"/>
                      <w:lang w:eastAsia="zh-CN"/>
                      <w14:textFill>
                        <w14:solidFill>
                          <w14:schemeClr w14:val="tx1"/>
                        </w14:solidFill>
                      </w14:textFill>
                    </w:rPr>
                    <w:t>、</w:t>
                  </w:r>
                  <w:r>
                    <w:rPr>
                      <w:rFonts w:hint="eastAsia"/>
                      <w:bCs/>
                      <w:color w:val="000000" w:themeColor="text1"/>
                      <w:u w:val="none" w:color="auto"/>
                      <w:lang w:val="en-US" w:eastAsia="zh-CN"/>
                      <w14:textFill>
                        <w14:solidFill>
                          <w14:schemeClr w14:val="tx1"/>
                        </w14:solidFill>
                      </w14:textFill>
                    </w:rPr>
                    <w:t>臭气浓度2000（无量纲）</w:t>
                  </w:r>
                  <w:r>
                    <w:rPr>
                      <w:bCs/>
                      <w:color w:val="000000" w:themeColor="text1"/>
                      <w:u w:val="none" w:color="auto"/>
                      <w14:textFill>
                        <w14:solidFill>
                          <w14:schemeClr w14:val="tx1"/>
                        </w14:solidFill>
                      </w14:textFill>
                    </w:rPr>
                    <w:t>(</w:t>
                  </w:r>
                  <w:r>
                    <w:rPr>
                      <w:rFonts w:hint="eastAsia"/>
                      <w:bCs/>
                      <w:color w:val="000000" w:themeColor="text1"/>
                      <w:u w:val="none" w:color="auto"/>
                      <w:lang w:val="en-US" w:eastAsia="zh-CN"/>
                      <w14:textFill>
                        <w14:solidFill>
                          <w14:schemeClr w14:val="tx1"/>
                        </w14:solidFill>
                      </w14:textFill>
                    </w:rPr>
                    <w:t>15</w:t>
                  </w:r>
                  <w:r>
                    <w:rPr>
                      <w:bCs/>
                      <w:color w:val="000000" w:themeColor="text1"/>
                      <w:u w:val="none" w:color="auto"/>
                      <w14:textFill>
                        <w14:solidFill>
                          <w14:schemeClr w14:val="tx1"/>
                        </w14:solidFill>
                      </w14:textFill>
                    </w:rPr>
                    <w:t>m</w:t>
                  </w:r>
                  <w:r>
                    <w:rPr>
                      <w:rFonts w:hint="eastAsia"/>
                      <w:bCs/>
                      <w:color w:val="000000" w:themeColor="text1"/>
                      <w:u w:val="none" w:color="auto"/>
                      <w14:textFill>
                        <w14:solidFill>
                          <w14:schemeClr w14:val="tx1"/>
                        </w14:solidFill>
                      </w14:textFill>
                    </w:rPr>
                    <w:t>排气筒</w:t>
                  </w:r>
                  <w:r>
                    <w:rPr>
                      <w:bCs/>
                      <w:color w:val="000000" w:themeColor="text1"/>
                      <w:u w:val="none" w:color="auto"/>
                      <w14:textFill>
                        <w14:solidFill>
                          <w14:schemeClr w14:val="tx1"/>
                        </w14:solidFill>
                      </w14:textFill>
                    </w:rPr>
                    <w:t>)</w:t>
                  </w:r>
                </w:p>
              </w:tc>
            </w:tr>
          </w:tbl>
          <w:p w14:paraId="0ACB66C2">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40" w:lineRule="exact"/>
              <w:ind w:left="0" w:right="0" w:firstLine="482" w:firstLineChars="200"/>
              <w:jc w:val="left"/>
              <w:textAlignment w:val="auto"/>
              <w:rPr>
                <w:rFonts w:hint="eastAsia" w:ascii="Times New Roman" w:hAnsi="Times New Roman" w:eastAsia="宋体" w:cs="Times New Roman"/>
                <w:b/>
                <w:bCs/>
                <w:color w:val="auto"/>
                <w:sz w:val="24"/>
                <w:u w:val="none" w:color="auto"/>
                <w:lang w:val="en-US" w:eastAsia="zh-CN"/>
              </w:rPr>
            </w:pPr>
            <w:r>
              <w:rPr>
                <w:rFonts w:hint="eastAsia" w:ascii="Times New Roman" w:hAnsi="Times New Roman" w:eastAsia="宋体" w:cs="Times New Roman"/>
                <w:b/>
                <w:bCs/>
                <w:color w:val="auto"/>
                <w:sz w:val="24"/>
                <w:u w:val="none" w:color="auto"/>
                <w:lang w:val="en-US" w:eastAsia="zh-CN"/>
              </w:rPr>
              <w:t>（</w:t>
            </w:r>
            <w:r>
              <w:rPr>
                <w:rFonts w:hint="eastAsia" w:cs="Times New Roman"/>
                <w:b/>
                <w:bCs/>
                <w:color w:val="auto"/>
                <w:sz w:val="24"/>
                <w:u w:val="none" w:color="auto"/>
                <w:lang w:val="en-US" w:eastAsia="zh-CN"/>
              </w:rPr>
              <w:t>五</w:t>
            </w:r>
            <w:r>
              <w:rPr>
                <w:rFonts w:hint="eastAsia" w:ascii="Times New Roman" w:hAnsi="Times New Roman" w:eastAsia="宋体" w:cs="Times New Roman"/>
                <w:b/>
                <w:bCs/>
                <w:color w:val="auto"/>
                <w:sz w:val="24"/>
                <w:u w:val="none" w:color="auto"/>
                <w:lang w:val="en-US" w:eastAsia="zh-CN"/>
              </w:rPr>
              <w:t>）本项目污染物排放量分析</w:t>
            </w:r>
          </w:p>
          <w:p w14:paraId="74B199AE">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both"/>
              <w:textAlignment w:val="auto"/>
              <w:rPr>
                <w:rFonts w:hint="eastAsia" w:hAnsi="宋体" w:eastAsia="宋体"/>
                <w:b/>
                <w:bCs/>
                <w:sz w:val="24"/>
                <w:u w:val="none" w:color="auto"/>
                <w:lang w:val="en-US" w:eastAsia="zh-CN"/>
              </w:rPr>
            </w:pPr>
            <w:r>
              <w:rPr>
                <w:rFonts w:hint="eastAsia" w:hAnsi="宋体"/>
                <w:b/>
                <w:bCs/>
                <w:sz w:val="24"/>
                <w:u w:val="none" w:color="auto"/>
                <w:lang w:val="en-US" w:eastAsia="zh-CN"/>
              </w:rPr>
              <w:t>1、大气污染物有组织排放核算</w:t>
            </w:r>
          </w:p>
          <w:p w14:paraId="6AD44148">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hAnsi="宋体"/>
                <w:b/>
                <w:bCs/>
                <w:sz w:val="24"/>
                <w:u w:val="none" w:color="auto"/>
              </w:rPr>
            </w:pPr>
            <w:r>
              <w:rPr>
                <w:rFonts w:hint="eastAsia" w:hAnsi="宋体"/>
                <w:b/>
                <w:bCs/>
                <w:sz w:val="24"/>
                <w:u w:val="none" w:color="auto"/>
              </w:rPr>
              <w:t>表 4-</w:t>
            </w:r>
            <w:r>
              <w:rPr>
                <w:rFonts w:hint="eastAsia" w:hAnsi="宋体"/>
                <w:b/>
                <w:bCs/>
                <w:sz w:val="24"/>
                <w:u w:val="none" w:color="auto"/>
                <w:lang w:val="en-US" w:eastAsia="zh-CN"/>
              </w:rPr>
              <w:t>6</w:t>
            </w:r>
            <w:r>
              <w:rPr>
                <w:rFonts w:hint="eastAsia" w:hAnsi="宋体"/>
                <w:b/>
                <w:bCs/>
                <w:sz w:val="24"/>
                <w:u w:val="none" w:color="auto"/>
              </w:rPr>
              <w:t xml:space="preserve">    </w:t>
            </w:r>
            <w:r>
              <w:rPr>
                <w:rFonts w:hint="eastAsia" w:ascii="Times New Roman" w:hAnsi="Times New Roman" w:eastAsia="宋体" w:cs="Times New Roman"/>
                <w:b/>
                <w:color w:val="auto"/>
                <w:sz w:val="24"/>
                <w:highlight w:val="none"/>
                <w:u w:val="none" w:color="auto"/>
              </w:rPr>
              <w:t>大气污染物有组织排放量核算表</w:t>
            </w:r>
          </w:p>
          <w:tbl>
            <w:tblPr>
              <w:tblStyle w:val="32"/>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566"/>
              <w:gridCol w:w="1274"/>
              <w:gridCol w:w="1219"/>
              <w:gridCol w:w="1484"/>
              <w:gridCol w:w="1706"/>
              <w:gridCol w:w="1653"/>
            </w:tblGrid>
            <w:tr w14:paraId="4D7867A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58" w:type="pct"/>
                  <w:tcBorders>
                    <w:bottom w:val="single" w:color="000000" w:sz="8" w:space="0"/>
                  </w:tcBorders>
                  <w:noWrap w:val="0"/>
                  <w:vAlign w:val="center"/>
                </w:tcPr>
                <w:p w14:paraId="4C8A90FC">
                  <w:pPr>
                    <w:autoSpaceDE w:val="0"/>
                    <w:autoSpaceDN w:val="0"/>
                    <w:adjustRightInd w:val="0"/>
                    <w:snapToGrid w:val="0"/>
                    <w:jc w:val="center"/>
                    <w:rPr>
                      <w:b/>
                      <w:color w:val="auto"/>
                      <w:sz w:val="21"/>
                      <w:szCs w:val="21"/>
                      <w:highlight w:val="none"/>
                      <w:u w:val="none" w:color="auto"/>
                    </w:rPr>
                  </w:pPr>
                  <w:r>
                    <w:rPr>
                      <w:b/>
                      <w:color w:val="auto"/>
                      <w:sz w:val="21"/>
                      <w:szCs w:val="21"/>
                      <w:highlight w:val="none"/>
                      <w:u w:val="none" w:color="auto"/>
                    </w:rPr>
                    <w:t>序号</w:t>
                  </w:r>
                </w:p>
              </w:tc>
              <w:tc>
                <w:tcPr>
                  <w:tcW w:w="806" w:type="pct"/>
                  <w:tcBorders>
                    <w:bottom w:val="single" w:color="000000" w:sz="8" w:space="0"/>
                  </w:tcBorders>
                  <w:noWrap w:val="0"/>
                  <w:vAlign w:val="center"/>
                </w:tcPr>
                <w:p w14:paraId="6DFC54EF">
                  <w:pPr>
                    <w:autoSpaceDE w:val="0"/>
                    <w:autoSpaceDN w:val="0"/>
                    <w:adjustRightInd w:val="0"/>
                    <w:snapToGrid w:val="0"/>
                    <w:jc w:val="center"/>
                    <w:rPr>
                      <w:b/>
                      <w:color w:val="auto"/>
                      <w:sz w:val="21"/>
                      <w:szCs w:val="21"/>
                      <w:highlight w:val="none"/>
                      <w:u w:val="none" w:color="auto"/>
                    </w:rPr>
                  </w:pPr>
                  <w:r>
                    <w:rPr>
                      <w:b/>
                      <w:color w:val="auto"/>
                      <w:sz w:val="21"/>
                      <w:szCs w:val="21"/>
                      <w:highlight w:val="none"/>
                      <w:u w:val="none" w:color="auto"/>
                    </w:rPr>
                    <w:t>排放口编号</w:t>
                  </w:r>
                </w:p>
              </w:tc>
              <w:tc>
                <w:tcPr>
                  <w:tcW w:w="771" w:type="pct"/>
                  <w:tcBorders>
                    <w:bottom w:val="single" w:color="000000" w:sz="8" w:space="0"/>
                  </w:tcBorders>
                  <w:noWrap w:val="0"/>
                  <w:vAlign w:val="center"/>
                </w:tcPr>
                <w:p w14:paraId="7C3B9C8A">
                  <w:pPr>
                    <w:autoSpaceDE w:val="0"/>
                    <w:autoSpaceDN w:val="0"/>
                    <w:adjustRightInd w:val="0"/>
                    <w:snapToGrid w:val="0"/>
                    <w:jc w:val="center"/>
                    <w:rPr>
                      <w:b/>
                      <w:color w:val="auto"/>
                      <w:sz w:val="21"/>
                      <w:szCs w:val="21"/>
                      <w:highlight w:val="none"/>
                      <w:u w:val="none" w:color="auto"/>
                    </w:rPr>
                  </w:pPr>
                  <w:r>
                    <w:rPr>
                      <w:b/>
                      <w:color w:val="auto"/>
                      <w:sz w:val="21"/>
                      <w:szCs w:val="21"/>
                      <w:highlight w:val="none"/>
                      <w:u w:val="none" w:color="auto"/>
                    </w:rPr>
                    <w:t>污染物</w:t>
                  </w:r>
                </w:p>
              </w:tc>
              <w:tc>
                <w:tcPr>
                  <w:tcW w:w="939" w:type="pct"/>
                  <w:tcBorders>
                    <w:bottom w:val="single" w:color="000000" w:sz="8" w:space="0"/>
                  </w:tcBorders>
                  <w:noWrap w:val="0"/>
                  <w:vAlign w:val="center"/>
                </w:tcPr>
                <w:p w14:paraId="03838E22">
                  <w:pPr>
                    <w:autoSpaceDE w:val="0"/>
                    <w:autoSpaceDN w:val="0"/>
                    <w:adjustRightInd w:val="0"/>
                    <w:snapToGrid w:val="0"/>
                    <w:jc w:val="center"/>
                    <w:rPr>
                      <w:b/>
                      <w:color w:val="auto"/>
                      <w:sz w:val="21"/>
                      <w:szCs w:val="21"/>
                      <w:highlight w:val="none"/>
                      <w:u w:val="none" w:color="auto"/>
                    </w:rPr>
                  </w:pPr>
                  <w:r>
                    <w:rPr>
                      <w:b/>
                      <w:color w:val="auto"/>
                      <w:sz w:val="21"/>
                      <w:szCs w:val="21"/>
                      <w:highlight w:val="none"/>
                      <w:u w:val="none" w:color="auto"/>
                    </w:rPr>
                    <w:t>核算排放浓度/</w:t>
                  </w:r>
                </w:p>
                <w:p w14:paraId="7E5A78C8">
                  <w:pPr>
                    <w:autoSpaceDE w:val="0"/>
                    <w:autoSpaceDN w:val="0"/>
                    <w:adjustRightInd w:val="0"/>
                    <w:snapToGrid w:val="0"/>
                    <w:jc w:val="center"/>
                    <w:rPr>
                      <w:b/>
                      <w:color w:val="auto"/>
                      <w:sz w:val="21"/>
                      <w:szCs w:val="21"/>
                      <w:highlight w:val="none"/>
                      <w:u w:val="none" w:color="auto"/>
                    </w:rPr>
                  </w:pPr>
                  <w:r>
                    <w:rPr>
                      <w:b/>
                      <w:color w:val="auto"/>
                      <w:sz w:val="21"/>
                      <w:szCs w:val="21"/>
                      <w:highlight w:val="none"/>
                      <w:u w:val="none" w:color="auto"/>
                    </w:rPr>
                    <w:t>（mg/m</w:t>
                  </w:r>
                  <w:r>
                    <w:rPr>
                      <w:b/>
                      <w:color w:val="auto"/>
                      <w:sz w:val="21"/>
                      <w:szCs w:val="21"/>
                      <w:highlight w:val="none"/>
                      <w:u w:val="none" w:color="auto"/>
                      <w:vertAlign w:val="superscript"/>
                    </w:rPr>
                    <w:t>3</w:t>
                  </w:r>
                  <w:r>
                    <w:rPr>
                      <w:b/>
                      <w:color w:val="auto"/>
                      <w:sz w:val="21"/>
                      <w:szCs w:val="21"/>
                      <w:highlight w:val="none"/>
                      <w:u w:val="none" w:color="auto"/>
                    </w:rPr>
                    <w:t>）</w:t>
                  </w:r>
                </w:p>
              </w:tc>
              <w:tc>
                <w:tcPr>
                  <w:tcW w:w="1079" w:type="pct"/>
                  <w:tcBorders>
                    <w:bottom w:val="single" w:color="000000" w:sz="8" w:space="0"/>
                  </w:tcBorders>
                  <w:noWrap w:val="0"/>
                  <w:vAlign w:val="center"/>
                </w:tcPr>
                <w:p w14:paraId="6673E233">
                  <w:pPr>
                    <w:autoSpaceDE w:val="0"/>
                    <w:autoSpaceDN w:val="0"/>
                    <w:adjustRightInd w:val="0"/>
                    <w:snapToGrid w:val="0"/>
                    <w:jc w:val="center"/>
                    <w:rPr>
                      <w:b/>
                      <w:color w:val="auto"/>
                      <w:sz w:val="21"/>
                      <w:szCs w:val="21"/>
                      <w:highlight w:val="none"/>
                      <w:u w:val="none" w:color="auto"/>
                    </w:rPr>
                  </w:pPr>
                  <w:r>
                    <w:rPr>
                      <w:b/>
                      <w:color w:val="auto"/>
                      <w:sz w:val="21"/>
                      <w:szCs w:val="21"/>
                      <w:highlight w:val="none"/>
                      <w:u w:val="none" w:color="auto"/>
                    </w:rPr>
                    <w:t>核算排放速率/</w:t>
                  </w:r>
                </w:p>
                <w:p w14:paraId="6AD0A8B0">
                  <w:pPr>
                    <w:autoSpaceDE w:val="0"/>
                    <w:autoSpaceDN w:val="0"/>
                    <w:adjustRightInd w:val="0"/>
                    <w:snapToGrid w:val="0"/>
                    <w:jc w:val="center"/>
                    <w:rPr>
                      <w:b/>
                      <w:color w:val="auto"/>
                      <w:sz w:val="21"/>
                      <w:szCs w:val="21"/>
                      <w:highlight w:val="none"/>
                      <w:u w:val="none" w:color="auto"/>
                    </w:rPr>
                  </w:pPr>
                  <w:r>
                    <w:rPr>
                      <w:b/>
                      <w:color w:val="auto"/>
                      <w:sz w:val="21"/>
                      <w:szCs w:val="21"/>
                      <w:highlight w:val="none"/>
                      <w:u w:val="none" w:color="auto"/>
                    </w:rPr>
                    <w:t>（kg/h）</w:t>
                  </w:r>
                </w:p>
              </w:tc>
              <w:tc>
                <w:tcPr>
                  <w:tcW w:w="1045" w:type="pct"/>
                  <w:tcBorders>
                    <w:bottom w:val="single" w:color="000000" w:sz="8" w:space="0"/>
                  </w:tcBorders>
                  <w:noWrap w:val="0"/>
                  <w:vAlign w:val="center"/>
                </w:tcPr>
                <w:p w14:paraId="14D4C36B">
                  <w:pPr>
                    <w:autoSpaceDE w:val="0"/>
                    <w:autoSpaceDN w:val="0"/>
                    <w:adjustRightInd w:val="0"/>
                    <w:snapToGrid w:val="0"/>
                    <w:jc w:val="center"/>
                    <w:rPr>
                      <w:b/>
                      <w:color w:val="auto"/>
                      <w:sz w:val="21"/>
                      <w:szCs w:val="21"/>
                      <w:highlight w:val="none"/>
                      <w:u w:val="none" w:color="auto"/>
                    </w:rPr>
                  </w:pPr>
                  <w:r>
                    <w:rPr>
                      <w:b/>
                      <w:color w:val="auto"/>
                      <w:sz w:val="21"/>
                      <w:szCs w:val="21"/>
                      <w:highlight w:val="none"/>
                      <w:u w:val="none" w:color="auto"/>
                    </w:rPr>
                    <w:t>核算年排放量/</w:t>
                  </w:r>
                </w:p>
                <w:p w14:paraId="155EEDEF">
                  <w:pPr>
                    <w:autoSpaceDE w:val="0"/>
                    <w:autoSpaceDN w:val="0"/>
                    <w:adjustRightInd w:val="0"/>
                    <w:snapToGrid w:val="0"/>
                    <w:jc w:val="center"/>
                    <w:rPr>
                      <w:b/>
                      <w:color w:val="auto"/>
                      <w:sz w:val="21"/>
                      <w:szCs w:val="21"/>
                      <w:highlight w:val="none"/>
                      <w:u w:val="none" w:color="auto"/>
                    </w:rPr>
                  </w:pPr>
                  <w:r>
                    <w:rPr>
                      <w:b/>
                      <w:color w:val="auto"/>
                      <w:sz w:val="21"/>
                      <w:szCs w:val="21"/>
                      <w:highlight w:val="none"/>
                      <w:u w:val="none" w:color="auto"/>
                    </w:rPr>
                    <w:t>（t/a）</w:t>
                  </w:r>
                </w:p>
              </w:tc>
            </w:tr>
            <w:tr w14:paraId="18A346D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58" w:type="pct"/>
                  <w:tcBorders>
                    <w:top w:val="single" w:color="000000" w:sz="8" w:space="0"/>
                    <w:bottom w:val="single" w:color="auto" w:sz="4" w:space="0"/>
                  </w:tcBorders>
                  <w:noWrap w:val="0"/>
                  <w:vAlign w:val="center"/>
                </w:tcPr>
                <w:p w14:paraId="31707B58">
                  <w:pPr>
                    <w:autoSpaceDE w:val="0"/>
                    <w:autoSpaceDN w:val="0"/>
                    <w:adjustRightInd w:val="0"/>
                    <w:snapToGrid w:val="0"/>
                    <w:jc w:val="center"/>
                    <w:rPr>
                      <w:color w:val="auto"/>
                      <w:sz w:val="21"/>
                      <w:szCs w:val="21"/>
                      <w:highlight w:val="none"/>
                      <w:u w:val="none" w:color="auto"/>
                    </w:rPr>
                  </w:pPr>
                  <w:r>
                    <w:rPr>
                      <w:color w:val="auto"/>
                      <w:sz w:val="21"/>
                      <w:szCs w:val="21"/>
                      <w:highlight w:val="none"/>
                      <w:u w:val="none" w:color="auto"/>
                    </w:rPr>
                    <w:t>1</w:t>
                  </w:r>
                </w:p>
              </w:tc>
              <w:tc>
                <w:tcPr>
                  <w:tcW w:w="806" w:type="pct"/>
                  <w:tcBorders>
                    <w:top w:val="single" w:color="000000" w:sz="8" w:space="0"/>
                    <w:bottom w:val="single" w:color="auto" w:sz="4" w:space="0"/>
                  </w:tcBorders>
                  <w:noWrap w:val="0"/>
                  <w:vAlign w:val="center"/>
                </w:tcPr>
                <w:p w14:paraId="4FE769ED">
                  <w:pPr>
                    <w:keepNext w:val="0"/>
                    <w:keepLines w:val="0"/>
                    <w:widowControl/>
                    <w:suppressLineNumbers w:val="0"/>
                    <w:jc w:val="center"/>
                    <w:textAlignment w:val="center"/>
                    <w:rPr>
                      <w:rFonts w:hint="eastAsia"/>
                      <w:color w:val="auto"/>
                      <w:sz w:val="21"/>
                      <w:szCs w:val="21"/>
                      <w:highlight w:val="none"/>
                      <w:u w:val="none" w:color="auto"/>
                    </w:rPr>
                  </w:pPr>
                  <w:r>
                    <w:rPr>
                      <w:rFonts w:hint="default" w:ascii="Times New Roman" w:hAnsi="Times New Roman" w:eastAsia="宋体" w:cs="Times New Roman"/>
                      <w:i w:val="0"/>
                      <w:iCs w:val="0"/>
                      <w:color w:val="000000"/>
                      <w:kern w:val="0"/>
                      <w:sz w:val="21"/>
                      <w:szCs w:val="21"/>
                      <w:highlight w:val="none"/>
                      <w:u w:val="none" w:color="auto"/>
                      <w:lang w:val="en-US" w:eastAsia="zh-CN" w:bidi="ar"/>
                    </w:rPr>
                    <w:t>DA001</w:t>
                  </w:r>
                </w:p>
              </w:tc>
              <w:tc>
                <w:tcPr>
                  <w:tcW w:w="771" w:type="pct"/>
                  <w:tcBorders>
                    <w:top w:val="single" w:color="000000" w:sz="8" w:space="0"/>
                    <w:bottom w:val="single" w:color="auto" w:sz="4" w:space="0"/>
                  </w:tcBorders>
                  <w:noWrap w:val="0"/>
                  <w:vAlign w:val="center"/>
                </w:tcPr>
                <w:p w14:paraId="5620DDE0">
                  <w:pPr>
                    <w:jc w:val="center"/>
                    <w:rPr>
                      <w:rFonts w:hint="default" w:eastAsia="宋体"/>
                      <w:color w:val="auto"/>
                      <w:sz w:val="21"/>
                      <w:szCs w:val="21"/>
                      <w:highlight w:val="none"/>
                      <w:u w:val="none" w:color="auto"/>
                      <w:lang w:val="en-US" w:eastAsia="zh-CN"/>
                    </w:rPr>
                  </w:pPr>
                  <w:r>
                    <w:rPr>
                      <w:rFonts w:hint="eastAsia" w:eastAsia="宋体"/>
                      <w:bCs/>
                      <w:color w:val="auto"/>
                      <w:sz w:val="21"/>
                      <w:szCs w:val="21"/>
                      <w:highlight w:val="none"/>
                      <w:u w:val="none" w:color="auto"/>
                      <w:lang w:val="en-US" w:eastAsia="zh-CN"/>
                    </w:rPr>
                    <w:t>非甲烷总烃</w:t>
                  </w:r>
                </w:p>
              </w:tc>
              <w:tc>
                <w:tcPr>
                  <w:tcW w:w="939" w:type="pct"/>
                  <w:tcBorders>
                    <w:top w:val="single" w:color="000000" w:sz="8" w:space="0"/>
                    <w:bottom w:val="single" w:color="auto" w:sz="4" w:space="0"/>
                  </w:tcBorders>
                  <w:noWrap w:val="0"/>
                  <w:vAlign w:val="center"/>
                </w:tcPr>
                <w:p w14:paraId="1ACBDE5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2.96</w:t>
                  </w:r>
                </w:p>
              </w:tc>
              <w:tc>
                <w:tcPr>
                  <w:tcW w:w="1079" w:type="pct"/>
                  <w:tcBorders>
                    <w:top w:val="single" w:color="000000" w:sz="8" w:space="0"/>
                    <w:bottom w:val="single" w:color="auto" w:sz="4" w:space="0"/>
                  </w:tcBorders>
                  <w:noWrap w:val="0"/>
                  <w:vAlign w:val="center"/>
                </w:tcPr>
                <w:p w14:paraId="60C9D5C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0.222</w:t>
                  </w:r>
                </w:p>
              </w:tc>
              <w:tc>
                <w:tcPr>
                  <w:tcW w:w="1045" w:type="pct"/>
                  <w:tcBorders>
                    <w:top w:val="single" w:color="000000" w:sz="8" w:space="0"/>
                    <w:bottom w:val="single" w:color="auto" w:sz="4" w:space="0"/>
                  </w:tcBorders>
                  <w:noWrap w:val="0"/>
                  <w:vAlign w:val="center"/>
                </w:tcPr>
                <w:p w14:paraId="1717B35E">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1.76</w:t>
                  </w:r>
                </w:p>
              </w:tc>
            </w:tr>
            <w:tr w14:paraId="42C1FBC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58" w:type="pct"/>
                  <w:tcBorders>
                    <w:top w:val="single" w:color="auto" w:sz="4" w:space="0"/>
                  </w:tcBorders>
                  <w:noWrap w:val="0"/>
                  <w:vAlign w:val="center"/>
                </w:tcPr>
                <w:p w14:paraId="15C3B496">
                  <w:pPr>
                    <w:autoSpaceDE w:val="0"/>
                    <w:autoSpaceDN w:val="0"/>
                    <w:adjustRightInd w:val="0"/>
                    <w:snapToGrid w:val="0"/>
                    <w:jc w:val="center"/>
                    <w:rPr>
                      <w:rFonts w:hint="eastAsia" w:eastAsia="宋体"/>
                      <w:color w:val="auto"/>
                      <w:sz w:val="21"/>
                      <w:szCs w:val="21"/>
                      <w:highlight w:val="none"/>
                      <w:u w:val="none" w:color="auto"/>
                      <w:lang w:val="en-US" w:eastAsia="zh-CN"/>
                    </w:rPr>
                  </w:pPr>
                  <w:r>
                    <w:rPr>
                      <w:rFonts w:hint="eastAsia"/>
                      <w:color w:val="auto"/>
                      <w:sz w:val="21"/>
                      <w:szCs w:val="21"/>
                      <w:highlight w:val="none"/>
                      <w:u w:val="none" w:color="auto"/>
                      <w:lang w:val="en-US" w:eastAsia="zh-CN"/>
                    </w:rPr>
                    <w:t>2</w:t>
                  </w:r>
                </w:p>
              </w:tc>
              <w:tc>
                <w:tcPr>
                  <w:tcW w:w="806" w:type="pct"/>
                  <w:tcBorders>
                    <w:top w:val="single" w:color="auto" w:sz="4" w:space="0"/>
                  </w:tcBorders>
                  <w:noWrap w:val="0"/>
                  <w:vAlign w:val="center"/>
                </w:tcPr>
                <w:p w14:paraId="3685F2E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color="auto"/>
                      <w:lang w:val="en-US" w:eastAsia="zh-CN" w:bidi="ar"/>
                      <w14:textFill>
                        <w14:solidFill>
                          <w14:schemeClr w14:val="tx1"/>
                        </w14:solidFill>
                      </w14:textFill>
                    </w:rPr>
                    <w:t>DA00</w:t>
                  </w:r>
                  <w:r>
                    <w:rPr>
                      <w:rFonts w:hint="eastAsia" w:cs="Times New Roman"/>
                      <w:i w:val="0"/>
                      <w:iCs w:val="0"/>
                      <w:color w:val="000000" w:themeColor="text1"/>
                      <w:kern w:val="0"/>
                      <w:sz w:val="21"/>
                      <w:szCs w:val="21"/>
                      <w:highlight w:val="none"/>
                      <w:u w:val="none" w:color="auto"/>
                      <w:lang w:val="en-US" w:eastAsia="zh-CN" w:bidi="ar"/>
                      <w14:textFill>
                        <w14:solidFill>
                          <w14:schemeClr w14:val="tx1"/>
                        </w14:solidFill>
                      </w14:textFill>
                    </w:rPr>
                    <w:t>2</w:t>
                  </w:r>
                </w:p>
              </w:tc>
              <w:tc>
                <w:tcPr>
                  <w:tcW w:w="771" w:type="pct"/>
                  <w:tcBorders>
                    <w:top w:val="single" w:color="auto" w:sz="4" w:space="0"/>
                  </w:tcBorders>
                  <w:noWrap w:val="0"/>
                  <w:vAlign w:val="center"/>
                </w:tcPr>
                <w:p w14:paraId="40D90AB3">
                  <w:pPr>
                    <w:jc w:val="center"/>
                    <w:rPr>
                      <w:rFonts w:hint="default" w:eastAsia="宋体"/>
                      <w:bCs/>
                      <w:color w:val="000000" w:themeColor="text1"/>
                      <w:sz w:val="21"/>
                      <w:szCs w:val="21"/>
                      <w:highlight w:val="none"/>
                      <w:u w:val="none" w:color="auto"/>
                      <w:lang w:val="en-US" w:eastAsia="zh-CN"/>
                      <w14:textFill>
                        <w14:solidFill>
                          <w14:schemeClr w14:val="tx1"/>
                        </w14:solidFill>
                      </w14:textFill>
                    </w:rPr>
                  </w:pPr>
                  <w:r>
                    <w:rPr>
                      <w:rFonts w:hint="eastAsia"/>
                      <w:bCs/>
                      <w:color w:val="000000" w:themeColor="text1"/>
                      <w:sz w:val="21"/>
                      <w:szCs w:val="21"/>
                      <w:highlight w:val="none"/>
                      <w:u w:val="none" w:color="auto"/>
                      <w:lang w:val="en-US" w:eastAsia="zh-CN"/>
                      <w14:textFill>
                        <w14:solidFill>
                          <w14:schemeClr w14:val="tx1"/>
                        </w14:solidFill>
                      </w14:textFill>
                    </w:rPr>
                    <w:t>颗粒物</w:t>
                  </w:r>
                </w:p>
              </w:tc>
              <w:tc>
                <w:tcPr>
                  <w:tcW w:w="939" w:type="pct"/>
                  <w:tcBorders>
                    <w:top w:val="single" w:color="auto" w:sz="4" w:space="0"/>
                  </w:tcBorders>
                  <w:noWrap w:val="0"/>
                  <w:vAlign w:val="center"/>
                </w:tcPr>
                <w:p w14:paraId="38A9855C">
                  <w:pPr>
                    <w:keepNext w:val="0"/>
                    <w:keepLines w:val="0"/>
                    <w:widowControl/>
                    <w:suppressLineNumbers w:val="0"/>
                    <w:jc w:val="center"/>
                    <w:textAlignment w:val="center"/>
                    <w:rPr>
                      <w:rFonts w:hint="default" w:cs="Times New Roman"/>
                      <w:color w:val="000000" w:themeColor="text1"/>
                      <w:sz w:val="21"/>
                      <w:szCs w:val="21"/>
                      <w:highlight w:val="none"/>
                      <w:u w:val="none" w:color="auto"/>
                      <w:lang w:val="en-US" w:eastAsia="zh-CN"/>
                      <w14:textFill>
                        <w14:solidFill>
                          <w14:schemeClr w14:val="tx1"/>
                        </w14:solidFill>
                      </w14:textFill>
                    </w:rPr>
                  </w:pPr>
                  <w:r>
                    <w:rPr>
                      <w:rFonts w:hint="eastAsia" w:cs="Times New Roman"/>
                      <w:color w:val="000000" w:themeColor="text1"/>
                      <w:sz w:val="21"/>
                      <w:szCs w:val="21"/>
                      <w:highlight w:val="none"/>
                      <w:u w:val="none" w:color="auto"/>
                      <w:lang w:val="en-US" w:eastAsia="zh-CN"/>
                      <w14:textFill>
                        <w14:solidFill>
                          <w14:schemeClr w14:val="tx1"/>
                        </w14:solidFill>
                      </w14:textFill>
                    </w:rPr>
                    <w:t>3.95</w:t>
                  </w:r>
                </w:p>
              </w:tc>
              <w:tc>
                <w:tcPr>
                  <w:tcW w:w="1079" w:type="pct"/>
                  <w:tcBorders>
                    <w:top w:val="single" w:color="auto" w:sz="4" w:space="0"/>
                  </w:tcBorders>
                  <w:noWrap w:val="0"/>
                  <w:vAlign w:val="center"/>
                </w:tcPr>
                <w:p w14:paraId="73FB241C">
                  <w:pPr>
                    <w:keepNext w:val="0"/>
                    <w:keepLines w:val="0"/>
                    <w:widowControl/>
                    <w:suppressLineNumbers w:val="0"/>
                    <w:jc w:val="center"/>
                    <w:textAlignment w:val="center"/>
                    <w:rPr>
                      <w:rFonts w:hint="default" w:cs="Times New Roman"/>
                      <w:color w:val="000000" w:themeColor="text1"/>
                      <w:sz w:val="21"/>
                      <w:szCs w:val="21"/>
                      <w:highlight w:val="none"/>
                      <w:u w:val="none" w:color="auto"/>
                      <w:lang w:val="en-US" w:eastAsia="zh-CN"/>
                      <w14:textFill>
                        <w14:solidFill>
                          <w14:schemeClr w14:val="tx1"/>
                        </w14:solidFill>
                      </w14:textFill>
                    </w:rPr>
                  </w:pPr>
                  <w:r>
                    <w:rPr>
                      <w:rFonts w:hint="eastAsia" w:cs="Times New Roman"/>
                      <w:color w:val="000000" w:themeColor="text1"/>
                      <w:sz w:val="21"/>
                      <w:szCs w:val="21"/>
                      <w:highlight w:val="none"/>
                      <w:u w:val="none" w:color="auto"/>
                      <w:lang w:val="en-US" w:eastAsia="zh-CN"/>
                      <w14:textFill>
                        <w14:solidFill>
                          <w14:schemeClr w14:val="tx1"/>
                        </w14:solidFill>
                      </w14:textFill>
                    </w:rPr>
                    <w:t>0.0158</w:t>
                  </w:r>
                </w:p>
              </w:tc>
              <w:tc>
                <w:tcPr>
                  <w:tcW w:w="1045" w:type="pct"/>
                  <w:tcBorders>
                    <w:top w:val="single" w:color="auto" w:sz="4" w:space="0"/>
                  </w:tcBorders>
                  <w:noWrap w:val="0"/>
                  <w:vAlign w:val="center"/>
                </w:tcPr>
                <w:p w14:paraId="6DC4D776">
                  <w:pPr>
                    <w:keepNext w:val="0"/>
                    <w:keepLines w:val="0"/>
                    <w:widowControl/>
                    <w:suppressLineNumbers w:val="0"/>
                    <w:jc w:val="center"/>
                    <w:textAlignment w:val="center"/>
                    <w:rPr>
                      <w:rFonts w:hint="default" w:cs="Times New Roman"/>
                      <w:color w:val="000000" w:themeColor="text1"/>
                      <w:sz w:val="21"/>
                      <w:szCs w:val="21"/>
                      <w:highlight w:val="none"/>
                      <w:u w:val="none" w:color="auto"/>
                      <w:lang w:val="en-US" w:eastAsia="zh-CN"/>
                      <w14:textFill>
                        <w14:solidFill>
                          <w14:schemeClr w14:val="tx1"/>
                        </w14:solidFill>
                      </w14:textFill>
                    </w:rPr>
                  </w:pPr>
                  <w:r>
                    <w:rPr>
                      <w:rFonts w:hint="eastAsia" w:cs="Times New Roman"/>
                      <w:color w:val="000000" w:themeColor="text1"/>
                      <w:sz w:val="21"/>
                      <w:szCs w:val="21"/>
                      <w:highlight w:val="none"/>
                      <w:u w:val="none" w:color="auto"/>
                      <w:lang w:val="en-US" w:eastAsia="zh-CN"/>
                      <w14:textFill>
                        <w14:solidFill>
                          <w14:schemeClr w14:val="tx1"/>
                        </w14:solidFill>
                      </w14:textFill>
                    </w:rPr>
                    <w:t>0.0208</w:t>
                  </w:r>
                </w:p>
              </w:tc>
            </w:tr>
            <w:tr w14:paraId="0706D41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66" w:type="dxa"/>
                  <w:noWrap w:val="0"/>
                  <w:vAlign w:val="center"/>
                </w:tcPr>
                <w:p w14:paraId="673BB955">
                  <w:pPr>
                    <w:autoSpaceDE w:val="0"/>
                    <w:autoSpaceDN w:val="0"/>
                    <w:adjustRightInd w:val="0"/>
                    <w:snapToGrid w:val="0"/>
                    <w:jc w:val="center"/>
                    <w:rPr>
                      <w:rFonts w:hint="eastAsia" w:eastAsia="宋体"/>
                      <w:color w:val="auto"/>
                      <w:sz w:val="21"/>
                      <w:szCs w:val="21"/>
                      <w:highlight w:val="none"/>
                      <w:u w:val="none" w:color="auto"/>
                      <w:lang w:val="en-US" w:eastAsia="zh-CN"/>
                    </w:rPr>
                  </w:pPr>
                  <w:r>
                    <w:rPr>
                      <w:rFonts w:hint="eastAsia"/>
                      <w:color w:val="auto"/>
                      <w:sz w:val="21"/>
                      <w:szCs w:val="21"/>
                      <w:highlight w:val="none"/>
                      <w:u w:val="none" w:color="auto"/>
                      <w:lang w:val="en-US" w:eastAsia="zh-CN"/>
                    </w:rPr>
                    <w:t>3</w:t>
                  </w:r>
                </w:p>
              </w:tc>
              <w:tc>
                <w:tcPr>
                  <w:tcW w:w="1274" w:type="dxa"/>
                  <w:vMerge w:val="restart"/>
                  <w:noWrap w:val="0"/>
                  <w:vAlign w:val="center"/>
                </w:tcPr>
                <w:p w14:paraId="6EE1C2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color="auto"/>
                      <w:lang w:val="en-US" w:eastAsia="zh-CN" w:bidi="ar"/>
                    </w:rPr>
                  </w:pPr>
                  <w:r>
                    <w:rPr>
                      <w:rFonts w:hint="default" w:ascii="Times New Roman" w:hAnsi="Times New Roman" w:eastAsia="宋体" w:cs="Times New Roman"/>
                      <w:i w:val="0"/>
                      <w:iCs w:val="0"/>
                      <w:color w:val="000000"/>
                      <w:kern w:val="0"/>
                      <w:sz w:val="21"/>
                      <w:szCs w:val="21"/>
                      <w:highlight w:val="none"/>
                      <w:u w:val="none" w:color="auto"/>
                      <w:lang w:val="en-US" w:eastAsia="zh-CN" w:bidi="ar"/>
                    </w:rPr>
                    <w:t>DA00</w:t>
                  </w:r>
                  <w:r>
                    <w:rPr>
                      <w:rFonts w:hint="eastAsia" w:cs="Times New Roman"/>
                      <w:i w:val="0"/>
                      <w:iCs w:val="0"/>
                      <w:color w:val="000000"/>
                      <w:kern w:val="0"/>
                      <w:sz w:val="21"/>
                      <w:szCs w:val="21"/>
                      <w:highlight w:val="none"/>
                      <w:u w:val="none" w:color="auto"/>
                      <w:lang w:val="en-US" w:eastAsia="zh-CN" w:bidi="ar"/>
                    </w:rPr>
                    <w:t>3</w:t>
                  </w:r>
                </w:p>
              </w:tc>
              <w:tc>
                <w:tcPr>
                  <w:tcW w:w="1219" w:type="dxa"/>
                  <w:noWrap w:val="0"/>
                  <w:vAlign w:val="center"/>
                </w:tcPr>
                <w:p w14:paraId="6B762BDB">
                  <w:pPr>
                    <w:jc w:val="center"/>
                    <w:rPr>
                      <w:rFonts w:hint="default" w:eastAsia="宋体"/>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硫化氢</w:t>
                  </w:r>
                </w:p>
              </w:tc>
              <w:tc>
                <w:tcPr>
                  <w:tcW w:w="1484" w:type="dxa"/>
                  <w:noWrap w:val="0"/>
                  <w:vAlign w:val="center"/>
                </w:tcPr>
                <w:p w14:paraId="202F30D8">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0.0026</w:t>
                  </w:r>
                </w:p>
              </w:tc>
              <w:tc>
                <w:tcPr>
                  <w:tcW w:w="1706" w:type="dxa"/>
                  <w:noWrap w:val="0"/>
                  <w:vAlign w:val="center"/>
                </w:tcPr>
                <w:p w14:paraId="3401A84B">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0.00001</w:t>
                  </w:r>
                </w:p>
              </w:tc>
              <w:tc>
                <w:tcPr>
                  <w:tcW w:w="1653" w:type="dxa"/>
                  <w:noWrap w:val="0"/>
                  <w:vAlign w:val="center"/>
                </w:tcPr>
                <w:p w14:paraId="58B5D43E">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0.0001</w:t>
                  </w:r>
                </w:p>
              </w:tc>
            </w:tr>
            <w:tr w14:paraId="1265EEC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66" w:type="dxa"/>
                  <w:noWrap w:val="0"/>
                  <w:vAlign w:val="center"/>
                </w:tcPr>
                <w:p w14:paraId="2FD24F70">
                  <w:pPr>
                    <w:autoSpaceDE w:val="0"/>
                    <w:autoSpaceDN w:val="0"/>
                    <w:adjustRightInd w:val="0"/>
                    <w:snapToGrid w:val="0"/>
                    <w:jc w:val="center"/>
                    <w:rPr>
                      <w:rFonts w:hint="default"/>
                      <w:color w:val="auto"/>
                      <w:sz w:val="21"/>
                      <w:szCs w:val="21"/>
                      <w:highlight w:val="none"/>
                      <w:u w:val="none" w:color="auto"/>
                      <w:lang w:val="en-US" w:eastAsia="zh-CN"/>
                    </w:rPr>
                  </w:pPr>
                  <w:r>
                    <w:rPr>
                      <w:rFonts w:hint="eastAsia"/>
                      <w:color w:val="auto"/>
                      <w:sz w:val="21"/>
                      <w:szCs w:val="21"/>
                      <w:highlight w:val="none"/>
                      <w:u w:val="none" w:color="auto"/>
                      <w:lang w:val="en-US" w:eastAsia="zh-CN"/>
                    </w:rPr>
                    <w:t>4</w:t>
                  </w:r>
                </w:p>
              </w:tc>
              <w:tc>
                <w:tcPr>
                  <w:tcW w:w="1274" w:type="dxa"/>
                  <w:vMerge w:val="continue"/>
                  <w:noWrap w:val="0"/>
                  <w:vAlign w:val="center"/>
                </w:tcPr>
                <w:p w14:paraId="68C68A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color="auto"/>
                      <w:lang w:val="en-US" w:eastAsia="zh-CN" w:bidi="ar"/>
                    </w:rPr>
                  </w:pPr>
                </w:p>
              </w:tc>
              <w:tc>
                <w:tcPr>
                  <w:tcW w:w="1219" w:type="dxa"/>
                  <w:noWrap w:val="0"/>
                  <w:vAlign w:val="center"/>
                </w:tcPr>
                <w:p w14:paraId="7D8DD1D7">
                  <w:pPr>
                    <w:jc w:val="center"/>
                    <w:rPr>
                      <w:rFonts w:hint="default"/>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氨</w:t>
                  </w:r>
                </w:p>
              </w:tc>
              <w:tc>
                <w:tcPr>
                  <w:tcW w:w="1484" w:type="dxa"/>
                  <w:noWrap w:val="0"/>
                  <w:vAlign w:val="center"/>
                </w:tcPr>
                <w:p w14:paraId="17CCB98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0.1859</w:t>
                  </w:r>
                </w:p>
              </w:tc>
              <w:tc>
                <w:tcPr>
                  <w:tcW w:w="1706" w:type="dxa"/>
                  <w:noWrap w:val="0"/>
                  <w:vAlign w:val="center"/>
                </w:tcPr>
                <w:p w14:paraId="42A82220">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0.00093</w:t>
                  </w:r>
                </w:p>
              </w:tc>
              <w:tc>
                <w:tcPr>
                  <w:tcW w:w="1653" w:type="dxa"/>
                  <w:noWrap w:val="0"/>
                  <w:vAlign w:val="center"/>
                </w:tcPr>
                <w:p w14:paraId="0CE3DDE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0.0074</w:t>
                  </w:r>
                </w:p>
              </w:tc>
            </w:tr>
          </w:tbl>
          <w:p w14:paraId="48F86492">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b/>
                <w:bCs/>
                <w:color w:val="auto"/>
                <w:sz w:val="24"/>
                <w:highlight w:val="none"/>
                <w:u w:val="none" w:color="auto"/>
              </w:rPr>
            </w:pPr>
            <w:r>
              <w:rPr>
                <w:rFonts w:hint="eastAsia" w:hAnsi="宋体"/>
                <w:b/>
                <w:bCs/>
                <w:sz w:val="24"/>
                <w:u w:val="none" w:color="auto"/>
                <w:lang w:val="en-US" w:eastAsia="zh-CN"/>
              </w:rPr>
              <w:t>2、</w:t>
            </w:r>
            <w:r>
              <w:rPr>
                <w:b/>
                <w:bCs/>
                <w:color w:val="auto"/>
                <w:sz w:val="24"/>
                <w:highlight w:val="none"/>
                <w:u w:val="none" w:color="auto"/>
              </w:rPr>
              <w:t>大气污染物无组织排放量核算</w:t>
            </w:r>
          </w:p>
          <w:p w14:paraId="06E4537B">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hAnsi="宋体"/>
                <w:b/>
                <w:bCs/>
                <w:sz w:val="24"/>
                <w:u w:val="none" w:color="auto"/>
              </w:rPr>
            </w:pPr>
            <w:r>
              <w:rPr>
                <w:rFonts w:hint="eastAsia" w:hAnsi="宋体"/>
                <w:b/>
                <w:bCs/>
                <w:sz w:val="24"/>
                <w:u w:val="none" w:color="auto"/>
              </w:rPr>
              <w:t>表 4-</w:t>
            </w:r>
            <w:r>
              <w:rPr>
                <w:rFonts w:hint="eastAsia" w:hAnsi="宋体"/>
                <w:b/>
                <w:bCs/>
                <w:sz w:val="24"/>
                <w:u w:val="none" w:color="auto"/>
                <w:lang w:val="en-US" w:eastAsia="zh-CN"/>
              </w:rPr>
              <w:t>7</w:t>
            </w:r>
            <w:r>
              <w:rPr>
                <w:rFonts w:hint="eastAsia" w:hAnsi="宋体"/>
                <w:b/>
                <w:bCs/>
                <w:sz w:val="24"/>
                <w:u w:val="none" w:color="auto"/>
              </w:rPr>
              <w:t xml:space="preserve">    </w:t>
            </w:r>
            <w:r>
              <w:rPr>
                <w:rFonts w:hint="eastAsia" w:ascii="Times New Roman" w:hAnsi="Times New Roman" w:eastAsia="宋体" w:cs="Times New Roman"/>
                <w:b/>
                <w:color w:val="auto"/>
                <w:sz w:val="24"/>
                <w:highlight w:val="none"/>
                <w:u w:val="none" w:color="auto"/>
              </w:rPr>
              <w:t>大气污染物</w:t>
            </w:r>
            <w:r>
              <w:rPr>
                <w:rFonts w:hint="eastAsia" w:ascii="Times New Roman" w:hAnsi="Times New Roman" w:eastAsia="宋体" w:cs="Times New Roman"/>
                <w:b/>
                <w:color w:val="auto"/>
                <w:sz w:val="24"/>
                <w:highlight w:val="none"/>
                <w:u w:val="none" w:color="auto"/>
                <w:lang w:val="en-US" w:eastAsia="zh-CN"/>
              </w:rPr>
              <w:t>无</w:t>
            </w:r>
            <w:r>
              <w:rPr>
                <w:rFonts w:hint="eastAsia" w:ascii="Times New Roman" w:hAnsi="Times New Roman" w:eastAsia="宋体" w:cs="Times New Roman"/>
                <w:b/>
                <w:color w:val="auto"/>
                <w:sz w:val="24"/>
                <w:highlight w:val="none"/>
                <w:u w:val="none" w:color="auto"/>
              </w:rPr>
              <w:t>组织排放量核算表</w:t>
            </w:r>
          </w:p>
          <w:tbl>
            <w:tblPr>
              <w:tblStyle w:val="32"/>
              <w:tblW w:w="8052"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187"/>
              <w:gridCol w:w="1961"/>
              <w:gridCol w:w="2141"/>
              <w:gridCol w:w="2763"/>
            </w:tblGrid>
            <w:tr w14:paraId="598BCBF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187" w:type="dxa"/>
                  <w:tcBorders>
                    <w:bottom w:val="single" w:color="000000" w:sz="8" w:space="0"/>
                    <w:tl2br w:val="nil"/>
                    <w:tr2bl w:val="nil"/>
                  </w:tcBorders>
                  <w:noWrap w:val="0"/>
                  <w:vAlign w:val="center"/>
                </w:tcPr>
                <w:p w14:paraId="532D8D36">
                  <w:pPr>
                    <w:autoSpaceDE w:val="0"/>
                    <w:autoSpaceDN w:val="0"/>
                    <w:adjustRightInd w:val="0"/>
                    <w:snapToGrid w:val="0"/>
                    <w:jc w:val="center"/>
                    <w:rPr>
                      <w:color w:val="auto"/>
                      <w:sz w:val="21"/>
                      <w:szCs w:val="21"/>
                      <w:highlight w:val="none"/>
                      <w:u w:val="none" w:color="auto"/>
                      <w:lang w:val="fr-FR"/>
                    </w:rPr>
                  </w:pPr>
                  <w:r>
                    <w:rPr>
                      <w:b/>
                      <w:color w:val="auto"/>
                      <w:sz w:val="21"/>
                      <w:szCs w:val="21"/>
                      <w:highlight w:val="none"/>
                      <w:u w:val="none" w:color="auto"/>
                    </w:rPr>
                    <w:t>序号</w:t>
                  </w:r>
                </w:p>
              </w:tc>
              <w:tc>
                <w:tcPr>
                  <w:tcW w:w="1961" w:type="dxa"/>
                  <w:tcBorders>
                    <w:bottom w:val="single" w:color="000000" w:sz="8" w:space="0"/>
                    <w:tl2br w:val="nil"/>
                    <w:tr2bl w:val="nil"/>
                  </w:tcBorders>
                  <w:noWrap w:val="0"/>
                  <w:vAlign w:val="center"/>
                </w:tcPr>
                <w:p w14:paraId="08A68161">
                  <w:pPr>
                    <w:autoSpaceDE w:val="0"/>
                    <w:autoSpaceDN w:val="0"/>
                    <w:adjustRightInd w:val="0"/>
                    <w:snapToGrid w:val="0"/>
                    <w:jc w:val="center"/>
                    <w:rPr>
                      <w:color w:val="auto"/>
                      <w:sz w:val="21"/>
                      <w:szCs w:val="21"/>
                      <w:highlight w:val="none"/>
                      <w:u w:val="none" w:color="auto"/>
                    </w:rPr>
                  </w:pPr>
                  <w:r>
                    <w:rPr>
                      <w:b/>
                      <w:color w:val="auto"/>
                      <w:sz w:val="21"/>
                      <w:szCs w:val="21"/>
                      <w:highlight w:val="none"/>
                      <w:u w:val="none" w:color="auto"/>
                    </w:rPr>
                    <w:t>产污环节</w:t>
                  </w:r>
                </w:p>
              </w:tc>
              <w:tc>
                <w:tcPr>
                  <w:tcW w:w="2141" w:type="dxa"/>
                  <w:tcBorders>
                    <w:bottom w:val="single" w:color="000000" w:sz="8" w:space="0"/>
                    <w:tl2br w:val="nil"/>
                    <w:tr2bl w:val="nil"/>
                  </w:tcBorders>
                  <w:noWrap w:val="0"/>
                  <w:vAlign w:val="center"/>
                </w:tcPr>
                <w:p w14:paraId="71D8E2EF">
                  <w:pPr>
                    <w:jc w:val="center"/>
                    <w:rPr>
                      <w:color w:val="auto"/>
                      <w:sz w:val="21"/>
                      <w:szCs w:val="21"/>
                      <w:highlight w:val="none"/>
                      <w:u w:val="none" w:color="auto"/>
                      <w:lang w:val="fr-FR"/>
                    </w:rPr>
                  </w:pPr>
                  <w:r>
                    <w:rPr>
                      <w:b/>
                      <w:color w:val="auto"/>
                      <w:sz w:val="21"/>
                      <w:szCs w:val="21"/>
                      <w:highlight w:val="none"/>
                      <w:u w:val="none" w:color="auto"/>
                    </w:rPr>
                    <w:t>污染物</w:t>
                  </w:r>
                </w:p>
              </w:tc>
              <w:tc>
                <w:tcPr>
                  <w:tcW w:w="2763" w:type="dxa"/>
                  <w:tcBorders>
                    <w:bottom w:val="single" w:color="000000" w:sz="8" w:space="0"/>
                    <w:tl2br w:val="nil"/>
                    <w:tr2bl w:val="nil"/>
                  </w:tcBorders>
                  <w:noWrap w:val="0"/>
                  <w:vAlign w:val="center"/>
                </w:tcPr>
                <w:p w14:paraId="1D9900D5">
                  <w:pPr>
                    <w:jc w:val="center"/>
                    <w:rPr>
                      <w:color w:val="auto"/>
                      <w:sz w:val="21"/>
                      <w:szCs w:val="21"/>
                      <w:highlight w:val="none"/>
                      <w:u w:val="none" w:color="auto"/>
                    </w:rPr>
                  </w:pPr>
                  <w:r>
                    <w:rPr>
                      <w:b/>
                      <w:color w:val="auto"/>
                      <w:sz w:val="21"/>
                      <w:szCs w:val="21"/>
                      <w:highlight w:val="none"/>
                      <w:u w:val="none" w:color="auto"/>
                    </w:rPr>
                    <w:t>年排放量/(t/a)</w:t>
                  </w:r>
                </w:p>
              </w:tc>
            </w:tr>
            <w:tr w14:paraId="6D1E76A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187" w:type="dxa"/>
                  <w:tcBorders>
                    <w:top w:val="single" w:color="000000" w:sz="8" w:space="0"/>
                    <w:tl2br w:val="nil"/>
                    <w:tr2bl w:val="nil"/>
                  </w:tcBorders>
                  <w:noWrap w:val="0"/>
                  <w:vAlign w:val="center"/>
                </w:tcPr>
                <w:p w14:paraId="67D4DC6B">
                  <w:pPr>
                    <w:adjustRightInd w:val="0"/>
                    <w:snapToGrid w:val="0"/>
                    <w:jc w:val="center"/>
                    <w:rPr>
                      <w:rFonts w:hint="eastAsia"/>
                      <w:bCs/>
                      <w:color w:val="auto"/>
                      <w:sz w:val="21"/>
                      <w:szCs w:val="21"/>
                      <w:highlight w:val="none"/>
                      <w:u w:val="none" w:color="auto"/>
                      <w:lang w:val="fr-FR"/>
                    </w:rPr>
                  </w:pPr>
                  <w:r>
                    <w:rPr>
                      <w:rFonts w:hint="eastAsia"/>
                      <w:bCs/>
                      <w:color w:val="auto"/>
                      <w:sz w:val="21"/>
                      <w:szCs w:val="21"/>
                      <w:highlight w:val="none"/>
                      <w:u w:val="none" w:color="auto"/>
                      <w:lang w:val="fr-FR"/>
                    </w:rPr>
                    <w:t>1</w:t>
                  </w:r>
                </w:p>
              </w:tc>
              <w:tc>
                <w:tcPr>
                  <w:tcW w:w="1961" w:type="dxa"/>
                  <w:tcBorders>
                    <w:top w:val="single" w:color="000000" w:sz="8" w:space="0"/>
                    <w:tl2br w:val="nil"/>
                    <w:tr2bl w:val="nil"/>
                  </w:tcBorders>
                  <w:noWrap w:val="0"/>
                  <w:vAlign w:val="center"/>
                </w:tcPr>
                <w:p w14:paraId="3170CCA4">
                  <w:pPr>
                    <w:keepNext w:val="0"/>
                    <w:keepLines w:val="0"/>
                    <w:widowControl/>
                    <w:suppressLineNumbers w:val="0"/>
                    <w:jc w:val="center"/>
                    <w:textAlignment w:val="center"/>
                    <w:rPr>
                      <w:rFonts w:hint="default" w:eastAsia="宋体"/>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注液、涂布烘干、</w:t>
                  </w:r>
                </w:p>
              </w:tc>
              <w:tc>
                <w:tcPr>
                  <w:tcW w:w="2141" w:type="dxa"/>
                  <w:tcBorders>
                    <w:top w:val="single" w:color="000000" w:sz="8" w:space="0"/>
                    <w:tl2br w:val="nil"/>
                    <w:tr2bl w:val="nil"/>
                  </w:tcBorders>
                  <w:noWrap w:val="0"/>
                  <w:vAlign w:val="center"/>
                </w:tcPr>
                <w:p w14:paraId="22D31FAB">
                  <w:pPr>
                    <w:adjustRightInd w:val="0"/>
                    <w:snapToGrid w:val="0"/>
                    <w:jc w:val="center"/>
                    <w:rPr>
                      <w:rFonts w:hint="default" w:eastAsia="宋体"/>
                      <w:bCs/>
                      <w:color w:val="auto"/>
                      <w:sz w:val="21"/>
                      <w:szCs w:val="21"/>
                      <w:highlight w:val="none"/>
                      <w:u w:val="none" w:color="auto"/>
                      <w:lang w:val="en-US" w:eastAsia="zh-CN"/>
                    </w:rPr>
                  </w:pPr>
                  <w:r>
                    <w:rPr>
                      <w:rFonts w:hint="eastAsia" w:eastAsia="宋体"/>
                      <w:bCs/>
                      <w:color w:val="auto"/>
                      <w:sz w:val="21"/>
                      <w:szCs w:val="21"/>
                      <w:highlight w:val="none"/>
                      <w:u w:val="none" w:color="auto"/>
                      <w:lang w:val="en-US" w:eastAsia="zh-CN"/>
                    </w:rPr>
                    <w:t>非甲烷总烃</w:t>
                  </w:r>
                </w:p>
              </w:tc>
              <w:tc>
                <w:tcPr>
                  <w:tcW w:w="2763" w:type="dxa"/>
                  <w:tcBorders>
                    <w:top w:val="single" w:color="000000" w:sz="8" w:space="0"/>
                    <w:tl2br w:val="nil"/>
                    <w:tr2bl w:val="nil"/>
                  </w:tcBorders>
                  <w:noWrap w:val="0"/>
                  <w:vAlign w:val="center"/>
                </w:tcPr>
                <w:p w14:paraId="1277053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0.12</w:t>
                  </w:r>
                </w:p>
              </w:tc>
            </w:tr>
            <w:tr w14:paraId="4FC1D60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187" w:type="dxa"/>
                  <w:tcBorders>
                    <w:tl2br w:val="nil"/>
                    <w:tr2bl w:val="nil"/>
                  </w:tcBorders>
                  <w:noWrap w:val="0"/>
                  <w:vAlign w:val="center"/>
                </w:tcPr>
                <w:p w14:paraId="037E0C68">
                  <w:pPr>
                    <w:adjustRightInd w:val="0"/>
                    <w:snapToGrid w:val="0"/>
                    <w:jc w:val="center"/>
                    <w:rPr>
                      <w:rFonts w:hint="eastAsia" w:eastAsia="宋体"/>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2</w:t>
                  </w:r>
                </w:p>
              </w:tc>
              <w:tc>
                <w:tcPr>
                  <w:tcW w:w="1961" w:type="dxa"/>
                  <w:tcBorders>
                    <w:tl2br w:val="nil"/>
                    <w:tr2bl w:val="nil"/>
                  </w:tcBorders>
                  <w:noWrap w:val="0"/>
                  <w:vAlign w:val="center"/>
                </w:tcPr>
                <w:p w14:paraId="6ED72C68">
                  <w:pPr>
                    <w:keepNext w:val="0"/>
                    <w:keepLines w:val="0"/>
                    <w:widowControl/>
                    <w:suppressLineNumbers w:val="0"/>
                    <w:jc w:val="center"/>
                    <w:textAlignment w:val="center"/>
                    <w:rPr>
                      <w:rFonts w:hint="default"/>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投料、配料</w:t>
                  </w:r>
                </w:p>
              </w:tc>
              <w:tc>
                <w:tcPr>
                  <w:tcW w:w="2141" w:type="dxa"/>
                  <w:tcBorders>
                    <w:tl2br w:val="nil"/>
                    <w:tr2bl w:val="nil"/>
                  </w:tcBorders>
                  <w:noWrap w:val="0"/>
                  <w:vAlign w:val="center"/>
                </w:tcPr>
                <w:p w14:paraId="08C0BC74">
                  <w:pPr>
                    <w:adjustRightInd w:val="0"/>
                    <w:snapToGrid w:val="0"/>
                    <w:jc w:val="center"/>
                    <w:rPr>
                      <w:rFonts w:hint="default"/>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颗粒物</w:t>
                  </w:r>
                </w:p>
              </w:tc>
              <w:tc>
                <w:tcPr>
                  <w:tcW w:w="2763" w:type="dxa"/>
                  <w:tcBorders>
                    <w:tl2br w:val="nil"/>
                    <w:tr2bl w:val="nil"/>
                  </w:tcBorders>
                  <w:noWrap w:val="0"/>
                  <w:vAlign w:val="center"/>
                </w:tcPr>
                <w:p w14:paraId="696C2D7A">
                  <w:pPr>
                    <w:keepNext w:val="0"/>
                    <w:keepLines w:val="0"/>
                    <w:widowControl/>
                    <w:suppressLineNumbers w:val="0"/>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0.0085</w:t>
                  </w:r>
                </w:p>
              </w:tc>
            </w:tr>
            <w:tr w14:paraId="26EE536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187" w:type="dxa"/>
                  <w:tcBorders>
                    <w:tl2br w:val="nil"/>
                    <w:tr2bl w:val="nil"/>
                  </w:tcBorders>
                  <w:noWrap w:val="0"/>
                  <w:vAlign w:val="center"/>
                </w:tcPr>
                <w:p w14:paraId="015939A9">
                  <w:pPr>
                    <w:adjustRightInd w:val="0"/>
                    <w:snapToGrid w:val="0"/>
                    <w:jc w:val="center"/>
                    <w:rPr>
                      <w:rFonts w:hint="eastAsia" w:eastAsia="宋体"/>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3</w:t>
                  </w:r>
                </w:p>
              </w:tc>
              <w:tc>
                <w:tcPr>
                  <w:tcW w:w="1961" w:type="dxa"/>
                  <w:vMerge w:val="restart"/>
                  <w:tcBorders>
                    <w:tl2br w:val="nil"/>
                    <w:tr2bl w:val="nil"/>
                  </w:tcBorders>
                  <w:noWrap w:val="0"/>
                  <w:vAlign w:val="center"/>
                </w:tcPr>
                <w:p w14:paraId="5D61168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eastAsia="宋体"/>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污水处理设施</w:t>
                  </w:r>
                </w:p>
              </w:tc>
              <w:tc>
                <w:tcPr>
                  <w:tcW w:w="2141" w:type="dxa"/>
                  <w:tcBorders>
                    <w:tl2br w:val="nil"/>
                    <w:tr2bl w:val="nil"/>
                  </w:tcBorders>
                  <w:noWrap w:val="0"/>
                  <w:vAlign w:val="center"/>
                </w:tcPr>
                <w:p w14:paraId="4EE0184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bCs/>
                      <w:color w:val="auto"/>
                      <w:sz w:val="21"/>
                      <w:szCs w:val="21"/>
                      <w:highlight w:val="none"/>
                      <w:u w:val="none" w:color="auto"/>
                      <w:lang w:val="en-US" w:eastAsia="zh-CN"/>
                    </w:rPr>
                  </w:pPr>
                  <w:r>
                    <w:rPr>
                      <w:rFonts w:hint="eastAsia" w:cs="Times New Roman"/>
                      <w:i w:val="0"/>
                      <w:iCs w:val="0"/>
                      <w:color w:val="000000"/>
                      <w:kern w:val="0"/>
                      <w:sz w:val="21"/>
                      <w:szCs w:val="21"/>
                      <w:highlight w:val="none"/>
                      <w:u w:val="none" w:color="auto"/>
                      <w:lang w:val="en-US" w:eastAsia="zh-CN" w:bidi="ar"/>
                    </w:rPr>
                    <w:t>硫化氢</w:t>
                  </w:r>
                </w:p>
              </w:tc>
              <w:tc>
                <w:tcPr>
                  <w:tcW w:w="2763" w:type="dxa"/>
                  <w:tcBorders>
                    <w:tl2br w:val="nil"/>
                    <w:tr2bl w:val="nil"/>
                  </w:tcBorders>
                  <w:noWrap w:val="0"/>
                  <w:vAlign w:val="center"/>
                </w:tcPr>
                <w:p w14:paraId="1D8F7698">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0.0001</w:t>
                  </w:r>
                </w:p>
              </w:tc>
            </w:tr>
            <w:tr w14:paraId="7425DA3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18" w:hRule="atLeast"/>
                <w:jc w:val="center"/>
              </w:trPr>
              <w:tc>
                <w:tcPr>
                  <w:tcW w:w="1187" w:type="dxa"/>
                  <w:tcBorders>
                    <w:tl2br w:val="nil"/>
                    <w:tr2bl w:val="nil"/>
                  </w:tcBorders>
                  <w:noWrap w:val="0"/>
                  <w:vAlign w:val="center"/>
                </w:tcPr>
                <w:p w14:paraId="22DA235D">
                  <w:pPr>
                    <w:adjustRightInd w:val="0"/>
                    <w:snapToGrid w:val="0"/>
                    <w:jc w:val="center"/>
                    <w:rPr>
                      <w:rFonts w:hint="default"/>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4</w:t>
                  </w:r>
                </w:p>
              </w:tc>
              <w:tc>
                <w:tcPr>
                  <w:tcW w:w="1961" w:type="dxa"/>
                  <w:vMerge w:val="continue"/>
                  <w:tcBorders>
                    <w:tl2br w:val="nil"/>
                    <w:tr2bl w:val="nil"/>
                  </w:tcBorders>
                  <w:noWrap w:val="0"/>
                  <w:vAlign w:val="center"/>
                </w:tcPr>
                <w:p w14:paraId="0C4674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eastAsia="宋体"/>
                      <w:bCs/>
                      <w:color w:val="auto"/>
                      <w:sz w:val="21"/>
                      <w:szCs w:val="21"/>
                      <w:highlight w:val="none"/>
                      <w:u w:val="none" w:color="auto"/>
                      <w:lang w:val="en-US" w:eastAsia="zh-CN"/>
                    </w:rPr>
                  </w:pPr>
                </w:p>
              </w:tc>
              <w:tc>
                <w:tcPr>
                  <w:tcW w:w="2141" w:type="dxa"/>
                  <w:tcBorders>
                    <w:tl2br w:val="nil"/>
                    <w:tr2bl w:val="nil"/>
                  </w:tcBorders>
                  <w:noWrap w:val="0"/>
                  <w:vAlign w:val="center"/>
                </w:tcPr>
                <w:p w14:paraId="63FC76B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bCs/>
                      <w:color w:val="auto"/>
                      <w:sz w:val="21"/>
                      <w:szCs w:val="21"/>
                      <w:highlight w:val="none"/>
                      <w:u w:val="none" w:color="auto"/>
                      <w:lang w:val="en-US" w:eastAsia="zh-CN"/>
                    </w:rPr>
                  </w:pPr>
                  <w:r>
                    <w:rPr>
                      <w:rFonts w:hint="eastAsia" w:cs="Times New Roman"/>
                      <w:i w:val="0"/>
                      <w:iCs w:val="0"/>
                      <w:color w:val="000000"/>
                      <w:kern w:val="0"/>
                      <w:sz w:val="21"/>
                      <w:szCs w:val="21"/>
                      <w:highlight w:val="none"/>
                      <w:u w:val="none" w:color="auto"/>
                      <w:lang w:val="en-US" w:eastAsia="zh-CN" w:bidi="ar"/>
                    </w:rPr>
                    <w:t>氨</w:t>
                  </w:r>
                </w:p>
              </w:tc>
              <w:tc>
                <w:tcPr>
                  <w:tcW w:w="2763" w:type="dxa"/>
                  <w:tcBorders>
                    <w:tl2br w:val="nil"/>
                    <w:tr2bl w:val="nil"/>
                  </w:tcBorders>
                  <w:noWrap w:val="0"/>
                  <w:vAlign w:val="center"/>
                </w:tcPr>
                <w:p w14:paraId="6A2698C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0.0039</w:t>
                  </w:r>
                </w:p>
              </w:tc>
            </w:tr>
          </w:tbl>
          <w:p w14:paraId="5DFDE3D7">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b/>
                <w:bCs/>
                <w:color w:val="auto"/>
                <w:sz w:val="24"/>
                <w:highlight w:val="none"/>
                <w:u w:val="none" w:color="auto"/>
                <w:lang w:val="fr-FR"/>
              </w:rPr>
            </w:pPr>
            <w:r>
              <w:rPr>
                <w:rFonts w:hint="eastAsia"/>
                <w:b/>
                <w:bCs/>
                <w:color w:val="auto"/>
                <w:sz w:val="24"/>
                <w:highlight w:val="none"/>
                <w:u w:val="none" w:color="auto"/>
              </w:rPr>
              <w:t>3、大气污染物年排放量核算</w:t>
            </w:r>
          </w:p>
          <w:p w14:paraId="4049164B">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hAnsi="宋体"/>
                <w:b/>
                <w:bCs/>
                <w:sz w:val="24"/>
                <w:u w:val="none" w:color="auto"/>
              </w:rPr>
            </w:pPr>
            <w:r>
              <w:rPr>
                <w:rFonts w:hint="eastAsia" w:hAnsi="宋体"/>
                <w:b/>
                <w:bCs/>
                <w:sz w:val="24"/>
                <w:u w:val="none" w:color="auto"/>
              </w:rPr>
              <w:t>表 4-</w:t>
            </w:r>
            <w:r>
              <w:rPr>
                <w:rFonts w:hint="eastAsia" w:hAnsi="宋体"/>
                <w:b/>
                <w:bCs/>
                <w:sz w:val="24"/>
                <w:u w:val="none" w:color="auto"/>
                <w:lang w:val="en-US" w:eastAsia="zh-CN"/>
              </w:rPr>
              <w:t>8</w:t>
            </w:r>
            <w:r>
              <w:rPr>
                <w:rFonts w:hint="eastAsia" w:hAnsi="宋体"/>
                <w:b/>
                <w:bCs/>
                <w:sz w:val="24"/>
                <w:u w:val="none" w:color="auto"/>
              </w:rPr>
              <w:t xml:space="preserve">    </w:t>
            </w:r>
            <w:r>
              <w:rPr>
                <w:rFonts w:hint="eastAsia" w:ascii="Times New Roman" w:hAnsi="Times New Roman" w:eastAsia="宋体" w:cs="Times New Roman"/>
                <w:b/>
                <w:color w:val="auto"/>
                <w:sz w:val="24"/>
                <w:highlight w:val="none"/>
                <w:u w:val="none" w:color="auto"/>
              </w:rPr>
              <w:t>大气污染物</w:t>
            </w:r>
            <w:r>
              <w:rPr>
                <w:rFonts w:hint="eastAsia" w:ascii="Times New Roman" w:hAnsi="Times New Roman" w:eastAsia="宋体" w:cs="Times New Roman"/>
                <w:b/>
                <w:color w:val="auto"/>
                <w:sz w:val="24"/>
                <w:highlight w:val="none"/>
                <w:u w:val="none" w:color="auto"/>
                <w:lang w:val="en-US" w:eastAsia="zh-CN"/>
              </w:rPr>
              <w:t>年</w:t>
            </w:r>
            <w:r>
              <w:rPr>
                <w:rFonts w:hint="eastAsia" w:ascii="Times New Roman" w:hAnsi="Times New Roman" w:eastAsia="宋体" w:cs="Times New Roman"/>
                <w:b/>
                <w:color w:val="auto"/>
                <w:sz w:val="24"/>
                <w:highlight w:val="none"/>
                <w:u w:val="none" w:color="auto"/>
              </w:rPr>
              <w:t>排放量核算表</w:t>
            </w:r>
          </w:p>
          <w:tbl>
            <w:tblPr>
              <w:tblStyle w:val="32"/>
              <w:tblW w:w="499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596"/>
              <w:gridCol w:w="3270"/>
              <w:gridCol w:w="3032"/>
            </w:tblGrid>
            <w:tr w14:paraId="0788C37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010" w:type="pct"/>
                  <w:tcBorders>
                    <w:bottom w:val="single" w:color="000000" w:sz="8" w:space="0"/>
                  </w:tcBorders>
                  <w:noWrap w:val="0"/>
                  <w:vAlign w:val="center"/>
                </w:tcPr>
                <w:p w14:paraId="53952A2F">
                  <w:pPr>
                    <w:autoSpaceDE w:val="0"/>
                    <w:autoSpaceDN w:val="0"/>
                    <w:adjustRightInd w:val="0"/>
                    <w:snapToGrid w:val="0"/>
                    <w:jc w:val="center"/>
                    <w:rPr>
                      <w:b/>
                      <w:color w:val="auto"/>
                      <w:sz w:val="21"/>
                      <w:szCs w:val="21"/>
                      <w:highlight w:val="none"/>
                      <w:u w:val="none" w:color="auto"/>
                      <w:lang w:val="fr-FR"/>
                    </w:rPr>
                  </w:pPr>
                  <w:r>
                    <w:rPr>
                      <w:b/>
                      <w:color w:val="auto"/>
                      <w:sz w:val="21"/>
                      <w:szCs w:val="21"/>
                      <w:highlight w:val="none"/>
                      <w:u w:val="none" w:color="auto"/>
                    </w:rPr>
                    <w:t>序号</w:t>
                  </w:r>
                </w:p>
              </w:tc>
              <w:tc>
                <w:tcPr>
                  <w:tcW w:w="2070" w:type="pct"/>
                  <w:tcBorders>
                    <w:bottom w:val="single" w:color="000000" w:sz="8" w:space="0"/>
                  </w:tcBorders>
                  <w:noWrap w:val="0"/>
                  <w:vAlign w:val="center"/>
                </w:tcPr>
                <w:p w14:paraId="28AA647C">
                  <w:pPr>
                    <w:autoSpaceDE w:val="0"/>
                    <w:autoSpaceDN w:val="0"/>
                    <w:adjustRightInd w:val="0"/>
                    <w:snapToGrid w:val="0"/>
                    <w:jc w:val="center"/>
                    <w:rPr>
                      <w:b/>
                      <w:color w:val="auto"/>
                      <w:sz w:val="21"/>
                      <w:szCs w:val="21"/>
                      <w:highlight w:val="none"/>
                      <w:u w:val="none" w:color="auto"/>
                      <w:lang w:val="fr-FR"/>
                    </w:rPr>
                  </w:pPr>
                  <w:r>
                    <w:rPr>
                      <w:b/>
                      <w:color w:val="auto"/>
                      <w:sz w:val="21"/>
                      <w:szCs w:val="21"/>
                      <w:highlight w:val="none"/>
                      <w:u w:val="none" w:color="auto"/>
                    </w:rPr>
                    <w:t>污染物</w:t>
                  </w:r>
                </w:p>
              </w:tc>
              <w:tc>
                <w:tcPr>
                  <w:tcW w:w="1919" w:type="pct"/>
                  <w:tcBorders>
                    <w:bottom w:val="single" w:color="000000" w:sz="8" w:space="0"/>
                  </w:tcBorders>
                  <w:noWrap w:val="0"/>
                  <w:vAlign w:val="center"/>
                </w:tcPr>
                <w:p w14:paraId="53F3DF4A">
                  <w:pPr>
                    <w:autoSpaceDE w:val="0"/>
                    <w:autoSpaceDN w:val="0"/>
                    <w:adjustRightInd w:val="0"/>
                    <w:snapToGrid w:val="0"/>
                    <w:jc w:val="center"/>
                    <w:rPr>
                      <w:b/>
                      <w:color w:val="auto"/>
                      <w:sz w:val="21"/>
                      <w:szCs w:val="21"/>
                      <w:highlight w:val="none"/>
                      <w:u w:val="none" w:color="auto"/>
                      <w:lang w:val="fr-FR"/>
                    </w:rPr>
                  </w:pPr>
                  <w:r>
                    <w:rPr>
                      <w:b/>
                      <w:color w:val="auto"/>
                      <w:sz w:val="21"/>
                      <w:szCs w:val="21"/>
                      <w:highlight w:val="none"/>
                      <w:u w:val="none" w:color="auto"/>
                    </w:rPr>
                    <w:t>年排放量</w:t>
                  </w:r>
                  <w:r>
                    <w:rPr>
                      <w:b/>
                      <w:color w:val="auto"/>
                      <w:sz w:val="21"/>
                      <w:szCs w:val="21"/>
                      <w:highlight w:val="none"/>
                      <w:u w:val="none" w:color="auto"/>
                      <w:lang w:val="fr-FR"/>
                    </w:rPr>
                    <w:t>/（t/a）</w:t>
                  </w:r>
                </w:p>
              </w:tc>
            </w:tr>
            <w:tr w14:paraId="7B0E3CD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010" w:type="pct"/>
                  <w:tcBorders>
                    <w:top w:val="single" w:color="000000" w:sz="8" w:space="0"/>
                  </w:tcBorders>
                  <w:noWrap w:val="0"/>
                  <w:vAlign w:val="center"/>
                </w:tcPr>
                <w:p w14:paraId="0233E2D3">
                  <w:pPr>
                    <w:adjustRightInd w:val="0"/>
                    <w:snapToGrid w:val="0"/>
                    <w:jc w:val="center"/>
                    <w:rPr>
                      <w:rFonts w:hint="eastAsia"/>
                      <w:bCs/>
                      <w:color w:val="auto"/>
                      <w:sz w:val="21"/>
                      <w:szCs w:val="21"/>
                      <w:highlight w:val="none"/>
                      <w:u w:val="none" w:color="auto"/>
                      <w:lang w:val="fr-FR"/>
                    </w:rPr>
                  </w:pPr>
                  <w:r>
                    <w:rPr>
                      <w:rFonts w:hint="eastAsia"/>
                      <w:bCs/>
                      <w:color w:val="auto"/>
                      <w:sz w:val="21"/>
                      <w:szCs w:val="21"/>
                      <w:highlight w:val="none"/>
                      <w:u w:val="none" w:color="auto"/>
                      <w:lang w:val="fr-FR"/>
                    </w:rPr>
                    <w:t>1</w:t>
                  </w:r>
                </w:p>
              </w:tc>
              <w:tc>
                <w:tcPr>
                  <w:tcW w:w="2070" w:type="pct"/>
                  <w:tcBorders>
                    <w:top w:val="single" w:color="000000" w:sz="8" w:space="0"/>
                  </w:tcBorders>
                  <w:noWrap w:val="0"/>
                  <w:vAlign w:val="center"/>
                </w:tcPr>
                <w:p w14:paraId="4C4DBBB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eastAsia="宋体"/>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非甲烷总烃</w:t>
                  </w:r>
                </w:p>
              </w:tc>
              <w:tc>
                <w:tcPr>
                  <w:tcW w:w="1919" w:type="pct"/>
                  <w:tcBorders>
                    <w:top w:val="single" w:color="000000" w:sz="8" w:space="0"/>
                  </w:tcBorders>
                  <w:noWrap w:val="0"/>
                  <w:vAlign w:val="center"/>
                </w:tcPr>
                <w:p w14:paraId="78A98C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highlight w:val="none"/>
                      <w:u w:val="none" w:color="auto"/>
                      <w:lang w:val="en-US" w:eastAsia="zh-CN" w:bidi="ar"/>
                    </w:rPr>
                  </w:pPr>
                  <w:r>
                    <w:rPr>
                      <w:rFonts w:hint="eastAsia" w:cs="Times New Roman"/>
                      <w:i w:val="0"/>
                      <w:iCs w:val="0"/>
                      <w:color w:val="000000"/>
                      <w:kern w:val="0"/>
                      <w:sz w:val="21"/>
                      <w:szCs w:val="21"/>
                      <w:highlight w:val="none"/>
                      <w:u w:val="none" w:color="auto"/>
                      <w:lang w:val="en-US" w:eastAsia="zh-CN" w:bidi="ar"/>
                    </w:rPr>
                    <w:t>1.88</w:t>
                  </w:r>
                </w:p>
              </w:tc>
            </w:tr>
            <w:tr w14:paraId="75EC327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2" w:hRule="exact"/>
                <w:jc w:val="center"/>
              </w:trPr>
              <w:tc>
                <w:tcPr>
                  <w:tcW w:w="1010" w:type="pct"/>
                  <w:noWrap w:val="0"/>
                  <w:vAlign w:val="center"/>
                </w:tcPr>
                <w:p w14:paraId="682CE85E">
                  <w:pPr>
                    <w:adjustRightInd w:val="0"/>
                    <w:snapToGrid w:val="0"/>
                    <w:jc w:val="center"/>
                    <w:rPr>
                      <w:rFonts w:hint="eastAsia"/>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2</w:t>
                  </w:r>
                </w:p>
              </w:tc>
              <w:tc>
                <w:tcPr>
                  <w:tcW w:w="2070" w:type="pct"/>
                  <w:noWrap w:val="0"/>
                  <w:vAlign w:val="center"/>
                </w:tcPr>
                <w:p w14:paraId="0ABBD2D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highlight w:val="none"/>
                      <w:u w:val="none" w:color="auto"/>
                      <w:lang w:val="en-US" w:eastAsia="zh-CN" w:bidi="ar"/>
                    </w:rPr>
                  </w:pPr>
                  <w:r>
                    <w:rPr>
                      <w:rFonts w:hint="eastAsia" w:ascii="Times New Roman" w:hAnsi="Times New Roman" w:eastAsia="宋体" w:cs="Times New Roman"/>
                      <w:i w:val="0"/>
                      <w:iCs w:val="0"/>
                      <w:color w:val="000000"/>
                      <w:kern w:val="0"/>
                      <w:sz w:val="21"/>
                      <w:szCs w:val="21"/>
                      <w:highlight w:val="none"/>
                      <w:u w:val="none" w:color="auto"/>
                      <w:lang w:val="en-US" w:eastAsia="zh-CN" w:bidi="ar"/>
                    </w:rPr>
                    <w:t>颗粒物</w:t>
                  </w:r>
                </w:p>
              </w:tc>
              <w:tc>
                <w:tcPr>
                  <w:tcW w:w="1919" w:type="pct"/>
                  <w:noWrap w:val="0"/>
                  <w:vAlign w:val="center"/>
                </w:tcPr>
                <w:p w14:paraId="1D7EBB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highlight w:val="none"/>
                      <w:u w:val="none" w:color="auto"/>
                      <w:lang w:val="en-US" w:eastAsia="zh-CN" w:bidi="ar"/>
                    </w:rPr>
                  </w:pPr>
                  <w:r>
                    <w:rPr>
                      <w:rFonts w:hint="eastAsia" w:cs="Times New Roman"/>
                      <w:color w:val="auto"/>
                      <w:sz w:val="21"/>
                      <w:szCs w:val="21"/>
                      <w:highlight w:val="none"/>
                      <w:u w:val="none" w:color="auto"/>
                      <w:lang w:val="en-US" w:eastAsia="zh-CN"/>
                    </w:rPr>
                    <w:t>0.0293</w:t>
                  </w:r>
                </w:p>
              </w:tc>
            </w:tr>
            <w:tr w14:paraId="28D4693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1010" w:type="pct"/>
                  <w:noWrap w:val="0"/>
                  <w:vAlign w:val="center"/>
                </w:tcPr>
                <w:p w14:paraId="3AA4A734">
                  <w:pPr>
                    <w:adjustRightInd w:val="0"/>
                    <w:snapToGrid w:val="0"/>
                    <w:jc w:val="center"/>
                    <w:rPr>
                      <w:rFonts w:hint="default"/>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3</w:t>
                  </w:r>
                </w:p>
              </w:tc>
              <w:tc>
                <w:tcPr>
                  <w:tcW w:w="2070" w:type="pct"/>
                  <w:noWrap w:val="0"/>
                  <w:vAlign w:val="center"/>
                </w:tcPr>
                <w:p w14:paraId="6EF27FB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highlight w:val="none"/>
                      <w:u w:val="none" w:color="auto"/>
                      <w:lang w:val="en-US" w:eastAsia="zh-CN" w:bidi="ar"/>
                    </w:rPr>
                  </w:pPr>
                  <w:r>
                    <w:rPr>
                      <w:rFonts w:hint="eastAsia" w:cs="Times New Roman"/>
                      <w:i w:val="0"/>
                      <w:iCs w:val="0"/>
                      <w:color w:val="000000"/>
                      <w:kern w:val="0"/>
                      <w:sz w:val="21"/>
                      <w:szCs w:val="21"/>
                      <w:highlight w:val="none"/>
                      <w:u w:val="none" w:color="auto"/>
                      <w:lang w:val="en-US" w:eastAsia="zh-CN" w:bidi="ar"/>
                    </w:rPr>
                    <w:t>硫化氢</w:t>
                  </w:r>
                </w:p>
              </w:tc>
              <w:tc>
                <w:tcPr>
                  <w:tcW w:w="3032" w:type="dxa"/>
                  <w:noWrap w:val="0"/>
                  <w:vAlign w:val="center"/>
                </w:tcPr>
                <w:p w14:paraId="1C1DC5F3">
                  <w:pPr>
                    <w:keepNext w:val="0"/>
                    <w:keepLines w:val="0"/>
                    <w:widowControl/>
                    <w:suppressLineNumbers w:val="0"/>
                    <w:jc w:val="center"/>
                    <w:textAlignment w:val="center"/>
                    <w:rPr>
                      <w:rFonts w:hint="default"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0.000</w:t>
                  </w:r>
                  <w:r>
                    <w:rPr>
                      <w:rFonts w:hint="eastAsia" w:cs="Times New Roman"/>
                      <w:color w:val="auto"/>
                      <w:sz w:val="21"/>
                      <w:szCs w:val="21"/>
                      <w:highlight w:val="none"/>
                      <w:u w:val="none" w:color="auto"/>
                      <w:lang w:val="en-US" w:eastAsia="zh-CN"/>
                    </w:rPr>
                    <w:t>2</w:t>
                  </w:r>
                </w:p>
              </w:tc>
            </w:tr>
            <w:tr w14:paraId="5812A72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1010" w:type="pct"/>
                  <w:noWrap w:val="0"/>
                  <w:vAlign w:val="center"/>
                </w:tcPr>
                <w:p w14:paraId="6AA28929">
                  <w:pPr>
                    <w:adjustRightInd w:val="0"/>
                    <w:snapToGrid w:val="0"/>
                    <w:jc w:val="center"/>
                    <w:rPr>
                      <w:rFonts w:hint="default"/>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4</w:t>
                  </w:r>
                </w:p>
              </w:tc>
              <w:tc>
                <w:tcPr>
                  <w:tcW w:w="2070" w:type="pct"/>
                  <w:noWrap w:val="0"/>
                  <w:vAlign w:val="center"/>
                </w:tcPr>
                <w:p w14:paraId="65D4A11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000000"/>
                      <w:kern w:val="0"/>
                      <w:sz w:val="21"/>
                      <w:szCs w:val="21"/>
                      <w:highlight w:val="none"/>
                      <w:u w:val="none" w:color="auto"/>
                      <w:lang w:val="en-US" w:eastAsia="zh-CN" w:bidi="ar"/>
                    </w:rPr>
                  </w:pPr>
                  <w:r>
                    <w:rPr>
                      <w:rFonts w:hint="eastAsia" w:cs="Times New Roman"/>
                      <w:i w:val="0"/>
                      <w:iCs w:val="0"/>
                      <w:color w:val="000000"/>
                      <w:kern w:val="0"/>
                      <w:sz w:val="21"/>
                      <w:szCs w:val="21"/>
                      <w:highlight w:val="none"/>
                      <w:u w:val="none" w:color="auto"/>
                      <w:lang w:val="en-US" w:eastAsia="zh-CN" w:bidi="ar"/>
                    </w:rPr>
                    <w:t>氨</w:t>
                  </w:r>
                </w:p>
              </w:tc>
              <w:tc>
                <w:tcPr>
                  <w:tcW w:w="3032" w:type="dxa"/>
                  <w:noWrap w:val="0"/>
                  <w:vAlign w:val="center"/>
                </w:tcPr>
                <w:p w14:paraId="4F5C625A">
                  <w:pPr>
                    <w:keepNext w:val="0"/>
                    <w:keepLines w:val="0"/>
                    <w:widowControl/>
                    <w:suppressLineNumbers w:val="0"/>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0.0113</w:t>
                  </w:r>
                </w:p>
              </w:tc>
            </w:tr>
          </w:tbl>
          <w:p w14:paraId="4CE9874F">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default" w:eastAsia="宋体"/>
                <w:b/>
                <w:sz w:val="24"/>
                <w:u w:val="none" w:color="auto"/>
                <w:lang w:val="en-US" w:eastAsia="zh-CN"/>
              </w:rPr>
            </w:pPr>
            <w:r>
              <w:rPr>
                <w:rFonts w:hint="eastAsia"/>
                <w:b/>
                <w:sz w:val="24"/>
                <w:u w:val="none" w:color="auto"/>
                <w:lang w:eastAsia="zh-CN"/>
              </w:rPr>
              <w:t>（</w:t>
            </w:r>
            <w:r>
              <w:rPr>
                <w:rFonts w:hint="eastAsia"/>
                <w:b/>
                <w:sz w:val="24"/>
                <w:u w:val="none" w:color="auto"/>
                <w:lang w:val="en-US" w:eastAsia="zh-CN"/>
              </w:rPr>
              <w:t>六</w:t>
            </w:r>
            <w:r>
              <w:rPr>
                <w:rFonts w:hint="eastAsia"/>
                <w:b/>
                <w:sz w:val="24"/>
                <w:u w:val="none" w:color="auto"/>
                <w:lang w:eastAsia="zh-CN"/>
              </w:rPr>
              <w:t>）</w:t>
            </w:r>
            <w:r>
              <w:rPr>
                <w:rFonts w:hint="eastAsia"/>
                <w:b/>
                <w:sz w:val="24"/>
                <w:u w:val="none" w:color="auto"/>
                <w:lang w:val="en-US" w:eastAsia="zh-CN"/>
              </w:rPr>
              <w:t>非正常工况分析</w:t>
            </w:r>
          </w:p>
          <w:p w14:paraId="0D9ACAE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both"/>
              <w:textAlignment w:val="auto"/>
              <w:rPr>
                <w:rFonts w:hint="eastAsia" w:ascii="Times New Roman" w:hAnsi="Times New Roman" w:eastAsia="宋体" w:cs="Times New Roman"/>
                <w:b w:val="0"/>
                <w:bCs w:val="0"/>
                <w:sz w:val="24"/>
                <w:szCs w:val="24"/>
                <w:u w:val="none" w:color="auto"/>
                <w:lang w:val="en-US" w:eastAsia="zh-CN"/>
              </w:rPr>
            </w:pPr>
            <w:r>
              <w:rPr>
                <w:rFonts w:hint="eastAsia" w:ascii="Times New Roman" w:hAnsi="Times New Roman" w:eastAsia="宋体" w:cs="Times New Roman"/>
                <w:b w:val="0"/>
                <w:bCs w:val="0"/>
                <w:sz w:val="24"/>
                <w:szCs w:val="24"/>
                <w:u w:val="none" w:color="auto"/>
                <w:lang w:val="en-US" w:eastAsia="zh-CN"/>
              </w:rPr>
              <w:t>非正常工况指生产运行阶段的检修、操作不正常或设备故障等，造成的生产异常、污染物排放异常情况。本次以处理设施完全失效为非正常工况，则非正常工况下排放情况如下：</w:t>
            </w:r>
          </w:p>
          <w:p w14:paraId="72DC38E8">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center"/>
              <w:textAlignment w:val="auto"/>
              <w:rPr>
                <w:b/>
                <w:bCs/>
                <w:kern w:val="0"/>
                <w:sz w:val="24"/>
                <w:u w:val="none" w:color="auto"/>
                <w:lang w:val="zh-CN"/>
              </w:rPr>
            </w:pPr>
            <w:r>
              <w:rPr>
                <w:rFonts w:hint="eastAsia"/>
                <w:b/>
                <w:color w:val="auto"/>
                <w:sz w:val="24"/>
                <w:highlight w:val="none"/>
                <w:u w:val="none" w:color="auto"/>
              </w:rPr>
              <w:t>表</w:t>
            </w:r>
            <w:r>
              <w:rPr>
                <w:rFonts w:hint="eastAsia"/>
                <w:b/>
                <w:color w:val="auto"/>
                <w:sz w:val="24"/>
                <w:highlight w:val="none"/>
                <w:u w:val="none" w:color="auto"/>
                <w:lang w:val="fr-FR"/>
              </w:rPr>
              <w:t>4-</w:t>
            </w:r>
            <w:r>
              <w:rPr>
                <w:rFonts w:hint="eastAsia"/>
                <w:b/>
                <w:color w:val="auto"/>
                <w:sz w:val="24"/>
                <w:highlight w:val="none"/>
                <w:u w:val="none" w:color="auto"/>
                <w:lang w:val="en-US" w:eastAsia="zh-CN"/>
              </w:rPr>
              <w:t xml:space="preserve">9  </w:t>
            </w:r>
            <w:r>
              <w:rPr>
                <w:rFonts w:hint="eastAsia"/>
                <w:b/>
                <w:color w:val="auto"/>
                <w:sz w:val="24"/>
                <w:highlight w:val="none"/>
                <w:u w:val="none" w:color="auto"/>
                <w:lang w:val="fr-FR"/>
              </w:rPr>
              <w:t xml:space="preserve">  </w:t>
            </w:r>
            <w:r>
              <w:rPr>
                <w:b/>
                <w:bCs/>
                <w:kern w:val="0"/>
                <w:sz w:val="24"/>
                <w:u w:val="none" w:color="auto"/>
                <w:lang w:val="zh-CN"/>
              </w:rPr>
              <w:t>非正常排放污染物参数一览表</w:t>
            </w:r>
          </w:p>
          <w:tbl>
            <w:tblPr>
              <w:tblStyle w:val="32"/>
              <w:tblW w:w="4991"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002"/>
              <w:gridCol w:w="981"/>
              <w:gridCol w:w="1193"/>
              <w:gridCol w:w="988"/>
              <w:gridCol w:w="814"/>
              <w:gridCol w:w="756"/>
              <w:gridCol w:w="1210"/>
            </w:tblGrid>
            <w:tr w14:paraId="159BA97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598" w:type="pct"/>
                  <w:tcBorders>
                    <w:bottom w:val="single" w:color="000000" w:sz="8" w:space="0"/>
                    <w:tl2br w:val="nil"/>
                    <w:tr2bl w:val="nil"/>
                  </w:tcBorders>
                  <w:noWrap w:val="0"/>
                  <w:vAlign w:val="center"/>
                </w:tcPr>
                <w:p w14:paraId="4D007D49">
                  <w:pPr>
                    <w:adjustRightInd w:val="0"/>
                    <w:snapToGrid w:val="0"/>
                    <w:jc w:val="center"/>
                    <w:rPr>
                      <w:b/>
                      <w:bCs/>
                      <w:sz w:val="21"/>
                      <w:szCs w:val="21"/>
                      <w:u w:val="none" w:color="auto"/>
                    </w:rPr>
                  </w:pPr>
                  <w:r>
                    <w:rPr>
                      <w:b/>
                      <w:bCs/>
                      <w:sz w:val="21"/>
                      <w:szCs w:val="21"/>
                      <w:u w:val="none" w:color="auto"/>
                    </w:rPr>
                    <w:t>非正常排放源</w:t>
                  </w:r>
                </w:p>
              </w:tc>
              <w:tc>
                <w:tcPr>
                  <w:tcW w:w="635" w:type="pct"/>
                  <w:tcBorders>
                    <w:bottom w:val="single" w:color="000000" w:sz="8" w:space="0"/>
                    <w:tl2br w:val="nil"/>
                    <w:tr2bl w:val="nil"/>
                  </w:tcBorders>
                  <w:noWrap w:val="0"/>
                  <w:vAlign w:val="center"/>
                </w:tcPr>
                <w:p w14:paraId="7798FDA0">
                  <w:pPr>
                    <w:adjustRightInd w:val="0"/>
                    <w:snapToGrid w:val="0"/>
                    <w:jc w:val="center"/>
                    <w:rPr>
                      <w:b/>
                      <w:bCs/>
                      <w:sz w:val="21"/>
                      <w:szCs w:val="21"/>
                      <w:u w:val="none" w:color="auto"/>
                    </w:rPr>
                  </w:pPr>
                  <w:r>
                    <w:rPr>
                      <w:b/>
                      <w:bCs/>
                      <w:sz w:val="21"/>
                      <w:szCs w:val="21"/>
                      <w:u w:val="none" w:color="auto"/>
                    </w:rPr>
                    <w:t>非正常排放原因</w:t>
                  </w:r>
                </w:p>
              </w:tc>
              <w:tc>
                <w:tcPr>
                  <w:tcW w:w="621" w:type="pct"/>
                  <w:tcBorders>
                    <w:bottom w:val="single" w:color="000000" w:sz="8" w:space="0"/>
                    <w:tl2br w:val="nil"/>
                    <w:tr2bl w:val="nil"/>
                  </w:tcBorders>
                  <w:noWrap w:val="0"/>
                  <w:vAlign w:val="center"/>
                </w:tcPr>
                <w:p w14:paraId="02AAAB30">
                  <w:pPr>
                    <w:adjustRightInd w:val="0"/>
                    <w:snapToGrid w:val="0"/>
                    <w:jc w:val="center"/>
                    <w:rPr>
                      <w:b/>
                      <w:bCs/>
                      <w:sz w:val="21"/>
                      <w:szCs w:val="21"/>
                      <w:u w:val="none" w:color="auto"/>
                    </w:rPr>
                  </w:pPr>
                  <w:r>
                    <w:rPr>
                      <w:b/>
                      <w:bCs/>
                      <w:sz w:val="21"/>
                      <w:szCs w:val="21"/>
                      <w:u w:val="none" w:color="auto"/>
                    </w:rPr>
                    <w:t>污染物</w:t>
                  </w:r>
                </w:p>
              </w:tc>
              <w:tc>
                <w:tcPr>
                  <w:tcW w:w="756" w:type="pct"/>
                  <w:tcBorders>
                    <w:bottom w:val="single" w:color="000000" w:sz="8" w:space="0"/>
                    <w:tl2br w:val="nil"/>
                    <w:tr2bl w:val="nil"/>
                  </w:tcBorders>
                  <w:noWrap w:val="0"/>
                  <w:vAlign w:val="center"/>
                </w:tcPr>
                <w:p w14:paraId="1FB9AC15">
                  <w:pPr>
                    <w:adjustRightInd w:val="0"/>
                    <w:snapToGrid w:val="0"/>
                    <w:jc w:val="center"/>
                    <w:rPr>
                      <w:b/>
                      <w:bCs/>
                      <w:sz w:val="21"/>
                      <w:szCs w:val="21"/>
                      <w:u w:val="none" w:color="auto"/>
                    </w:rPr>
                  </w:pPr>
                  <w:r>
                    <w:rPr>
                      <w:b/>
                      <w:bCs/>
                      <w:sz w:val="21"/>
                      <w:szCs w:val="21"/>
                      <w:u w:val="none" w:color="auto"/>
                    </w:rPr>
                    <w:t>非正常排放浓度（mg/m</w:t>
                  </w:r>
                  <w:r>
                    <w:rPr>
                      <w:b/>
                      <w:bCs/>
                      <w:sz w:val="21"/>
                      <w:szCs w:val="21"/>
                      <w:u w:val="none" w:color="auto"/>
                      <w:vertAlign w:val="superscript"/>
                    </w:rPr>
                    <w:t>3</w:t>
                  </w:r>
                  <w:r>
                    <w:rPr>
                      <w:b/>
                      <w:bCs/>
                      <w:sz w:val="21"/>
                      <w:szCs w:val="21"/>
                      <w:u w:val="none" w:color="auto"/>
                    </w:rPr>
                    <w:t>）</w:t>
                  </w:r>
                </w:p>
              </w:tc>
              <w:tc>
                <w:tcPr>
                  <w:tcW w:w="626" w:type="pct"/>
                  <w:tcBorders>
                    <w:bottom w:val="single" w:color="000000" w:sz="8" w:space="0"/>
                    <w:tl2br w:val="nil"/>
                    <w:tr2bl w:val="nil"/>
                  </w:tcBorders>
                  <w:noWrap w:val="0"/>
                  <w:vAlign w:val="center"/>
                </w:tcPr>
                <w:p w14:paraId="5FAF7016">
                  <w:pPr>
                    <w:adjustRightInd w:val="0"/>
                    <w:snapToGrid w:val="0"/>
                    <w:jc w:val="center"/>
                    <w:rPr>
                      <w:b/>
                      <w:bCs/>
                      <w:sz w:val="21"/>
                      <w:szCs w:val="21"/>
                      <w:u w:val="none" w:color="auto"/>
                    </w:rPr>
                  </w:pPr>
                  <w:r>
                    <w:rPr>
                      <w:b/>
                      <w:bCs/>
                      <w:sz w:val="21"/>
                      <w:szCs w:val="21"/>
                      <w:u w:val="none" w:color="auto"/>
                    </w:rPr>
                    <w:t>非正常排放速率（kg/h）</w:t>
                  </w:r>
                </w:p>
              </w:tc>
              <w:tc>
                <w:tcPr>
                  <w:tcW w:w="515" w:type="pct"/>
                  <w:tcBorders>
                    <w:bottom w:val="single" w:color="000000" w:sz="8" w:space="0"/>
                    <w:tl2br w:val="nil"/>
                    <w:tr2bl w:val="nil"/>
                  </w:tcBorders>
                  <w:noWrap w:val="0"/>
                  <w:vAlign w:val="center"/>
                </w:tcPr>
                <w:p w14:paraId="677312E5">
                  <w:pPr>
                    <w:adjustRightInd w:val="0"/>
                    <w:snapToGrid w:val="0"/>
                    <w:jc w:val="center"/>
                    <w:rPr>
                      <w:b/>
                      <w:bCs/>
                      <w:sz w:val="21"/>
                      <w:szCs w:val="21"/>
                      <w:u w:val="none" w:color="auto"/>
                    </w:rPr>
                  </w:pPr>
                  <w:r>
                    <w:rPr>
                      <w:b/>
                      <w:bCs/>
                      <w:sz w:val="21"/>
                      <w:szCs w:val="21"/>
                      <w:u w:val="none" w:color="auto"/>
                    </w:rPr>
                    <w:t>单次持续时间/h</w:t>
                  </w:r>
                </w:p>
              </w:tc>
              <w:tc>
                <w:tcPr>
                  <w:tcW w:w="479" w:type="pct"/>
                  <w:tcBorders>
                    <w:bottom w:val="single" w:color="000000" w:sz="8" w:space="0"/>
                    <w:tl2br w:val="nil"/>
                    <w:tr2bl w:val="nil"/>
                  </w:tcBorders>
                  <w:noWrap w:val="0"/>
                  <w:vAlign w:val="center"/>
                </w:tcPr>
                <w:p w14:paraId="65F72188">
                  <w:pPr>
                    <w:adjustRightInd w:val="0"/>
                    <w:snapToGrid w:val="0"/>
                    <w:jc w:val="center"/>
                    <w:rPr>
                      <w:b/>
                      <w:bCs/>
                      <w:sz w:val="21"/>
                      <w:szCs w:val="21"/>
                      <w:u w:val="none" w:color="auto"/>
                    </w:rPr>
                  </w:pPr>
                  <w:r>
                    <w:rPr>
                      <w:b/>
                      <w:bCs/>
                      <w:sz w:val="21"/>
                      <w:szCs w:val="21"/>
                      <w:u w:val="none" w:color="auto"/>
                    </w:rPr>
                    <w:t>年发生频次/年</w:t>
                  </w:r>
                </w:p>
              </w:tc>
              <w:tc>
                <w:tcPr>
                  <w:tcW w:w="766" w:type="pct"/>
                  <w:tcBorders>
                    <w:bottom w:val="single" w:color="000000" w:sz="8" w:space="0"/>
                    <w:tl2br w:val="nil"/>
                    <w:tr2bl w:val="nil"/>
                  </w:tcBorders>
                  <w:noWrap w:val="0"/>
                  <w:vAlign w:val="center"/>
                </w:tcPr>
                <w:p w14:paraId="25A40848">
                  <w:pPr>
                    <w:adjustRightInd w:val="0"/>
                    <w:snapToGrid w:val="0"/>
                    <w:jc w:val="center"/>
                    <w:rPr>
                      <w:b/>
                      <w:bCs/>
                      <w:sz w:val="21"/>
                      <w:szCs w:val="21"/>
                      <w:u w:val="none" w:color="auto"/>
                    </w:rPr>
                  </w:pPr>
                  <w:r>
                    <w:rPr>
                      <w:b/>
                      <w:bCs/>
                      <w:sz w:val="21"/>
                      <w:szCs w:val="21"/>
                      <w:u w:val="none" w:color="auto"/>
                    </w:rPr>
                    <w:t>应对措施</w:t>
                  </w:r>
                </w:p>
              </w:tc>
            </w:tr>
            <w:tr w14:paraId="2DE6651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8" w:type="pct"/>
                  <w:tcBorders>
                    <w:top w:val="single" w:color="000000" w:sz="8" w:space="0"/>
                    <w:bottom w:val="single" w:color="auto" w:sz="4" w:space="0"/>
                    <w:tl2br w:val="nil"/>
                    <w:tr2bl w:val="nil"/>
                  </w:tcBorders>
                  <w:noWrap w:val="0"/>
                  <w:vAlign w:val="center"/>
                </w:tcPr>
                <w:p w14:paraId="2DCBA66D">
                  <w:pPr>
                    <w:adjustRightInd w:val="0"/>
                    <w:snapToGrid w:val="0"/>
                    <w:jc w:val="center"/>
                    <w:rPr>
                      <w:rFonts w:hint="eastAsia"/>
                      <w:sz w:val="21"/>
                      <w:szCs w:val="21"/>
                      <w:u w:val="none" w:color="auto"/>
                    </w:rPr>
                  </w:pPr>
                  <w:r>
                    <w:rPr>
                      <w:rFonts w:hint="eastAsia"/>
                      <w:sz w:val="21"/>
                      <w:szCs w:val="21"/>
                      <w:u w:val="none" w:color="auto"/>
                    </w:rPr>
                    <w:t>DA00</w:t>
                  </w:r>
                  <w:r>
                    <w:rPr>
                      <w:rFonts w:hint="eastAsia"/>
                      <w:sz w:val="21"/>
                      <w:szCs w:val="21"/>
                      <w:u w:val="none" w:color="auto"/>
                      <w:lang w:val="en-US" w:eastAsia="zh-CN"/>
                    </w:rPr>
                    <w:t>1</w:t>
                  </w:r>
                </w:p>
              </w:tc>
              <w:tc>
                <w:tcPr>
                  <w:tcW w:w="635" w:type="pct"/>
                  <w:tcBorders>
                    <w:top w:val="single" w:color="000000" w:sz="8" w:space="0"/>
                    <w:bottom w:val="single" w:color="auto" w:sz="4" w:space="0"/>
                    <w:tl2br w:val="nil"/>
                    <w:tr2bl w:val="nil"/>
                  </w:tcBorders>
                  <w:noWrap w:val="0"/>
                  <w:vAlign w:val="center"/>
                </w:tcPr>
                <w:p w14:paraId="144C601D">
                  <w:pPr>
                    <w:adjustRightInd w:val="0"/>
                    <w:snapToGrid w:val="0"/>
                    <w:jc w:val="center"/>
                    <w:rPr>
                      <w:sz w:val="21"/>
                      <w:szCs w:val="21"/>
                      <w:u w:val="none" w:color="auto"/>
                    </w:rPr>
                  </w:pPr>
                  <w:r>
                    <w:rPr>
                      <w:sz w:val="21"/>
                      <w:szCs w:val="21"/>
                      <w:u w:val="none" w:color="auto"/>
                    </w:rPr>
                    <w:t>处理设施失效</w:t>
                  </w:r>
                </w:p>
              </w:tc>
              <w:tc>
                <w:tcPr>
                  <w:tcW w:w="621" w:type="pct"/>
                  <w:tcBorders>
                    <w:top w:val="single" w:color="000000" w:sz="8" w:space="0"/>
                    <w:bottom w:val="single" w:color="auto" w:sz="4" w:space="0"/>
                    <w:tl2br w:val="nil"/>
                    <w:tr2bl w:val="nil"/>
                  </w:tcBorders>
                  <w:noWrap w:val="0"/>
                  <w:vAlign w:val="center"/>
                </w:tcPr>
                <w:p w14:paraId="2683F2D7">
                  <w:pPr>
                    <w:jc w:val="center"/>
                    <w:rPr>
                      <w:rFonts w:hint="default"/>
                      <w:sz w:val="21"/>
                      <w:szCs w:val="21"/>
                      <w:u w:val="none" w:color="auto"/>
                      <w:lang w:val="en-US" w:eastAsia="zh-CN"/>
                    </w:rPr>
                  </w:pPr>
                  <w:r>
                    <w:rPr>
                      <w:rFonts w:hint="eastAsia"/>
                      <w:sz w:val="21"/>
                      <w:szCs w:val="21"/>
                      <w:u w:val="none" w:color="auto"/>
                      <w:lang w:val="en-US" w:eastAsia="zh-CN"/>
                    </w:rPr>
                    <w:t>非甲烷总烃</w:t>
                  </w:r>
                </w:p>
              </w:tc>
              <w:tc>
                <w:tcPr>
                  <w:tcW w:w="756" w:type="pct"/>
                  <w:tcBorders>
                    <w:top w:val="single" w:color="000000" w:sz="8" w:space="0"/>
                    <w:bottom w:val="single" w:color="auto" w:sz="4" w:space="0"/>
                    <w:tl2br w:val="nil"/>
                    <w:tr2bl w:val="nil"/>
                  </w:tcBorders>
                  <w:noWrap w:val="0"/>
                  <w:vAlign w:val="center"/>
                </w:tcPr>
                <w:p w14:paraId="631F0F8A">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sz w:val="21"/>
                      <w:szCs w:val="21"/>
                      <w:highlight w:val="none"/>
                      <w:u w:val="none" w:color="auto"/>
                      <w:lang w:val="en-US" w:eastAsia="zh-CN"/>
                    </w:rPr>
                  </w:pPr>
                  <w:r>
                    <w:rPr>
                      <w:rFonts w:hint="eastAsia" w:ascii="Times New Roman" w:cs="Times New Roman"/>
                      <w:b w:val="0"/>
                      <w:bCs/>
                      <w:color w:val="auto"/>
                      <w:sz w:val="21"/>
                      <w:szCs w:val="21"/>
                      <w:highlight w:val="none"/>
                      <w:u w:val="none" w:color="auto"/>
                      <w:lang w:val="en-US" w:eastAsia="zh-CN"/>
                    </w:rPr>
                    <w:t>1078.1</w:t>
                  </w:r>
                </w:p>
              </w:tc>
              <w:tc>
                <w:tcPr>
                  <w:tcW w:w="626" w:type="pct"/>
                  <w:tcBorders>
                    <w:top w:val="single" w:color="000000" w:sz="8" w:space="0"/>
                    <w:bottom w:val="single" w:color="auto" w:sz="4" w:space="0"/>
                    <w:tl2br w:val="nil"/>
                    <w:tr2bl w:val="nil"/>
                  </w:tcBorders>
                  <w:noWrap w:val="0"/>
                  <w:vAlign w:val="center"/>
                </w:tcPr>
                <w:p w14:paraId="01D64AC8">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sz w:val="21"/>
                      <w:szCs w:val="21"/>
                      <w:highlight w:val="none"/>
                      <w:u w:val="none" w:color="auto"/>
                      <w:lang w:val="en-US" w:eastAsia="zh-CN"/>
                    </w:rPr>
                  </w:pPr>
                  <w:r>
                    <w:rPr>
                      <w:rFonts w:hint="eastAsia" w:ascii="Times New Roman" w:cs="Times New Roman"/>
                      <w:b w:val="0"/>
                      <w:bCs/>
                      <w:color w:val="auto"/>
                      <w:sz w:val="21"/>
                      <w:szCs w:val="21"/>
                      <w:highlight w:val="none"/>
                      <w:u w:val="none" w:color="auto"/>
                      <w:lang w:val="en-US" w:eastAsia="zh-CN"/>
                    </w:rPr>
                    <w:t>80.86</w:t>
                  </w:r>
                </w:p>
              </w:tc>
              <w:tc>
                <w:tcPr>
                  <w:tcW w:w="515" w:type="pct"/>
                  <w:tcBorders>
                    <w:top w:val="single" w:color="000000" w:sz="8" w:space="0"/>
                    <w:bottom w:val="single" w:color="auto" w:sz="4" w:space="0"/>
                    <w:tl2br w:val="nil"/>
                    <w:tr2bl w:val="nil"/>
                  </w:tcBorders>
                  <w:noWrap w:val="0"/>
                  <w:vAlign w:val="center"/>
                </w:tcPr>
                <w:p w14:paraId="28FA6F5D">
                  <w:pPr>
                    <w:adjustRightInd w:val="0"/>
                    <w:snapToGrid w:val="0"/>
                    <w:jc w:val="center"/>
                    <w:rPr>
                      <w:rFonts w:hint="eastAsia"/>
                      <w:sz w:val="21"/>
                      <w:szCs w:val="21"/>
                      <w:u w:val="none" w:color="auto"/>
                      <w:lang w:val="en-US" w:eastAsia="zh-CN"/>
                    </w:rPr>
                  </w:pPr>
                  <w:r>
                    <w:rPr>
                      <w:sz w:val="21"/>
                      <w:szCs w:val="21"/>
                      <w:u w:val="none" w:color="auto"/>
                    </w:rPr>
                    <w:t>1</w:t>
                  </w:r>
                </w:p>
              </w:tc>
              <w:tc>
                <w:tcPr>
                  <w:tcW w:w="479" w:type="pct"/>
                  <w:tcBorders>
                    <w:top w:val="single" w:color="000000" w:sz="8" w:space="0"/>
                    <w:bottom w:val="single" w:color="auto" w:sz="4" w:space="0"/>
                    <w:tl2br w:val="nil"/>
                    <w:tr2bl w:val="nil"/>
                  </w:tcBorders>
                  <w:noWrap w:val="0"/>
                  <w:vAlign w:val="center"/>
                </w:tcPr>
                <w:p w14:paraId="6480354E">
                  <w:pPr>
                    <w:adjustRightInd w:val="0"/>
                    <w:snapToGrid w:val="0"/>
                    <w:jc w:val="center"/>
                    <w:rPr>
                      <w:rFonts w:hint="eastAsia"/>
                      <w:sz w:val="21"/>
                      <w:szCs w:val="21"/>
                      <w:u w:val="none" w:color="auto"/>
                      <w:lang w:val="en-US" w:eastAsia="zh-CN"/>
                    </w:rPr>
                  </w:pPr>
                  <w:r>
                    <w:rPr>
                      <w:sz w:val="21"/>
                      <w:szCs w:val="21"/>
                      <w:u w:val="none" w:color="auto"/>
                    </w:rPr>
                    <w:t>1</w:t>
                  </w:r>
                </w:p>
              </w:tc>
              <w:tc>
                <w:tcPr>
                  <w:tcW w:w="766" w:type="pct"/>
                  <w:tcBorders>
                    <w:top w:val="single" w:color="000000" w:sz="8" w:space="0"/>
                    <w:bottom w:val="single" w:color="auto" w:sz="4" w:space="0"/>
                    <w:tl2br w:val="nil"/>
                    <w:tr2bl w:val="nil"/>
                  </w:tcBorders>
                  <w:noWrap w:val="0"/>
                  <w:vAlign w:val="center"/>
                </w:tcPr>
                <w:p w14:paraId="32EA46B2">
                  <w:pPr>
                    <w:adjustRightInd w:val="0"/>
                    <w:snapToGrid w:val="0"/>
                    <w:jc w:val="center"/>
                    <w:rPr>
                      <w:sz w:val="21"/>
                      <w:szCs w:val="21"/>
                      <w:u w:val="none" w:color="auto"/>
                    </w:rPr>
                  </w:pPr>
                  <w:r>
                    <w:rPr>
                      <w:sz w:val="21"/>
                      <w:szCs w:val="21"/>
                      <w:u w:val="none" w:color="auto"/>
                    </w:rPr>
                    <w:t>更换/维修故障设备</w:t>
                  </w:r>
                </w:p>
              </w:tc>
            </w:tr>
            <w:tr w14:paraId="4558920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8" w:type="pct"/>
                  <w:tcBorders>
                    <w:top w:val="single" w:color="auto" w:sz="4" w:space="0"/>
                    <w:tl2br w:val="nil"/>
                    <w:tr2bl w:val="nil"/>
                  </w:tcBorders>
                  <w:noWrap w:val="0"/>
                  <w:vAlign w:val="center"/>
                </w:tcPr>
                <w:p w14:paraId="211D9054">
                  <w:pPr>
                    <w:adjustRightInd w:val="0"/>
                    <w:snapToGrid w:val="0"/>
                    <w:jc w:val="center"/>
                    <w:rPr>
                      <w:rFonts w:hint="eastAsia"/>
                      <w:sz w:val="21"/>
                      <w:szCs w:val="21"/>
                      <w:u w:val="none" w:color="auto"/>
                    </w:rPr>
                  </w:pPr>
                  <w:r>
                    <w:rPr>
                      <w:rFonts w:hint="eastAsia"/>
                      <w:sz w:val="21"/>
                      <w:szCs w:val="21"/>
                      <w:u w:val="none" w:color="auto"/>
                    </w:rPr>
                    <w:t>DA00</w:t>
                  </w:r>
                  <w:r>
                    <w:rPr>
                      <w:rFonts w:hint="eastAsia"/>
                      <w:sz w:val="21"/>
                      <w:szCs w:val="21"/>
                      <w:u w:val="none" w:color="auto"/>
                      <w:lang w:val="en-US" w:eastAsia="zh-CN"/>
                    </w:rPr>
                    <w:t>2</w:t>
                  </w:r>
                </w:p>
              </w:tc>
              <w:tc>
                <w:tcPr>
                  <w:tcW w:w="635" w:type="pct"/>
                  <w:tcBorders>
                    <w:top w:val="single" w:color="auto" w:sz="4" w:space="0"/>
                    <w:tl2br w:val="nil"/>
                    <w:tr2bl w:val="nil"/>
                  </w:tcBorders>
                  <w:noWrap w:val="0"/>
                  <w:vAlign w:val="center"/>
                </w:tcPr>
                <w:p w14:paraId="7E6E2AEA">
                  <w:pPr>
                    <w:adjustRightInd w:val="0"/>
                    <w:snapToGrid w:val="0"/>
                    <w:jc w:val="center"/>
                    <w:rPr>
                      <w:sz w:val="21"/>
                      <w:szCs w:val="21"/>
                      <w:u w:val="none" w:color="auto"/>
                    </w:rPr>
                  </w:pPr>
                  <w:r>
                    <w:rPr>
                      <w:sz w:val="21"/>
                      <w:szCs w:val="21"/>
                      <w:u w:val="none" w:color="auto"/>
                    </w:rPr>
                    <w:t>处理设施失效</w:t>
                  </w:r>
                </w:p>
              </w:tc>
              <w:tc>
                <w:tcPr>
                  <w:tcW w:w="621" w:type="pct"/>
                  <w:tcBorders>
                    <w:top w:val="single" w:color="auto" w:sz="4" w:space="0"/>
                    <w:tl2br w:val="nil"/>
                    <w:tr2bl w:val="nil"/>
                  </w:tcBorders>
                  <w:noWrap w:val="0"/>
                  <w:vAlign w:val="center"/>
                </w:tcPr>
                <w:p w14:paraId="3FC02CF1">
                  <w:pPr>
                    <w:jc w:val="center"/>
                    <w:rPr>
                      <w:rFonts w:hint="default"/>
                      <w:sz w:val="21"/>
                      <w:szCs w:val="21"/>
                      <w:u w:val="none" w:color="auto"/>
                      <w:lang w:val="en-US" w:eastAsia="zh-CN"/>
                    </w:rPr>
                  </w:pPr>
                  <w:r>
                    <w:rPr>
                      <w:rFonts w:hint="eastAsia"/>
                      <w:sz w:val="21"/>
                      <w:szCs w:val="21"/>
                      <w:u w:val="none" w:color="auto"/>
                      <w:lang w:val="en-US" w:eastAsia="zh-CN"/>
                    </w:rPr>
                    <w:t>颗粒物</w:t>
                  </w:r>
                </w:p>
              </w:tc>
              <w:tc>
                <w:tcPr>
                  <w:tcW w:w="756" w:type="pct"/>
                  <w:tcBorders>
                    <w:top w:val="single" w:color="auto" w:sz="4" w:space="0"/>
                    <w:tl2br w:val="nil"/>
                    <w:tr2bl w:val="nil"/>
                  </w:tcBorders>
                  <w:noWrap w:val="0"/>
                  <w:vAlign w:val="center"/>
                </w:tcPr>
                <w:p w14:paraId="58057356">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cs="Times New Roman"/>
                      <w:b w:val="0"/>
                      <w:bCs/>
                      <w:color w:val="auto"/>
                      <w:sz w:val="21"/>
                      <w:szCs w:val="21"/>
                      <w:highlight w:val="none"/>
                      <w:u w:val="none" w:color="auto"/>
                      <w:lang w:val="en-US" w:eastAsia="zh-CN"/>
                    </w:rPr>
                  </w:pPr>
                  <w:r>
                    <w:rPr>
                      <w:rFonts w:hint="eastAsia" w:ascii="Times New Roman" w:cs="Times New Roman"/>
                      <w:b w:val="0"/>
                      <w:bCs/>
                      <w:color w:val="auto"/>
                      <w:sz w:val="21"/>
                      <w:szCs w:val="21"/>
                      <w:highlight w:val="none"/>
                      <w:u w:val="none" w:color="auto"/>
                      <w:lang w:val="en-US" w:eastAsia="zh-CN"/>
                    </w:rPr>
                    <w:t>78.75</w:t>
                  </w:r>
                </w:p>
              </w:tc>
              <w:tc>
                <w:tcPr>
                  <w:tcW w:w="626" w:type="pct"/>
                  <w:tcBorders>
                    <w:top w:val="single" w:color="auto" w:sz="4" w:space="0"/>
                    <w:tl2br w:val="nil"/>
                    <w:tr2bl w:val="nil"/>
                  </w:tcBorders>
                  <w:noWrap w:val="0"/>
                  <w:vAlign w:val="center"/>
                </w:tcPr>
                <w:p w14:paraId="6C9950F9">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cs="Times New Roman"/>
                      <w:b w:val="0"/>
                      <w:bCs/>
                      <w:color w:val="auto"/>
                      <w:sz w:val="21"/>
                      <w:szCs w:val="21"/>
                      <w:highlight w:val="none"/>
                      <w:u w:val="none" w:color="auto"/>
                      <w:lang w:val="en-US" w:eastAsia="zh-CN"/>
                    </w:rPr>
                  </w:pPr>
                  <w:r>
                    <w:rPr>
                      <w:rFonts w:hint="eastAsia" w:ascii="Times New Roman" w:cs="Times New Roman"/>
                      <w:b w:val="0"/>
                      <w:bCs/>
                      <w:color w:val="auto"/>
                      <w:sz w:val="21"/>
                      <w:szCs w:val="21"/>
                      <w:highlight w:val="none"/>
                      <w:u w:val="none" w:color="auto"/>
                      <w:lang w:val="en-US" w:eastAsia="zh-CN"/>
                    </w:rPr>
                    <w:t>0.315</w:t>
                  </w:r>
                </w:p>
              </w:tc>
              <w:tc>
                <w:tcPr>
                  <w:tcW w:w="515" w:type="pct"/>
                  <w:tcBorders>
                    <w:top w:val="single" w:color="auto" w:sz="4" w:space="0"/>
                    <w:tl2br w:val="nil"/>
                    <w:tr2bl w:val="nil"/>
                  </w:tcBorders>
                  <w:noWrap w:val="0"/>
                  <w:vAlign w:val="center"/>
                </w:tcPr>
                <w:p w14:paraId="403ECFEF">
                  <w:pPr>
                    <w:adjustRightInd w:val="0"/>
                    <w:snapToGrid w:val="0"/>
                    <w:jc w:val="center"/>
                    <w:rPr>
                      <w:rFonts w:hint="eastAsia" w:eastAsia="宋体"/>
                      <w:sz w:val="21"/>
                      <w:szCs w:val="21"/>
                      <w:u w:val="none" w:color="auto"/>
                      <w:lang w:val="en-US" w:eastAsia="zh-CN"/>
                    </w:rPr>
                  </w:pPr>
                  <w:r>
                    <w:rPr>
                      <w:rFonts w:hint="eastAsia"/>
                      <w:sz w:val="21"/>
                      <w:szCs w:val="21"/>
                      <w:u w:val="none" w:color="auto"/>
                      <w:lang w:val="en-US" w:eastAsia="zh-CN"/>
                    </w:rPr>
                    <w:t>1</w:t>
                  </w:r>
                </w:p>
              </w:tc>
              <w:tc>
                <w:tcPr>
                  <w:tcW w:w="479" w:type="pct"/>
                  <w:tcBorders>
                    <w:top w:val="single" w:color="auto" w:sz="4" w:space="0"/>
                    <w:tl2br w:val="nil"/>
                    <w:tr2bl w:val="nil"/>
                  </w:tcBorders>
                  <w:noWrap w:val="0"/>
                  <w:vAlign w:val="center"/>
                </w:tcPr>
                <w:p w14:paraId="5EAC95CE">
                  <w:pPr>
                    <w:adjustRightInd w:val="0"/>
                    <w:snapToGrid w:val="0"/>
                    <w:jc w:val="center"/>
                    <w:rPr>
                      <w:rFonts w:hint="eastAsia" w:eastAsia="宋体"/>
                      <w:sz w:val="21"/>
                      <w:szCs w:val="21"/>
                      <w:u w:val="none" w:color="auto"/>
                      <w:lang w:val="en-US" w:eastAsia="zh-CN"/>
                    </w:rPr>
                  </w:pPr>
                  <w:r>
                    <w:rPr>
                      <w:rFonts w:hint="eastAsia"/>
                      <w:sz w:val="21"/>
                      <w:szCs w:val="21"/>
                      <w:u w:val="none" w:color="auto"/>
                      <w:lang w:val="en-US" w:eastAsia="zh-CN"/>
                    </w:rPr>
                    <w:t>1</w:t>
                  </w:r>
                </w:p>
              </w:tc>
              <w:tc>
                <w:tcPr>
                  <w:tcW w:w="766" w:type="pct"/>
                  <w:tcBorders>
                    <w:top w:val="single" w:color="auto" w:sz="4" w:space="0"/>
                    <w:tl2br w:val="nil"/>
                    <w:tr2bl w:val="nil"/>
                  </w:tcBorders>
                  <w:noWrap w:val="0"/>
                  <w:vAlign w:val="center"/>
                </w:tcPr>
                <w:p w14:paraId="23A03C17">
                  <w:pPr>
                    <w:adjustRightInd w:val="0"/>
                    <w:snapToGrid w:val="0"/>
                    <w:jc w:val="center"/>
                    <w:rPr>
                      <w:sz w:val="21"/>
                      <w:szCs w:val="21"/>
                      <w:u w:val="none" w:color="auto"/>
                    </w:rPr>
                  </w:pPr>
                  <w:r>
                    <w:rPr>
                      <w:sz w:val="21"/>
                      <w:szCs w:val="21"/>
                      <w:u w:val="none" w:color="auto"/>
                    </w:rPr>
                    <w:t>更换/维修故障设备</w:t>
                  </w:r>
                </w:p>
              </w:tc>
            </w:tr>
            <w:tr w14:paraId="5AF9B15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8" w:type="pct"/>
                  <w:vMerge w:val="restart"/>
                  <w:tcBorders>
                    <w:tl2br w:val="nil"/>
                    <w:tr2bl w:val="nil"/>
                  </w:tcBorders>
                  <w:noWrap w:val="0"/>
                  <w:vAlign w:val="center"/>
                </w:tcPr>
                <w:p w14:paraId="58DBB5AA">
                  <w:pPr>
                    <w:adjustRightInd w:val="0"/>
                    <w:snapToGrid w:val="0"/>
                    <w:jc w:val="center"/>
                    <w:rPr>
                      <w:rFonts w:hint="eastAsia" w:eastAsia="宋体"/>
                      <w:sz w:val="21"/>
                      <w:szCs w:val="21"/>
                      <w:u w:val="none" w:color="auto"/>
                      <w:lang w:val="en-US" w:eastAsia="zh-CN"/>
                    </w:rPr>
                  </w:pPr>
                  <w:r>
                    <w:rPr>
                      <w:rFonts w:hint="eastAsia"/>
                      <w:sz w:val="21"/>
                      <w:szCs w:val="21"/>
                      <w:u w:val="none" w:color="auto"/>
                    </w:rPr>
                    <w:t>DA00</w:t>
                  </w:r>
                  <w:r>
                    <w:rPr>
                      <w:rFonts w:hint="eastAsia"/>
                      <w:sz w:val="21"/>
                      <w:szCs w:val="21"/>
                      <w:u w:val="none" w:color="auto"/>
                      <w:lang w:val="en-US" w:eastAsia="zh-CN"/>
                    </w:rPr>
                    <w:t>3</w:t>
                  </w:r>
                </w:p>
              </w:tc>
              <w:tc>
                <w:tcPr>
                  <w:tcW w:w="635" w:type="pct"/>
                  <w:vMerge w:val="restart"/>
                  <w:tcBorders>
                    <w:tl2br w:val="nil"/>
                    <w:tr2bl w:val="nil"/>
                  </w:tcBorders>
                  <w:noWrap w:val="0"/>
                  <w:vAlign w:val="center"/>
                </w:tcPr>
                <w:p w14:paraId="4A0E8616">
                  <w:pPr>
                    <w:adjustRightInd w:val="0"/>
                    <w:snapToGrid w:val="0"/>
                    <w:jc w:val="center"/>
                    <w:rPr>
                      <w:sz w:val="21"/>
                      <w:szCs w:val="21"/>
                      <w:u w:val="none" w:color="auto"/>
                    </w:rPr>
                  </w:pPr>
                  <w:r>
                    <w:rPr>
                      <w:sz w:val="21"/>
                      <w:szCs w:val="21"/>
                      <w:u w:val="none" w:color="auto"/>
                    </w:rPr>
                    <w:t>处理设施失效</w:t>
                  </w:r>
                </w:p>
              </w:tc>
              <w:tc>
                <w:tcPr>
                  <w:tcW w:w="621" w:type="pct"/>
                  <w:tcBorders>
                    <w:tl2br w:val="nil"/>
                    <w:tr2bl w:val="nil"/>
                  </w:tcBorders>
                  <w:noWrap w:val="0"/>
                  <w:vAlign w:val="center"/>
                </w:tcPr>
                <w:p w14:paraId="5B15982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sz w:val="21"/>
                      <w:szCs w:val="21"/>
                      <w:u w:val="none" w:color="auto"/>
                      <w:lang w:val="en-US" w:eastAsia="zh-CN"/>
                    </w:rPr>
                  </w:pPr>
                  <w:r>
                    <w:rPr>
                      <w:rFonts w:hint="eastAsia" w:cs="Times New Roman"/>
                      <w:i w:val="0"/>
                      <w:iCs w:val="0"/>
                      <w:color w:val="000000"/>
                      <w:kern w:val="0"/>
                      <w:sz w:val="21"/>
                      <w:szCs w:val="21"/>
                      <w:highlight w:val="none"/>
                      <w:u w:val="none" w:color="auto"/>
                      <w:lang w:val="en-US" w:eastAsia="zh-CN" w:bidi="ar"/>
                    </w:rPr>
                    <w:t>硫化氢</w:t>
                  </w:r>
                </w:p>
              </w:tc>
              <w:tc>
                <w:tcPr>
                  <w:tcW w:w="756" w:type="pct"/>
                  <w:tcBorders>
                    <w:tl2br w:val="nil"/>
                    <w:tr2bl w:val="nil"/>
                  </w:tcBorders>
                  <w:noWrap w:val="0"/>
                  <w:vAlign w:val="center"/>
                </w:tcPr>
                <w:p w14:paraId="4F94B8C7">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 xml:space="preserve">0.0264 </w:t>
                  </w:r>
                </w:p>
              </w:tc>
              <w:tc>
                <w:tcPr>
                  <w:tcW w:w="626" w:type="pct"/>
                  <w:tcBorders>
                    <w:tl2br w:val="nil"/>
                    <w:tr2bl w:val="nil"/>
                  </w:tcBorders>
                  <w:noWrap w:val="0"/>
                  <w:vAlign w:val="center"/>
                </w:tcPr>
                <w:p w14:paraId="6F506B0B">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 xml:space="preserve">0.0001 </w:t>
                  </w:r>
                </w:p>
              </w:tc>
              <w:tc>
                <w:tcPr>
                  <w:tcW w:w="515" w:type="pct"/>
                  <w:tcBorders>
                    <w:tl2br w:val="nil"/>
                    <w:tr2bl w:val="nil"/>
                  </w:tcBorders>
                  <w:noWrap w:val="0"/>
                  <w:vAlign w:val="center"/>
                </w:tcPr>
                <w:p w14:paraId="628D6E8B">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1</w:t>
                  </w:r>
                </w:p>
              </w:tc>
              <w:tc>
                <w:tcPr>
                  <w:tcW w:w="479" w:type="pct"/>
                  <w:tcBorders>
                    <w:tl2br w:val="nil"/>
                    <w:tr2bl w:val="nil"/>
                  </w:tcBorders>
                  <w:noWrap w:val="0"/>
                  <w:vAlign w:val="center"/>
                </w:tcPr>
                <w:p w14:paraId="18EA26F7">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1</w:t>
                  </w:r>
                </w:p>
              </w:tc>
              <w:tc>
                <w:tcPr>
                  <w:tcW w:w="766" w:type="pct"/>
                  <w:vMerge w:val="restart"/>
                  <w:tcBorders>
                    <w:tl2br w:val="nil"/>
                    <w:tr2bl w:val="nil"/>
                  </w:tcBorders>
                  <w:noWrap w:val="0"/>
                  <w:vAlign w:val="center"/>
                </w:tcPr>
                <w:p w14:paraId="174ED6D8">
                  <w:pPr>
                    <w:adjustRightInd w:val="0"/>
                    <w:snapToGrid w:val="0"/>
                    <w:jc w:val="center"/>
                    <w:rPr>
                      <w:sz w:val="21"/>
                      <w:szCs w:val="21"/>
                      <w:u w:val="none" w:color="auto"/>
                    </w:rPr>
                  </w:pPr>
                  <w:r>
                    <w:rPr>
                      <w:sz w:val="21"/>
                      <w:szCs w:val="21"/>
                      <w:u w:val="none" w:color="auto"/>
                    </w:rPr>
                    <w:t>更换/维修故障设备</w:t>
                  </w:r>
                </w:p>
              </w:tc>
            </w:tr>
            <w:tr w14:paraId="3D09F65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8" w:type="pct"/>
                  <w:vMerge w:val="continue"/>
                  <w:tcBorders>
                    <w:tl2br w:val="nil"/>
                    <w:tr2bl w:val="nil"/>
                  </w:tcBorders>
                  <w:noWrap w:val="0"/>
                  <w:vAlign w:val="center"/>
                </w:tcPr>
                <w:p w14:paraId="361A0AF4">
                  <w:pPr>
                    <w:adjustRightInd w:val="0"/>
                    <w:snapToGrid w:val="0"/>
                    <w:jc w:val="center"/>
                    <w:rPr>
                      <w:rFonts w:hint="eastAsia"/>
                      <w:sz w:val="21"/>
                      <w:szCs w:val="21"/>
                      <w:u w:val="none" w:color="auto"/>
                    </w:rPr>
                  </w:pPr>
                </w:p>
              </w:tc>
              <w:tc>
                <w:tcPr>
                  <w:tcW w:w="635" w:type="pct"/>
                  <w:vMerge w:val="continue"/>
                  <w:tcBorders>
                    <w:tl2br w:val="nil"/>
                    <w:tr2bl w:val="nil"/>
                  </w:tcBorders>
                  <w:noWrap w:val="0"/>
                  <w:vAlign w:val="center"/>
                </w:tcPr>
                <w:p w14:paraId="4C1738F8">
                  <w:pPr>
                    <w:adjustRightInd w:val="0"/>
                    <w:snapToGrid w:val="0"/>
                    <w:jc w:val="center"/>
                    <w:rPr>
                      <w:sz w:val="21"/>
                      <w:szCs w:val="21"/>
                      <w:u w:val="none" w:color="auto"/>
                    </w:rPr>
                  </w:pPr>
                </w:p>
              </w:tc>
              <w:tc>
                <w:tcPr>
                  <w:tcW w:w="621" w:type="pct"/>
                  <w:tcBorders>
                    <w:tl2br w:val="nil"/>
                    <w:tr2bl w:val="nil"/>
                  </w:tcBorders>
                  <w:noWrap w:val="0"/>
                  <w:vAlign w:val="center"/>
                </w:tcPr>
                <w:p w14:paraId="01BC732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sz w:val="21"/>
                      <w:szCs w:val="21"/>
                      <w:u w:val="none" w:color="auto"/>
                      <w:lang w:val="en-US" w:eastAsia="zh-CN"/>
                    </w:rPr>
                  </w:pPr>
                  <w:r>
                    <w:rPr>
                      <w:rFonts w:hint="eastAsia" w:cs="Times New Roman"/>
                      <w:i w:val="0"/>
                      <w:iCs w:val="0"/>
                      <w:color w:val="000000"/>
                      <w:kern w:val="0"/>
                      <w:sz w:val="21"/>
                      <w:szCs w:val="21"/>
                      <w:highlight w:val="none"/>
                      <w:u w:val="none" w:color="auto"/>
                      <w:lang w:val="en-US" w:eastAsia="zh-CN" w:bidi="ar"/>
                    </w:rPr>
                    <w:t>氨</w:t>
                  </w:r>
                </w:p>
              </w:tc>
              <w:tc>
                <w:tcPr>
                  <w:tcW w:w="756" w:type="pct"/>
                  <w:tcBorders>
                    <w:tl2br w:val="nil"/>
                    <w:tr2bl w:val="nil"/>
                  </w:tcBorders>
                  <w:noWrap w:val="0"/>
                  <w:vAlign w:val="center"/>
                </w:tcPr>
                <w:p w14:paraId="25635C23">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 xml:space="preserve">1.8592 </w:t>
                  </w:r>
                </w:p>
              </w:tc>
              <w:tc>
                <w:tcPr>
                  <w:tcW w:w="626" w:type="pct"/>
                  <w:tcBorders>
                    <w:tl2br w:val="nil"/>
                    <w:tr2bl w:val="nil"/>
                  </w:tcBorders>
                  <w:noWrap w:val="0"/>
                  <w:vAlign w:val="center"/>
                </w:tcPr>
                <w:p w14:paraId="298DBA54">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 xml:space="preserve">0.0093 </w:t>
                  </w:r>
                </w:p>
              </w:tc>
              <w:tc>
                <w:tcPr>
                  <w:tcW w:w="515" w:type="pct"/>
                  <w:tcBorders>
                    <w:tl2br w:val="nil"/>
                    <w:tr2bl w:val="nil"/>
                  </w:tcBorders>
                  <w:noWrap w:val="0"/>
                  <w:vAlign w:val="center"/>
                </w:tcPr>
                <w:p w14:paraId="04BFEA9A">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1</w:t>
                  </w:r>
                </w:p>
              </w:tc>
              <w:tc>
                <w:tcPr>
                  <w:tcW w:w="479" w:type="pct"/>
                  <w:tcBorders>
                    <w:tl2br w:val="nil"/>
                    <w:tr2bl w:val="nil"/>
                  </w:tcBorders>
                  <w:noWrap w:val="0"/>
                  <w:vAlign w:val="center"/>
                </w:tcPr>
                <w:p w14:paraId="7F701186">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eastAsia" w:ascii="Times New Roman" w:hAnsi="Times New Roman" w:eastAsia="宋体" w:cs="Times New Roman"/>
                      <w:b w:val="0"/>
                      <w:bCs/>
                      <w:color w:val="auto"/>
                      <w:sz w:val="21"/>
                      <w:szCs w:val="21"/>
                      <w:highlight w:val="none"/>
                      <w:u w:val="none" w:color="auto"/>
                      <w:lang w:val="en-US" w:eastAsia="zh-CN"/>
                    </w:rPr>
                  </w:pPr>
                  <w:r>
                    <w:rPr>
                      <w:rFonts w:hint="eastAsia" w:ascii="Times New Roman" w:hAnsi="Times New Roman" w:eastAsia="宋体" w:cs="Times New Roman"/>
                      <w:b w:val="0"/>
                      <w:bCs/>
                      <w:color w:val="auto"/>
                      <w:sz w:val="21"/>
                      <w:szCs w:val="21"/>
                      <w:highlight w:val="none"/>
                      <w:u w:val="none" w:color="auto"/>
                      <w:lang w:val="en-US" w:eastAsia="zh-CN"/>
                    </w:rPr>
                    <w:t>1</w:t>
                  </w:r>
                </w:p>
              </w:tc>
              <w:tc>
                <w:tcPr>
                  <w:tcW w:w="766" w:type="pct"/>
                  <w:vMerge w:val="continue"/>
                  <w:tcBorders>
                    <w:tl2br w:val="nil"/>
                    <w:tr2bl w:val="nil"/>
                  </w:tcBorders>
                  <w:noWrap w:val="0"/>
                  <w:vAlign w:val="center"/>
                </w:tcPr>
                <w:p w14:paraId="21BAFE7D">
                  <w:pPr>
                    <w:adjustRightInd w:val="0"/>
                    <w:snapToGrid w:val="0"/>
                    <w:jc w:val="center"/>
                    <w:rPr>
                      <w:sz w:val="21"/>
                      <w:szCs w:val="21"/>
                      <w:u w:val="none" w:color="auto"/>
                    </w:rPr>
                  </w:pPr>
                </w:p>
              </w:tc>
            </w:tr>
          </w:tbl>
          <w:p w14:paraId="3194DE88">
            <w:pPr>
              <w:keepNext w:val="0"/>
              <w:keepLines w:val="0"/>
              <w:pageBreakBefore w:val="0"/>
              <w:widowControl w:val="0"/>
              <w:kinsoku/>
              <w:wordWrap/>
              <w:overflowPunct/>
              <w:topLinePunct w:val="0"/>
              <w:autoSpaceDE w:val="0"/>
              <w:autoSpaceDN w:val="0"/>
              <w:bidi w:val="0"/>
              <w:adjustRightInd w:val="0"/>
              <w:snapToGrid w:val="0"/>
              <w:spacing w:line="440" w:lineRule="atLeast"/>
              <w:ind w:firstLine="482" w:firstLineChars="200"/>
              <w:textAlignment w:val="auto"/>
              <w:rPr>
                <w:b/>
                <w:color w:val="auto"/>
                <w:sz w:val="24"/>
                <w:highlight w:val="none"/>
                <w:u w:val="none" w:color="auto"/>
              </w:rPr>
            </w:pPr>
            <w:r>
              <w:rPr>
                <w:rFonts w:hint="eastAsia"/>
                <w:b/>
                <w:color w:val="auto"/>
                <w:sz w:val="24"/>
                <w:highlight w:val="none"/>
                <w:u w:val="none" w:color="auto"/>
                <w:lang w:val="fr-FR" w:eastAsia="zh-CN"/>
              </w:rPr>
              <w:t>（</w:t>
            </w:r>
            <w:r>
              <w:rPr>
                <w:rFonts w:hint="eastAsia"/>
                <w:b/>
                <w:color w:val="auto"/>
                <w:sz w:val="24"/>
                <w:highlight w:val="none"/>
                <w:u w:val="none" w:color="auto"/>
                <w:lang w:val="en-US" w:eastAsia="zh-CN"/>
              </w:rPr>
              <w:t>七</w:t>
            </w:r>
            <w:r>
              <w:rPr>
                <w:rFonts w:hint="eastAsia"/>
                <w:b/>
                <w:color w:val="auto"/>
                <w:sz w:val="24"/>
                <w:highlight w:val="none"/>
                <w:u w:val="none" w:color="auto"/>
                <w:lang w:val="fr-FR" w:eastAsia="zh-CN"/>
              </w:rPr>
              <w:t>）</w:t>
            </w:r>
            <w:r>
              <w:rPr>
                <w:b/>
                <w:color w:val="auto"/>
                <w:sz w:val="24"/>
                <w:highlight w:val="none"/>
                <w:u w:val="none" w:color="auto"/>
              </w:rPr>
              <w:t>自行监测计划</w:t>
            </w:r>
          </w:p>
          <w:p w14:paraId="043EA9B6">
            <w:pPr>
              <w:keepNext w:val="0"/>
              <w:keepLines w:val="0"/>
              <w:pageBreakBefore w:val="0"/>
              <w:widowControl w:val="0"/>
              <w:tabs>
                <w:tab w:val="left" w:pos="3620"/>
              </w:tabs>
              <w:kinsoku/>
              <w:wordWrap/>
              <w:overflowPunct/>
              <w:topLinePunct w:val="0"/>
              <w:bidi w:val="0"/>
              <w:adjustRightInd w:val="0"/>
              <w:snapToGrid w:val="0"/>
              <w:spacing w:line="440" w:lineRule="atLeast"/>
              <w:ind w:firstLine="480" w:firstLineChars="200"/>
              <w:textAlignment w:val="auto"/>
              <w:rPr>
                <w:rFonts w:hAnsi="宋体"/>
                <w:sz w:val="24"/>
                <w:u w:val="none" w:color="auto"/>
                <w:lang w:val="en-GB"/>
              </w:rPr>
            </w:pPr>
            <w:r>
              <w:rPr>
                <w:rFonts w:hint="eastAsia"/>
                <w:bCs/>
                <w:sz w:val="24"/>
                <w:u w:val="none" w:color="auto"/>
              </w:rPr>
              <w:t>本项目废气根据《排污单位自行监测技术指南 电池工业》（HJ1204—2021）的规定</w:t>
            </w:r>
            <w:r>
              <w:rPr>
                <w:rFonts w:hint="eastAsia"/>
                <w:bCs/>
                <w:sz w:val="24"/>
                <w:u w:val="none" w:color="auto"/>
                <w:lang w:eastAsia="zh-CN"/>
              </w:rPr>
              <w:t>，</w:t>
            </w:r>
            <w:r>
              <w:rPr>
                <w:rFonts w:hAnsi="宋体"/>
                <w:sz w:val="24"/>
                <w:u w:val="none" w:color="auto"/>
                <w:lang w:val="en-GB"/>
              </w:rPr>
              <w:t>本项目废气监测要求如下表。</w:t>
            </w:r>
          </w:p>
          <w:p w14:paraId="57DBDA51">
            <w:pPr>
              <w:keepNext w:val="0"/>
              <w:keepLines w:val="0"/>
              <w:pageBreakBefore w:val="0"/>
              <w:widowControl w:val="0"/>
              <w:tabs>
                <w:tab w:val="left" w:pos="3620"/>
              </w:tabs>
              <w:kinsoku/>
              <w:wordWrap/>
              <w:overflowPunct/>
              <w:topLinePunct w:val="0"/>
              <w:bidi w:val="0"/>
              <w:adjustRightInd w:val="0"/>
              <w:snapToGrid w:val="0"/>
              <w:spacing w:line="440" w:lineRule="atLeast"/>
              <w:jc w:val="center"/>
              <w:textAlignment w:val="auto"/>
              <w:rPr>
                <w:rFonts w:hint="default" w:ascii="Times New Roman" w:hAnsi="Times New Roman" w:eastAsia="宋体" w:cs="Times New Roman"/>
                <w:b/>
                <w:color w:val="000000"/>
                <w:sz w:val="24"/>
                <w:u w:val="none" w:color="auto"/>
              </w:rPr>
            </w:pPr>
            <w:r>
              <w:rPr>
                <w:rFonts w:hint="default" w:ascii="Times New Roman" w:hAnsi="Times New Roman" w:eastAsia="宋体" w:cs="Times New Roman"/>
                <w:b/>
                <w:color w:val="000000"/>
                <w:sz w:val="24"/>
                <w:u w:val="none" w:color="auto"/>
              </w:rPr>
              <w:t>表</w:t>
            </w:r>
            <w:r>
              <w:rPr>
                <w:rFonts w:hint="default" w:ascii="Times New Roman" w:hAnsi="Times New Roman" w:eastAsia="宋体" w:cs="Times New Roman"/>
                <w:b/>
                <w:color w:val="000000"/>
                <w:sz w:val="24"/>
                <w:u w:val="none" w:color="auto"/>
                <w:lang w:val="en-US" w:eastAsia="zh-CN"/>
              </w:rPr>
              <w:t>4-</w:t>
            </w:r>
            <w:r>
              <w:rPr>
                <w:rFonts w:hint="eastAsia" w:cs="Times New Roman"/>
                <w:b/>
                <w:color w:val="000000"/>
                <w:sz w:val="24"/>
                <w:u w:val="none" w:color="auto"/>
                <w:lang w:val="en-US" w:eastAsia="zh-CN"/>
              </w:rPr>
              <w:t>10</w:t>
            </w:r>
            <w:r>
              <w:rPr>
                <w:rFonts w:hint="default" w:ascii="Times New Roman" w:hAnsi="Times New Roman" w:eastAsia="宋体" w:cs="Times New Roman"/>
                <w:b/>
                <w:color w:val="000000"/>
                <w:sz w:val="24"/>
                <w:u w:val="none" w:color="auto"/>
              </w:rPr>
              <w:t xml:space="preserve">    本项目废气监测要求</w:t>
            </w:r>
          </w:p>
          <w:tbl>
            <w:tblPr>
              <w:tblStyle w:val="32"/>
              <w:tblW w:w="485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786"/>
              <w:gridCol w:w="2791"/>
              <w:gridCol w:w="2101"/>
            </w:tblGrid>
            <w:tr w14:paraId="72C5D09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786" w:type="dxa"/>
                  <w:tcBorders>
                    <w:bottom w:val="single" w:color="000000" w:sz="8" w:space="0"/>
                    <w:tl2br w:val="nil"/>
                    <w:tr2bl w:val="nil"/>
                  </w:tcBorders>
                  <w:shd w:val="clear" w:color="auto" w:fill="auto"/>
                  <w:noWrap w:val="0"/>
                  <w:vAlign w:val="center"/>
                </w:tcPr>
                <w:p w14:paraId="729798D2">
                  <w:pPr>
                    <w:tabs>
                      <w:tab w:val="left" w:pos="3620"/>
                    </w:tabs>
                    <w:adjustRightInd w:val="0"/>
                    <w:snapToGrid w:val="0"/>
                    <w:jc w:val="center"/>
                    <w:rPr>
                      <w:b/>
                      <w:sz w:val="21"/>
                      <w:szCs w:val="21"/>
                      <w:u w:val="none" w:color="auto"/>
                    </w:rPr>
                  </w:pPr>
                  <w:r>
                    <w:rPr>
                      <w:rFonts w:hAnsi="宋体"/>
                      <w:b/>
                      <w:sz w:val="21"/>
                      <w:szCs w:val="21"/>
                      <w:u w:val="none" w:color="auto"/>
                    </w:rPr>
                    <w:t>监测点位</w:t>
                  </w:r>
                </w:p>
              </w:tc>
              <w:tc>
                <w:tcPr>
                  <w:tcW w:w="2791" w:type="dxa"/>
                  <w:tcBorders>
                    <w:bottom w:val="single" w:color="000000" w:sz="8" w:space="0"/>
                    <w:tl2br w:val="nil"/>
                    <w:tr2bl w:val="nil"/>
                  </w:tcBorders>
                  <w:shd w:val="clear" w:color="auto" w:fill="auto"/>
                  <w:noWrap w:val="0"/>
                  <w:vAlign w:val="center"/>
                </w:tcPr>
                <w:p w14:paraId="5D5F709F">
                  <w:pPr>
                    <w:tabs>
                      <w:tab w:val="left" w:pos="3620"/>
                    </w:tabs>
                    <w:adjustRightInd w:val="0"/>
                    <w:snapToGrid w:val="0"/>
                    <w:jc w:val="center"/>
                    <w:rPr>
                      <w:b/>
                      <w:sz w:val="21"/>
                      <w:szCs w:val="21"/>
                      <w:u w:val="none" w:color="auto"/>
                    </w:rPr>
                  </w:pPr>
                  <w:r>
                    <w:rPr>
                      <w:rFonts w:hAnsi="宋体"/>
                      <w:b/>
                      <w:sz w:val="21"/>
                      <w:szCs w:val="21"/>
                      <w:u w:val="none" w:color="auto"/>
                    </w:rPr>
                    <w:t>监测因子</w:t>
                  </w:r>
                </w:p>
              </w:tc>
              <w:tc>
                <w:tcPr>
                  <w:tcW w:w="2101" w:type="dxa"/>
                  <w:tcBorders>
                    <w:bottom w:val="single" w:color="000000" w:sz="8" w:space="0"/>
                    <w:tl2br w:val="nil"/>
                    <w:tr2bl w:val="nil"/>
                  </w:tcBorders>
                  <w:shd w:val="clear" w:color="auto" w:fill="auto"/>
                  <w:noWrap w:val="0"/>
                  <w:vAlign w:val="center"/>
                </w:tcPr>
                <w:p w14:paraId="027C7CBB">
                  <w:pPr>
                    <w:tabs>
                      <w:tab w:val="left" w:pos="3620"/>
                    </w:tabs>
                    <w:adjustRightInd w:val="0"/>
                    <w:snapToGrid w:val="0"/>
                    <w:jc w:val="center"/>
                    <w:rPr>
                      <w:b/>
                      <w:sz w:val="21"/>
                      <w:szCs w:val="21"/>
                      <w:u w:val="none" w:color="auto"/>
                    </w:rPr>
                  </w:pPr>
                  <w:r>
                    <w:rPr>
                      <w:rFonts w:hAnsi="宋体"/>
                      <w:b/>
                      <w:sz w:val="21"/>
                      <w:szCs w:val="21"/>
                      <w:u w:val="none" w:color="auto"/>
                    </w:rPr>
                    <w:t>监测频次</w:t>
                  </w:r>
                </w:p>
              </w:tc>
            </w:tr>
            <w:tr w14:paraId="08B8E88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86" w:type="dxa"/>
                  <w:tcBorders>
                    <w:top w:val="single" w:color="000000" w:sz="8" w:space="0"/>
                    <w:bottom w:val="single" w:color="auto" w:sz="4" w:space="0"/>
                    <w:tl2br w:val="nil"/>
                    <w:tr2bl w:val="nil"/>
                  </w:tcBorders>
                  <w:shd w:val="clear" w:color="auto" w:fill="auto"/>
                  <w:noWrap w:val="0"/>
                  <w:vAlign w:val="center"/>
                </w:tcPr>
                <w:p w14:paraId="6611BF51">
                  <w:pPr>
                    <w:adjustRightInd w:val="0"/>
                    <w:snapToGrid w:val="0"/>
                    <w:jc w:val="center"/>
                    <w:rPr>
                      <w:sz w:val="21"/>
                      <w:szCs w:val="21"/>
                      <w:u w:val="none" w:color="auto"/>
                    </w:rPr>
                  </w:pPr>
                  <w:r>
                    <w:rPr>
                      <w:rFonts w:hint="eastAsia"/>
                      <w:sz w:val="21"/>
                      <w:szCs w:val="21"/>
                      <w:u w:val="none" w:color="auto"/>
                    </w:rPr>
                    <w:t>DA001</w:t>
                  </w:r>
                </w:p>
              </w:tc>
              <w:tc>
                <w:tcPr>
                  <w:tcW w:w="2791" w:type="dxa"/>
                  <w:tcBorders>
                    <w:top w:val="single" w:color="000000" w:sz="8" w:space="0"/>
                    <w:bottom w:val="single" w:color="auto" w:sz="4" w:space="0"/>
                    <w:tl2br w:val="nil"/>
                    <w:tr2bl w:val="nil"/>
                  </w:tcBorders>
                  <w:shd w:val="clear" w:color="auto" w:fill="auto"/>
                  <w:noWrap w:val="0"/>
                  <w:vAlign w:val="center"/>
                </w:tcPr>
                <w:p w14:paraId="49EE88D1">
                  <w:pPr>
                    <w:tabs>
                      <w:tab w:val="left" w:pos="3620"/>
                    </w:tabs>
                    <w:adjustRightInd w:val="0"/>
                    <w:snapToGrid w:val="0"/>
                    <w:jc w:val="center"/>
                    <w:rPr>
                      <w:rFonts w:hint="eastAsia" w:eastAsia="宋体"/>
                      <w:sz w:val="21"/>
                      <w:szCs w:val="21"/>
                      <w:u w:val="none" w:color="auto"/>
                      <w:lang w:eastAsia="zh-CN"/>
                    </w:rPr>
                  </w:pPr>
                  <w:r>
                    <w:rPr>
                      <w:rFonts w:hint="eastAsia" w:hAnsi="宋体"/>
                      <w:sz w:val="21"/>
                      <w:szCs w:val="21"/>
                      <w:u w:val="none" w:color="auto"/>
                      <w:lang w:val="en-US" w:eastAsia="zh-CN"/>
                    </w:rPr>
                    <w:t>非甲烷总烃</w:t>
                  </w:r>
                </w:p>
              </w:tc>
              <w:tc>
                <w:tcPr>
                  <w:tcW w:w="2101" w:type="dxa"/>
                  <w:tcBorders>
                    <w:top w:val="single" w:color="000000" w:sz="8" w:space="0"/>
                    <w:bottom w:val="single" w:color="auto" w:sz="4" w:space="0"/>
                    <w:tl2br w:val="nil"/>
                    <w:tr2bl w:val="nil"/>
                  </w:tcBorders>
                  <w:shd w:val="clear" w:color="auto" w:fill="auto"/>
                  <w:noWrap w:val="0"/>
                  <w:vAlign w:val="center"/>
                </w:tcPr>
                <w:p w14:paraId="6453CF63">
                  <w:pPr>
                    <w:tabs>
                      <w:tab w:val="left" w:pos="3620"/>
                    </w:tabs>
                    <w:adjustRightInd w:val="0"/>
                    <w:snapToGrid w:val="0"/>
                    <w:jc w:val="center"/>
                    <w:rPr>
                      <w:sz w:val="21"/>
                      <w:szCs w:val="21"/>
                      <w:u w:val="none" w:color="auto"/>
                    </w:rPr>
                  </w:pPr>
                  <w:r>
                    <w:rPr>
                      <w:rFonts w:hint="eastAsia" w:hAnsi="宋体"/>
                      <w:sz w:val="21"/>
                      <w:szCs w:val="21"/>
                      <w:u w:val="none" w:color="auto"/>
                      <w:lang w:val="en-GB"/>
                    </w:rPr>
                    <w:t>半</w:t>
                  </w:r>
                  <w:r>
                    <w:rPr>
                      <w:rFonts w:hAnsi="宋体"/>
                      <w:sz w:val="21"/>
                      <w:szCs w:val="21"/>
                      <w:u w:val="none" w:color="auto"/>
                      <w:lang w:val="en-GB"/>
                    </w:rPr>
                    <w:t>年</w:t>
                  </w:r>
                  <w:r>
                    <w:rPr>
                      <w:rFonts w:hint="eastAsia" w:hAnsi="宋体"/>
                      <w:sz w:val="21"/>
                      <w:szCs w:val="21"/>
                      <w:u w:val="none" w:color="auto"/>
                      <w:lang w:val="en-US" w:eastAsia="zh-CN"/>
                    </w:rPr>
                    <w:t>/</w:t>
                  </w:r>
                  <w:r>
                    <w:rPr>
                      <w:rFonts w:hAnsi="宋体"/>
                      <w:sz w:val="21"/>
                      <w:szCs w:val="21"/>
                      <w:u w:val="none" w:color="auto"/>
                      <w:lang w:val="en-GB"/>
                    </w:rPr>
                    <w:t>次</w:t>
                  </w:r>
                </w:p>
              </w:tc>
            </w:tr>
            <w:tr w14:paraId="4D977B8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86" w:type="dxa"/>
                  <w:tcBorders>
                    <w:top w:val="single" w:color="auto" w:sz="4" w:space="0"/>
                    <w:tl2br w:val="nil"/>
                    <w:tr2bl w:val="nil"/>
                  </w:tcBorders>
                  <w:shd w:val="clear" w:color="auto" w:fill="auto"/>
                  <w:noWrap w:val="0"/>
                  <w:vAlign w:val="center"/>
                </w:tcPr>
                <w:p w14:paraId="5D61249C">
                  <w:pPr>
                    <w:adjustRightInd w:val="0"/>
                    <w:snapToGrid w:val="0"/>
                    <w:jc w:val="center"/>
                    <w:rPr>
                      <w:rFonts w:hint="eastAsia"/>
                      <w:sz w:val="21"/>
                      <w:szCs w:val="21"/>
                      <w:u w:val="none" w:color="auto"/>
                    </w:rPr>
                  </w:pPr>
                  <w:r>
                    <w:rPr>
                      <w:rFonts w:hint="eastAsia"/>
                      <w:sz w:val="21"/>
                      <w:szCs w:val="21"/>
                      <w:u w:val="none" w:color="auto"/>
                    </w:rPr>
                    <w:t>DA00</w:t>
                  </w:r>
                  <w:r>
                    <w:rPr>
                      <w:rFonts w:hint="eastAsia"/>
                      <w:sz w:val="21"/>
                      <w:szCs w:val="21"/>
                      <w:u w:val="none" w:color="auto"/>
                      <w:lang w:val="en-US" w:eastAsia="zh-CN"/>
                    </w:rPr>
                    <w:t>2</w:t>
                  </w:r>
                </w:p>
              </w:tc>
              <w:tc>
                <w:tcPr>
                  <w:tcW w:w="2791" w:type="dxa"/>
                  <w:tcBorders>
                    <w:top w:val="single" w:color="auto" w:sz="4" w:space="0"/>
                    <w:tl2br w:val="nil"/>
                    <w:tr2bl w:val="nil"/>
                  </w:tcBorders>
                  <w:shd w:val="clear" w:color="auto" w:fill="auto"/>
                  <w:noWrap w:val="0"/>
                  <w:vAlign w:val="center"/>
                </w:tcPr>
                <w:p w14:paraId="420F224F">
                  <w:pPr>
                    <w:tabs>
                      <w:tab w:val="left" w:pos="3620"/>
                    </w:tabs>
                    <w:adjustRightInd w:val="0"/>
                    <w:snapToGrid w:val="0"/>
                    <w:jc w:val="center"/>
                    <w:rPr>
                      <w:rFonts w:hint="default" w:hAnsi="宋体"/>
                      <w:sz w:val="21"/>
                      <w:szCs w:val="21"/>
                      <w:u w:val="none" w:color="auto"/>
                      <w:lang w:val="en-US" w:eastAsia="zh-CN"/>
                    </w:rPr>
                  </w:pPr>
                  <w:r>
                    <w:rPr>
                      <w:rFonts w:hint="eastAsia" w:hAnsi="宋体"/>
                      <w:sz w:val="21"/>
                      <w:szCs w:val="21"/>
                      <w:u w:val="none" w:color="auto"/>
                      <w:lang w:val="en-US" w:eastAsia="zh-CN"/>
                    </w:rPr>
                    <w:t>颗粒物</w:t>
                  </w:r>
                </w:p>
              </w:tc>
              <w:tc>
                <w:tcPr>
                  <w:tcW w:w="2101" w:type="dxa"/>
                  <w:tcBorders>
                    <w:top w:val="single" w:color="auto" w:sz="4" w:space="0"/>
                    <w:tl2br w:val="nil"/>
                    <w:tr2bl w:val="nil"/>
                  </w:tcBorders>
                  <w:shd w:val="clear" w:color="auto" w:fill="auto"/>
                  <w:noWrap w:val="0"/>
                  <w:vAlign w:val="center"/>
                </w:tcPr>
                <w:p w14:paraId="5DD09F7E">
                  <w:pPr>
                    <w:tabs>
                      <w:tab w:val="left" w:pos="3620"/>
                    </w:tabs>
                    <w:adjustRightInd w:val="0"/>
                    <w:snapToGrid w:val="0"/>
                    <w:jc w:val="center"/>
                    <w:rPr>
                      <w:rFonts w:hAnsi="宋体"/>
                      <w:sz w:val="21"/>
                      <w:szCs w:val="21"/>
                      <w:u w:val="none" w:color="auto"/>
                      <w:lang w:val="en-GB"/>
                    </w:rPr>
                  </w:pPr>
                  <w:r>
                    <w:rPr>
                      <w:rFonts w:hint="eastAsia" w:hAnsi="宋体"/>
                      <w:sz w:val="21"/>
                      <w:szCs w:val="21"/>
                      <w:u w:val="none" w:color="auto"/>
                      <w:lang w:val="en-GB"/>
                    </w:rPr>
                    <w:t>半</w:t>
                  </w:r>
                  <w:r>
                    <w:rPr>
                      <w:rFonts w:hAnsi="宋体"/>
                      <w:sz w:val="21"/>
                      <w:szCs w:val="21"/>
                      <w:u w:val="none" w:color="auto"/>
                      <w:lang w:val="en-GB"/>
                    </w:rPr>
                    <w:t>年</w:t>
                  </w:r>
                  <w:r>
                    <w:rPr>
                      <w:rFonts w:hint="eastAsia" w:hAnsi="宋体"/>
                      <w:sz w:val="21"/>
                      <w:szCs w:val="21"/>
                      <w:u w:val="none" w:color="auto"/>
                      <w:lang w:val="en-US" w:eastAsia="zh-CN"/>
                    </w:rPr>
                    <w:t>/</w:t>
                  </w:r>
                  <w:r>
                    <w:rPr>
                      <w:rFonts w:hAnsi="宋体"/>
                      <w:sz w:val="21"/>
                      <w:szCs w:val="21"/>
                      <w:u w:val="none" w:color="auto"/>
                      <w:lang w:val="en-GB"/>
                    </w:rPr>
                    <w:t>次</w:t>
                  </w:r>
                </w:p>
              </w:tc>
            </w:tr>
            <w:tr w14:paraId="334D232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86" w:type="dxa"/>
                  <w:tcBorders>
                    <w:tl2br w:val="nil"/>
                    <w:tr2bl w:val="nil"/>
                  </w:tcBorders>
                  <w:shd w:val="clear" w:color="auto" w:fill="auto"/>
                  <w:noWrap w:val="0"/>
                  <w:vAlign w:val="center"/>
                </w:tcPr>
                <w:p w14:paraId="4B66F124">
                  <w:pPr>
                    <w:adjustRightInd w:val="0"/>
                    <w:snapToGrid w:val="0"/>
                    <w:jc w:val="center"/>
                    <w:rPr>
                      <w:rFonts w:hint="eastAsia" w:eastAsia="宋体"/>
                      <w:sz w:val="21"/>
                      <w:szCs w:val="21"/>
                      <w:u w:val="none" w:color="auto"/>
                      <w:lang w:val="en-US" w:eastAsia="zh-CN"/>
                    </w:rPr>
                  </w:pPr>
                  <w:r>
                    <w:rPr>
                      <w:rFonts w:hint="eastAsia"/>
                      <w:sz w:val="21"/>
                      <w:szCs w:val="21"/>
                      <w:u w:val="none" w:color="auto"/>
                    </w:rPr>
                    <w:t>DA00</w:t>
                  </w:r>
                  <w:r>
                    <w:rPr>
                      <w:rFonts w:hint="eastAsia"/>
                      <w:sz w:val="21"/>
                      <w:szCs w:val="21"/>
                      <w:u w:val="none" w:color="auto"/>
                      <w:lang w:val="en-US" w:eastAsia="zh-CN"/>
                    </w:rPr>
                    <w:t>3</w:t>
                  </w:r>
                </w:p>
              </w:tc>
              <w:tc>
                <w:tcPr>
                  <w:tcW w:w="2791" w:type="dxa"/>
                  <w:tcBorders>
                    <w:tl2br w:val="nil"/>
                    <w:tr2bl w:val="nil"/>
                  </w:tcBorders>
                  <w:shd w:val="clear" w:color="auto" w:fill="auto"/>
                  <w:noWrap w:val="0"/>
                  <w:vAlign w:val="center"/>
                </w:tcPr>
                <w:p w14:paraId="6DC1E148">
                  <w:pPr>
                    <w:tabs>
                      <w:tab w:val="left" w:pos="3620"/>
                    </w:tabs>
                    <w:adjustRightInd w:val="0"/>
                    <w:snapToGrid w:val="0"/>
                    <w:jc w:val="center"/>
                    <w:rPr>
                      <w:rFonts w:hint="default" w:hAnsi="宋体"/>
                      <w:sz w:val="21"/>
                      <w:szCs w:val="21"/>
                      <w:u w:val="none" w:color="auto"/>
                      <w:lang w:val="en-US" w:eastAsia="zh-CN"/>
                    </w:rPr>
                  </w:pPr>
                  <w:r>
                    <w:rPr>
                      <w:rFonts w:hint="eastAsia" w:hAnsi="宋体"/>
                      <w:sz w:val="21"/>
                      <w:szCs w:val="21"/>
                      <w:u w:val="none" w:color="auto"/>
                      <w:lang w:val="en-US" w:eastAsia="zh-CN"/>
                    </w:rPr>
                    <w:t>氨、硫化氢、臭气浓度</w:t>
                  </w:r>
                </w:p>
              </w:tc>
              <w:tc>
                <w:tcPr>
                  <w:tcW w:w="2101" w:type="dxa"/>
                  <w:tcBorders>
                    <w:tl2br w:val="nil"/>
                    <w:tr2bl w:val="nil"/>
                  </w:tcBorders>
                  <w:shd w:val="clear" w:color="auto" w:fill="auto"/>
                  <w:noWrap w:val="0"/>
                  <w:vAlign w:val="center"/>
                </w:tcPr>
                <w:p w14:paraId="6FA71AA5">
                  <w:pPr>
                    <w:tabs>
                      <w:tab w:val="left" w:pos="3620"/>
                    </w:tabs>
                    <w:adjustRightInd w:val="0"/>
                    <w:snapToGrid w:val="0"/>
                    <w:jc w:val="center"/>
                    <w:rPr>
                      <w:rFonts w:hAnsi="宋体"/>
                      <w:sz w:val="21"/>
                      <w:szCs w:val="21"/>
                      <w:u w:val="none" w:color="auto"/>
                      <w:lang w:val="en-GB"/>
                    </w:rPr>
                  </w:pPr>
                  <w:r>
                    <w:rPr>
                      <w:rFonts w:hint="eastAsia" w:hAnsi="宋体"/>
                      <w:sz w:val="21"/>
                      <w:szCs w:val="21"/>
                      <w:u w:val="none" w:color="auto"/>
                      <w:lang w:val="en-US" w:eastAsia="zh-CN"/>
                    </w:rPr>
                    <w:t>一</w:t>
                  </w:r>
                  <w:r>
                    <w:rPr>
                      <w:rFonts w:hAnsi="宋体"/>
                      <w:sz w:val="21"/>
                      <w:szCs w:val="21"/>
                      <w:u w:val="none" w:color="auto"/>
                      <w:lang w:val="en-GB"/>
                    </w:rPr>
                    <w:t>年</w:t>
                  </w:r>
                  <w:r>
                    <w:rPr>
                      <w:rFonts w:hint="eastAsia" w:hAnsi="宋体"/>
                      <w:sz w:val="21"/>
                      <w:szCs w:val="21"/>
                      <w:u w:val="none" w:color="auto"/>
                      <w:lang w:val="en-US" w:eastAsia="zh-CN"/>
                    </w:rPr>
                    <w:t>/</w:t>
                  </w:r>
                  <w:r>
                    <w:rPr>
                      <w:rFonts w:hAnsi="宋体"/>
                      <w:sz w:val="21"/>
                      <w:szCs w:val="21"/>
                      <w:u w:val="none" w:color="auto"/>
                      <w:lang w:val="en-GB"/>
                    </w:rPr>
                    <w:t>次</w:t>
                  </w:r>
                </w:p>
              </w:tc>
            </w:tr>
            <w:tr w14:paraId="33A8349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86" w:type="dxa"/>
                  <w:vMerge w:val="restart"/>
                  <w:tcBorders>
                    <w:tl2br w:val="nil"/>
                    <w:tr2bl w:val="nil"/>
                  </w:tcBorders>
                  <w:shd w:val="clear" w:color="auto" w:fill="auto"/>
                  <w:noWrap w:val="0"/>
                  <w:vAlign w:val="center"/>
                </w:tcPr>
                <w:p w14:paraId="2BEE6F33">
                  <w:pPr>
                    <w:tabs>
                      <w:tab w:val="left" w:pos="3620"/>
                    </w:tabs>
                    <w:adjustRightInd w:val="0"/>
                    <w:snapToGrid w:val="0"/>
                    <w:jc w:val="center"/>
                    <w:rPr>
                      <w:rFonts w:hAnsi="宋体"/>
                      <w:sz w:val="21"/>
                      <w:szCs w:val="21"/>
                      <w:u w:val="none" w:color="auto"/>
                    </w:rPr>
                  </w:pPr>
                  <w:r>
                    <w:rPr>
                      <w:rFonts w:hAnsi="宋体"/>
                      <w:sz w:val="21"/>
                      <w:szCs w:val="21"/>
                      <w:u w:val="none" w:color="auto"/>
                    </w:rPr>
                    <w:t>厂界</w:t>
                  </w:r>
                </w:p>
              </w:tc>
              <w:tc>
                <w:tcPr>
                  <w:tcW w:w="2791" w:type="dxa"/>
                  <w:tcBorders>
                    <w:tl2br w:val="nil"/>
                    <w:tr2bl w:val="nil"/>
                  </w:tcBorders>
                  <w:shd w:val="clear" w:color="auto" w:fill="auto"/>
                  <w:noWrap w:val="0"/>
                  <w:vAlign w:val="center"/>
                </w:tcPr>
                <w:p w14:paraId="6F7CA2CF">
                  <w:pPr>
                    <w:tabs>
                      <w:tab w:val="left" w:pos="3620"/>
                    </w:tabs>
                    <w:adjustRightInd w:val="0"/>
                    <w:snapToGrid w:val="0"/>
                    <w:jc w:val="center"/>
                    <w:rPr>
                      <w:rFonts w:hint="eastAsia" w:hAnsi="宋体"/>
                      <w:sz w:val="21"/>
                      <w:szCs w:val="21"/>
                      <w:u w:val="none" w:color="auto"/>
                      <w:lang w:val="en-US" w:eastAsia="zh-CN"/>
                    </w:rPr>
                  </w:pPr>
                  <w:r>
                    <w:rPr>
                      <w:rFonts w:hint="eastAsia" w:hAnsi="宋体"/>
                      <w:sz w:val="21"/>
                      <w:szCs w:val="21"/>
                      <w:u w:val="none" w:color="auto"/>
                      <w:lang w:val="en-US" w:eastAsia="zh-CN"/>
                    </w:rPr>
                    <w:t>颗粒物</w:t>
                  </w:r>
                </w:p>
              </w:tc>
              <w:tc>
                <w:tcPr>
                  <w:tcW w:w="2101" w:type="dxa"/>
                  <w:vMerge w:val="restart"/>
                  <w:tcBorders>
                    <w:tl2br w:val="nil"/>
                    <w:tr2bl w:val="nil"/>
                  </w:tcBorders>
                  <w:shd w:val="clear" w:color="auto" w:fill="auto"/>
                  <w:noWrap w:val="0"/>
                  <w:vAlign w:val="center"/>
                </w:tcPr>
                <w:p w14:paraId="4D334E9E">
                  <w:pPr>
                    <w:tabs>
                      <w:tab w:val="left" w:pos="3620"/>
                    </w:tabs>
                    <w:adjustRightInd w:val="0"/>
                    <w:snapToGrid w:val="0"/>
                    <w:jc w:val="center"/>
                    <w:rPr>
                      <w:rFonts w:hAnsi="宋体"/>
                      <w:sz w:val="21"/>
                      <w:szCs w:val="21"/>
                      <w:u w:val="none" w:color="auto"/>
                      <w:lang w:val="en-GB"/>
                    </w:rPr>
                  </w:pPr>
                  <w:r>
                    <w:rPr>
                      <w:rFonts w:hint="eastAsia" w:hAnsi="宋体"/>
                      <w:sz w:val="21"/>
                      <w:szCs w:val="21"/>
                      <w:u w:val="none" w:color="auto"/>
                      <w:lang w:val="en-US" w:eastAsia="zh-CN"/>
                    </w:rPr>
                    <w:t>一</w:t>
                  </w:r>
                  <w:r>
                    <w:rPr>
                      <w:rFonts w:hAnsi="宋体"/>
                      <w:sz w:val="21"/>
                      <w:szCs w:val="21"/>
                      <w:u w:val="none" w:color="auto"/>
                      <w:lang w:val="en-GB"/>
                    </w:rPr>
                    <w:t>年</w:t>
                  </w:r>
                  <w:r>
                    <w:rPr>
                      <w:rFonts w:hint="eastAsia" w:hAnsi="宋体"/>
                      <w:sz w:val="21"/>
                      <w:szCs w:val="21"/>
                      <w:u w:val="none" w:color="auto"/>
                      <w:lang w:val="en-US" w:eastAsia="zh-CN"/>
                    </w:rPr>
                    <w:t>/</w:t>
                  </w:r>
                  <w:r>
                    <w:rPr>
                      <w:rFonts w:hAnsi="宋体"/>
                      <w:sz w:val="21"/>
                      <w:szCs w:val="21"/>
                      <w:u w:val="none" w:color="auto"/>
                      <w:lang w:val="en-GB"/>
                    </w:rPr>
                    <w:t>次</w:t>
                  </w:r>
                </w:p>
              </w:tc>
            </w:tr>
            <w:tr w14:paraId="69802B7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786" w:type="dxa"/>
                  <w:vMerge w:val="continue"/>
                  <w:tcBorders>
                    <w:tl2br w:val="nil"/>
                    <w:tr2bl w:val="nil"/>
                  </w:tcBorders>
                  <w:shd w:val="clear" w:color="auto" w:fill="auto"/>
                  <w:noWrap w:val="0"/>
                  <w:vAlign w:val="center"/>
                </w:tcPr>
                <w:p w14:paraId="0745F223">
                  <w:pPr>
                    <w:tabs>
                      <w:tab w:val="left" w:pos="3620"/>
                    </w:tabs>
                    <w:adjustRightInd w:val="0"/>
                    <w:snapToGrid w:val="0"/>
                    <w:jc w:val="center"/>
                    <w:rPr>
                      <w:rFonts w:hAnsi="宋体"/>
                      <w:sz w:val="21"/>
                      <w:szCs w:val="21"/>
                      <w:u w:val="none" w:color="auto"/>
                    </w:rPr>
                  </w:pPr>
                </w:p>
              </w:tc>
              <w:tc>
                <w:tcPr>
                  <w:tcW w:w="2791" w:type="dxa"/>
                  <w:tcBorders>
                    <w:tl2br w:val="nil"/>
                    <w:tr2bl w:val="nil"/>
                  </w:tcBorders>
                  <w:shd w:val="clear" w:color="auto" w:fill="auto"/>
                  <w:noWrap w:val="0"/>
                  <w:vAlign w:val="center"/>
                </w:tcPr>
                <w:p w14:paraId="12EAEDD3">
                  <w:pPr>
                    <w:tabs>
                      <w:tab w:val="left" w:pos="3620"/>
                    </w:tabs>
                    <w:adjustRightInd w:val="0"/>
                    <w:snapToGrid w:val="0"/>
                    <w:jc w:val="center"/>
                    <w:rPr>
                      <w:rFonts w:hint="eastAsia" w:hAnsi="宋体"/>
                      <w:sz w:val="21"/>
                      <w:szCs w:val="21"/>
                      <w:u w:val="none" w:color="auto"/>
                      <w:lang w:val="en-US" w:eastAsia="zh-CN"/>
                    </w:rPr>
                  </w:pPr>
                  <w:r>
                    <w:rPr>
                      <w:rFonts w:hint="eastAsia" w:hAnsi="宋体"/>
                      <w:sz w:val="21"/>
                      <w:szCs w:val="21"/>
                      <w:u w:val="none" w:color="auto"/>
                      <w:lang w:val="en-US" w:eastAsia="zh-CN"/>
                    </w:rPr>
                    <w:t>非甲烷总烃</w:t>
                  </w:r>
                </w:p>
              </w:tc>
              <w:tc>
                <w:tcPr>
                  <w:tcW w:w="2101" w:type="dxa"/>
                  <w:vMerge w:val="continue"/>
                  <w:tcBorders>
                    <w:tl2br w:val="nil"/>
                    <w:tr2bl w:val="nil"/>
                  </w:tcBorders>
                  <w:shd w:val="clear" w:color="auto" w:fill="auto"/>
                  <w:noWrap w:val="0"/>
                  <w:vAlign w:val="center"/>
                </w:tcPr>
                <w:p w14:paraId="5D9EB359">
                  <w:pPr>
                    <w:tabs>
                      <w:tab w:val="left" w:pos="3620"/>
                    </w:tabs>
                    <w:adjustRightInd w:val="0"/>
                    <w:snapToGrid w:val="0"/>
                    <w:jc w:val="center"/>
                    <w:rPr>
                      <w:rFonts w:hAnsi="宋体"/>
                      <w:sz w:val="21"/>
                      <w:szCs w:val="21"/>
                      <w:u w:val="none" w:color="auto"/>
                      <w:lang w:val="en-GB"/>
                    </w:rPr>
                  </w:pPr>
                </w:p>
              </w:tc>
            </w:tr>
            <w:tr w14:paraId="4D8ABE2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786" w:type="dxa"/>
                  <w:vMerge w:val="continue"/>
                  <w:tcBorders>
                    <w:tl2br w:val="nil"/>
                    <w:tr2bl w:val="nil"/>
                  </w:tcBorders>
                  <w:shd w:val="clear" w:color="auto" w:fill="auto"/>
                  <w:noWrap w:val="0"/>
                  <w:vAlign w:val="center"/>
                </w:tcPr>
                <w:p w14:paraId="337133C7">
                  <w:pPr>
                    <w:tabs>
                      <w:tab w:val="left" w:pos="3620"/>
                    </w:tabs>
                    <w:adjustRightInd w:val="0"/>
                    <w:snapToGrid w:val="0"/>
                    <w:jc w:val="center"/>
                    <w:rPr>
                      <w:rFonts w:hAnsi="宋体"/>
                      <w:sz w:val="21"/>
                      <w:szCs w:val="21"/>
                      <w:u w:val="none" w:color="auto"/>
                    </w:rPr>
                  </w:pPr>
                </w:p>
              </w:tc>
              <w:tc>
                <w:tcPr>
                  <w:tcW w:w="2791" w:type="dxa"/>
                  <w:tcBorders>
                    <w:tl2br w:val="nil"/>
                    <w:tr2bl w:val="nil"/>
                  </w:tcBorders>
                  <w:shd w:val="clear" w:color="auto" w:fill="auto"/>
                  <w:noWrap w:val="0"/>
                  <w:vAlign w:val="center"/>
                </w:tcPr>
                <w:p w14:paraId="40C413CC">
                  <w:pPr>
                    <w:tabs>
                      <w:tab w:val="left" w:pos="3620"/>
                    </w:tabs>
                    <w:adjustRightInd w:val="0"/>
                    <w:snapToGrid w:val="0"/>
                    <w:jc w:val="center"/>
                    <w:rPr>
                      <w:rFonts w:hint="eastAsia" w:hAnsi="宋体"/>
                      <w:sz w:val="21"/>
                      <w:szCs w:val="21"/>
                      <w:u w:val="none" w:color="auto"/>
                      <w:lang w:val="en-US" w:eastAsia="zh-CN"/>
                    </w:rPr>
                  </w:pPr>
                  <w:r>
                    <w:rPr>
                      <w:rFonts w:hint="eastAsia" w:hAnsi="宋体"/>
                      <w:sz w:val="21"/>
                      <w:szCs w:val="21"/>
                      <w:u w:val="none" w:color="auto"/>
                      <w:lang w:val="en-US" w:eastAsia="zh-CN"/>
                    </w:rPr>
                    <w:t>氨、硫化氢、臭气浓度</w:t>
                  </w:r>
                </w:p>
              </w:tc>
              <w:tc>
                <w:tcPr>
                  <w:tcW w:w="2101" w:type="dxa"/>
                  <w:tcBorders>
                    <w:tl2br w:val="nil"/>
                    <w:tr2bl w:val="nil"/>
                  </w:tcBorders>
                  <w:shd w:val="clear" w:color="auto" w:fill="auto"/>
                  <w:noWrap w:val="0"/>
                  <w:vAlign w:val="center"/>
                </w:tcPr>
                <w:p w14:paraId="49131BE7">
                  <w:pPr>
                    <w:tabs>
                      <w:tab w:val="left" w:pos="3620"/>
                    </w:tabs>
                    <w:adjustRightInd w:val="0"/>
                    <w:snapToGrid w:val="0"/>
                    <w:jc w:val="center"/>
                    <w:rPr>
                      <w:rFonts w:hAnsi="宋体"/>
                      <w:sz w:val="21"/>
                      <w:szCs w:val="21"/>
                      <w:u w:val="none" w:color="auto"/>
                      <w:lang w:val="en-GB"/>
                    </w:rPr>
                  </w:pPr>
                  <w:r>
                    <w:rPr>
                      <w:rFonts w:hint="eastAsia" w:hAnsi="宋体"/>
                      <w:sz w:val="21"/>
                      <w:szCs w:val="21"/>
                      <w:u w:val="none" w:color="auto"/>
                      <w:lang w:val="en-US" w:eastAsia="zh-CN"/>
                    </w:rPr>
                    <w:t>一</w:t>
                  </w:r>
                  <w:r>
                    <w:rPr>
                      <w:rFonts w:hAnsi="宋体"/>
                      <w:sz w:val="21"/>
                      <w:szCs w:val="21"/>
                      <w:u w:val="none" w:color="auto"/>
                      <w:lang w:val="en-GB"/>
                    </w:rPr>
                    <w:t>年</w:t>
                  </w:r>
                  <w:r>
                    <w:rPr>
                      <w:rFonts w:hint="eastAsia" w:hAnsi="宋体"/>
                      <w:sz w:val="21"/>
                      <w:szCs w:val="21"/>
                      <w:u w:val="none" w:color="auto"/>
                      <w:lang w:val="en-US" w:eastAsia="zh-CN"/>
                    </w:rPr>
                    <w:t>/</w:t>
                  </w:r>
                  <w:r>
                    <w:rPr>
                      <w:rFonts w:hAnsi="宋体"/>
                      <w:sz w:val="21"/>
                      <w:szCs w:val="21"/>
                      <w:u w:val="none" w:color="auto"/>
                      <w:lang w:val="en-GB"/>
                    </w:rPr>
                    <w:t>次</w:t>
                  </w:r>
                </w:p>
              </w:tc>
            </w:tr>
          </w:tbl>
          <w:p w14:paraId="5B76A85C">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420" w:leftChars="0"/>
              <w:textAlignment w:val="auto"/>
              <w:rPr>
                <w:b/>
                <w:bCs/>
                <w:sz w:val="24"/>
                <w:u w:val="none" w:color="auto"/>
              </w:rPr>
            </w:pPr>
            <w:r>
              <w:rPr>
                <w:rFonts w:hint="eastAsia"/>
                <w:b/>
                <w:bCs/>
                <w:sz w:val="24"/>
                <w:u w:val="none" w:color="auto"/>
                <w:lang w:val="en-US" w:eastAsia="zh-CN"/>
              </w:rPr>
              <w:t>二、</w:t>
            </w:r>
            <w:r>
              <w:rPr>
                <w:b/>
                <w:bCs/>
                <w:sz w:val="24"/>
                <w:u w:val="none" w:color="auto"/>
              </w:rPr>
              <w:t>废水</w:t>
            </w:r>
          </w:p>
          <w:p w14:paraId="0CE00568">
            <w:pPr>
              <w:adjustRightInd w:val="0"/>
              <w:spacing w:line="440" w:lineRule="exact"/>
              <w:ind w:firstLine="482" w:firstLineChars="200"/>
              <w:jc w:val="left"/>
              <w:rPr>
                <w:b/>
                <w:bCs/>
                <w:sz w:val="24"/>
                <w:u w:val="none" w:color="auto"/>
              </w:rPr>
            </w:pPr>
            <w:r>
              <w:rPr>
                <w:rFonts w:hint="eastAsia"/>
                <w:b/>
                <w:bCs/>
                <w:sz w:val="24"/>
                <w:u w:val="none" w:color="auto"/>
              </w:rPr>
              <w:t>（一）废水产排情况分析</w:t>
            </w:r>
          </w:p>
          <w:p w14:paraId="7B626BD4">
            <w:pPr>
              <w:keepNext w:val="0"/>
              <w:keepLines w:val="0"/>
              <w:pageBreakBefore w:val="0"/>
              <w:widowControl w:val="0"/>
              <w:kinsoku/>
              <w:wordWrap/>
              <w:overflowPunct/>
              <w:topLinePunct w:val="0"/>
              <w:autoSpaceDE/>
              <w:autoSpaceDN/>
              <w:bidi w:val="0"/>
              <w:adjustRightInd w:val="0"/>
              <w:spacing w:line="440" w:lineRule="exact"/>
              <w:ind w:firstLine="470" w:firstLineChars="196"/>
              <w:textAlignment w:val="auto"/>
              <w:rPr>
                <w:rFonts w:hint="default" w:ascii="宋体" w:hAnsi="宋体" w:eastAsia="宋体"/>
                <w:sz w:val="24"/>
                <w:u w:val="none" w:color="auto"/>
                <w:lang w:val="en-US" w:eastAsia="zh-CN"/>
              </w:rPr>
            </w:pPr>
            <w:r>
              <w:rPr>
                <w:rFonts w:hint="eastAsia" w:ascii="宋体" w:hAnsi="宋体"/>
                <w:sz w:val="24"/>
                <w:u w:val="none" w:color="auto"/>
                <w:lang w:val="en-US" w:eastAsia="zh-CN"/>
              </w:rPr>
              <w:t>本项目废水主要为生活污水以及生产废水。生产废水主要包含设备清洗废水、纯水制备废水、电池清洗</w:t>
            </w:r>
            <w:r>
              <w:rPr>
                <w:rFonts w:hint="default" w:ascii="Times New Roman" w:hAnsi="Times New Roman" w:eastAsia="宋体" w:cs="Times New Roman"/>
                <w:sz w:val="24"/>
                <w:u w:val="none" w:color="auto"/>
                <w:lang w:val="en-US" w:eastAsia="zh-CN"/>
              </w:rPr>
              <w:t>废水、NMP回收系统冷却水等。</w:t>
            </w:r>
          </w:p>
          <w:p w14:paraId="0CEE4CE3">
            <w:pPr>
              <w:keepNext w:val="0"/>
              <w:keepLines w:val="0"/>
              <w:pageBreakBefore w:val="0"/>
              <w:widowControl w:val="0"/>
              <w:kinsoku/>
              <w:wordWrap/>
              <w:overflowPunct/>
              <w:topLinePunct w:val="0"/>
              <w:autoSpaceDE/>
              <w:autoSpaceDN/>
              <w:bidi w:val="0"/>
              <w:adjustRightInd w:val="0"/>
              <w:spacing w:line="440" w:lineRule="exact"/>
              <w:ind w:firstLine="470" w:firstLineChars="196"/>
              <w:textAlignment w:val="auto"/>
              <w:rPr>
                <w:rFonts w:hint="eastAsia" w:ascii="Times New Roman" w:hAnsi="Times New Roman" w:eastAsia="宋体" w:cs="Times New Roman"/>
                <w:b w:val="0"/>
                <w:bCs w:val="0"/>
                <w:color w:val="000000"/>
                <w:kern w:val="2"/>
                <w:sz w:val="24"/>
                <w:szCs w:val="24"/>
                <w:u w:val="none" w:color="auto"/>
                <w:lang w:val="en-US" w:eastAsia="zh-CN" w:bidi="ar-SA"/>
              </w:rPr>
            </w:pPr>
            <w:r>
              <w:rPr>
                <w:rFonts w:hint="eastAsia" w:ascii="宋体" w:hAnsi="宋体"/>
                <w:b w:val="0"/>
                <w:bCs w:val="0"/>
                <w:sz w:val="24"/>
                <w:u w:val="none" w:color="auto"/>
              </w:rPr>
              <w:t>①</w:t>
            </w:r>
            <w:r>
              <w:rPr>
                <w:rFonts w:hint="eastAsia"/>
                <w:b w:val="0"/>
                <w:bCs w:val="0"/>
                <w:sz w:val="24"/>
                <w:u w:val="none" w:color="auto"/>
              </w:rPr>
              <w:t>生活</w:t>
            </w:r>
            <w:r>
              <w:rPr>
                <w:rFonts w:hint="eastAsia"/>
                <w:b w:val="0"/>
                <w:bCs w:val="0"/>
                <w:sz w:val="24"/>
                <w:u w:val="none" w:color="auto"/>
                <w:lang w:val="en-US" w:eastAsia="zh-CN"/>
              </w:rPr>
              <w:t>污</w:t>
            </w:r>
            <w:r>
              <w:rPr>
                <w:rFonts w:hint="eastAsia"/>
                <w:b w:val="0"/>
                <w:bCs w:val="0"/>
                <w:sz w:val="24"/>
                <w:u w:val="none" w:color="auto"/>
              </w:rPr>
              <w:t>水</w:t>
            </w:r>
          </w:p>
          <w:p w14:paraId="48A39506">
            <w:pPr>
              <w:keepNext w:val="0"/>
              <w:keepLines w:val="0"/>
              <w:pageBreakBefore w:val="0"/>
              <w:widowControl w:val="0"/>
              <w:kinsoku/>
              <w:wordWrap/>
              <w:overflowPunct/>
              <w:topLinePunct w:val="0"/>
              <w:autoSpaceDE/>
              <w:autoSpaceDN/>
              <w:bidi w:val="0"/>
              <w:spacing w:line="440" w:lineRule="exact"/>
              <w:ind w:firstLine="480" w:firstLineChars="200"/>
              <w:rPr>
                <w:rFonts w:hint="eastAsia" w:eastAsia="宋体" w:cs="Times New Roman"/>
                <w:sz w:val="24"/>
                <w:highlight w:val="none"/>
                <w:u w:val="none" w:color="auto"/>
                <w:lang w:val="en-US" w:eastAsia="zh-CN"/>
              </w:rPr>
            </w:pPr>
            <w:r>
              <w:rPr>
                <w:rFonts w:hint="eastAsia" w:hAnsi="宋体"/>
                <w:bCs/>
                <w:color w:val="000000"/>
                <w:sz w:val="24"/>
                <w:u w:val="none" w:color="auto"/>
                <w:lang w:val="en-US" w:eastAsia="zh-CN"/>
              </w:rPr>
              <w:t>本项目</w:t>
            </w:r>
            <w:r>
              <w:rPr>
                <w:rFonts w:hint="eastAsia" w:hAnsi="宋体"/>
                <w:bCs/>
                <w:color w:val="000000"/>
                <w:sz w:val="24"/>
                <w:u w:val="none" w:color="auto"/>
              </w:rPr>
              <w:t>职工</w:t>
            </w:r>
            <w:r>
              <w:rPr>
                <w:rFonts w:hint="eastAsia" w:hAnsi="宋体"/>
                <w:bCs/>
                <w:color w:val="000000"/>
                <w:sz w:val="24"/>
                <w:u w:val="none" w:color="auto"/>
                <w:lang w:val="en-US" w:eastAsia="zh-CN"/>
              </w:rPr>
              <w:t>150</w:t>
            </w:r>
            <w:r>
              <w:rPr>
                <w:rFonts w:hint="eastAsia" w:hAnsi="宋体"/>
                <w:bCs/>
                <w:color w:val="000000"/>
                <w:sz w:val="24"/>
                <w:u w:val="none" w:color="auto"/>
              </w:rPr>
              <w:t>人，年工作</w:t>
            </w:r>
            <w:r>
              <w:rPr>
                <w:rFonts w:hint="eastAsia" w:hAnsi="宋体"/>
                <w:bCs/>
                <w:color w:val="000000"/>
                <w:sz w:val="24"/>
                <w:u w:val="none" w:color="auto"/>
                <w:lang w:val="en-US" w:eastAsia="zh-CN"/>
              </w:rPr>
              <w:t>330</w:t>
            </w:r>
            <w:r>
              <w:rPr>
                <w:rFonts w:hint="eastAsia" w:hAnsi="宋体"/>
                <w:bCs/>
                <w:color w:val="000000"/>
                <w:sz w:val="24"/>
                <w:u w:val="none" w:color="auto"/>
              </w:rPr>
              <w:t>天，</w:t>
            </w:r>
            <w:r>
              <w:rPr>
                <w:rFonts w:hint="eastAsia" w:hAnsi="宋体"/>
                <w:bCs/>
                <w:color w:val="000000"/>
                <w:sz w:val="24"/>
                <w:u w:val="none" w:color="auto"/>
                <w:lang w:val="en-US" w:eastAsia="zh-CN"/>
              </w:rPr>
              <w:t>厂区内不提供食宿。</w:t>
            </w:r>
            <w:r>
              <w:rPr>
                <w:rFonts w:hint="eastAsia" w:hAnsi="宋体"/>
                <w:color w:val="000000"/>
                <w:sz w:val="24"/>
                <w:u w:val="none" w:color="auto"/>
                <w:lang w:val="en-US" w:eastAsia="zh-CN"/>
              </w:rPr>
              <w:t>生活用水按照30</w:t>
            </w:r>
            <w:r>
              <w:rPr>
                <w:rFonts w:hint="eastAsia" w:hAnsi="宋体"/>
                <w:color w:val="000000"/>
                <w:sz w:val="24"/>
                <w:u w:val="none" w:color="auto"/>
              </w:rPr>
              <w:t>L/人</w:t>
            </w:r>
            <w:r>
              <w:rPr>
                <w:rFonts w:hAnsi="宋体"/>
                <w:bCs/>
                <w:color w:val="000000"/>
                <w:sz w:val="24"/>
                <w:u w:val="none" w:color="auto"/>
              </w:rPr>
              <w:t>•d</w:t>
            </w:r>
            <w:r>
              <w:rPr>
                <w:rFonts w:hint="eastAsia" w:hAnsi="宋体"/>
                <w:color w:val="000000"/>
                <w:sz w:val="24"/>
                <w:u w:val="none" w:color="auto"/>
              </w:rPr>
              <w:t>计</w:t>
            </w:r>
            <w:r>
              <w:rPr>
                <w:rFonts w:hint="eastAsia" w:hAnsi="宋体"/>
                <w:color w:val="000000"/>
                <w:sz w:val="24"/>
                <w:u w:val="none" w:color="auto"/>
                <w:lang w:eastAsia="zh-CN"/>
              </w:rPr>
              <w:t>，</w:t>
            </w:r>
            <w:r>
              <w:rPr>
                <w:rFonts w:hint="eastAsia" w:hAnsi="宋体"/>
                <w:color w:val="000000"/>
                <w:sz w:val="24"/>
                <w:u w:val="none" w:color="auto"/>
                <w:lang w:val="en-US" w:eastAsia="zh-CN"/>
              </w:rPr>
              <w:t>则生活用水量为4.5</w:t>
            </w:r>
            <w:r>
              <w:rPr>
                <w:rFonts w:hint="eastAsia" w:hAnsi="宋体"/>
                <w:color w:val="000000"/>
                <w:sz w:val="24"/>
                <w:u w:val="none" w:color="auto"/>
              </w:rPr>
              <w:t>m</w:t>
            </w:r>
            <w:r>
              <w:rPr>
                <w:rFonts w:hint="eastAsia" w:hAnsi="宋体"/>
                <w:color w:val="000000"/>
                <w:sz w:val="24"/>
                <w:u w:val="none" w:color="auto"/>
                <w:vertAlign w:val="superscript"/>
              </w:rPr>
              <w:t>3</w:t>
            </w:r>
            <w:r>
              <w:rPr>
                <w:rFonts w:hint="eastAsia" w:hAnsi="宋体"/>
                <w:color w:val="000000"/>
                <w:sz w:val="24"/>
                <w:u w:val="none" w:color="auto"/>
              </w:rPr>
              <w:t>/d（</w:t>
            </w:r>
            <w:r>
              <w:rPr>
                <w:rFonts w:hint="eastAsia" w:hAnsi="宋体"/>
                <w:color w:val="000000"/>
                <w:sz w:val="24"/>
                <w:u w:val="none" w:color="auto"/>
                <w:lang w:val="en-US" w:eastAsia="zh-CN"/>
              </w:rPr>
              <w:t>1485</w:t>
            </w:r>
            <w:r>
              <w:rPr>
                <w:rFonts w:hint="eastAsia" w:hAnsi="宋体"/>
                <w:color w:val="000000"/>
                <w:sz w:val="24"/>
                <w:u w:val="none" w:color="auto"/>
              </w:rPr>
              <w:t>m</w:t>
            </w:r>
            <w:r>
              <w:rPr>
                <w:rFonts w:hint="eastAsia" w:hAnsi="宋体"/>
                <w:color w:val="000000"/>
                <w:sz w:val="24"/>
                <w:u w:val="none" w:color="auto"/>
                <w:vertAlign w:val="superscript"/>
              </w:rPr>
              <w:t>3</w:t>
            </w:r>
            <w:r>
              <w:rPr>
                <w:rFonts w:hint="eastAsia" w:hAnsi="宋体"/>
                <w:color w:val="000000"/>
                <w:sz w:val="24"/>
                <w:u w:val="none" w:color="auto"/>
              </w:rPr>
              <w:t>/a）</w:t>
            </w:r>
            <w:r>
              <w:rPr>
                <w:rFonts w:hint="eastAsia" w:hAnsi="宋体"/>
                <w:color w:val="000000"/>
                <w:sz w:val="24"/>
                <w:u w:val="none" w:color="auto"/>
                <w:lang w:eastAsia="zh-CN"/>
              </w:rPr>
              <w:t>，</w:t>
            </w:r>
            <w:r>
              <w:rPr>
                <w:rFonts w:hint="eastAsia" w:hAnsi="宋体"/>
                <w:color w:val="000000"/>
                <w:sz w:val="24"/>
                <w:u w:val="none" w:color="auto"/>
                <w:lang w:val="en-US" w:eastAsia="zh-CN"/>
              </w:rPr>
              <w:t>产污系数均按照</w:t>
            </w:r>
            <w:r>
              <w:rPr>
                <w:rFonts w:hint="eastAsia" w:hAnsi="宋体"/>
                <w:color w:val="000000"/>
                <w:sz w:val="24"/>
                <w:u w:val="none" w:color="auto"/>
              </w:rPr>
              <w:t>80%计</w:t>
            </w:r>
            <w:r>
              <w:rPr>
                <w:rFonts w:hint="eastAsia" w:hAnsi="宋体"/>
                <w:color w:val="000000"/>
                <w:sz w:val="24"/>
                <w:u w:val="none" w:color="auto"/>
                <w:lang w:eastAsia="zh-CN"/>
              </w:rPr>
              <w:t>，</w:t>
            </w:r>
            <w:r>
              <w:rPr>
                <w:rFonts w:hint="eastAsia" w:hAnsi="宋体"/>
                <w:color w:val="000000"/>
                <w:sz w:val="24"/>
                <w:u w:val="none" w:color="auto"/>
                <w:lang w:val="en-US" w:eastAsia="zh-CN"/>
              </w:rPr>
              <w:t>则生活污水</w:t>
            </w:r>
            <w:r>
              <w:rPr>
                <w:rFonts w:hint="eastAsia" w:hAnsi="宋体"/>
                <w:color w:val="000000"/>
                <w:sz w:val="24"/>
                <w:u w:val="none" w:color="auto"/>
              </w:rPr>
              <w:t>排放量为</w:t>
            </w:r>
            <w:r>
              <w:rPr>
                <w:rFonts w:hint="eastAsia" w:hAnsi="宋体"/>
                <w:color w:val="000000"/>
                <w:sz w:val="24"/>
                <w:u w:val="none" w:color="auto"/>
                <w:lang w:val="en-US" w:eastAsia="zh-CN"/>
              </w:rPr>
              <w:t>3.6</w:t>
            </w:r>
            <w:r>
              <w:rPr>
                <w:rFonts w:hint="eastAsia" w:hAnsi="宋体"/>
                <w:color w:val="000000"/>
                <w:sz w:val="24"/>
                <w:u w:val="none" w:color="auto"/>
              </w:rPr>
              <w:t>m</w:t>
            </w:r>
            <w:r>
              <w:rPr>
                <w:rFonts w:hint="eastAsia" w:hAnsi="宋体"/>
                <w:color w:val="000000"/>
                <w:sz w:val="24"/>
                <w:u w:val="none" w:color="auto"/>
                <w:vertAlign w:val="superscript"/>
              </w:rPr>
              <w:t>3</w:t>
            </w:r>
            <w:r>
              <w:rPr>
                <w:rFonts w:hint="eastAsia" w:hAnsi="宋体"/>
                <w:color w:val="000000"/>
                <w:sz w:val="24"/>
                <w:u w:val="none" w:color="auto"/>
              </w:rPr>
              <w:t>/d（</w:t>
            </w:r>
            <w:r>
              <w:rPr>
                <w:rFonts w:hint="eastAsia" w:hAnsi="宋体"/>
                <w:color w:val="000000"/>
                <w:sz w:val="24"/>
                <w:u w:val="none" w:color="auto"/>
                <w:lang w:val="en-US" w:eastAsia="zh-CN"/>
              </w:rPr>
              <w:t>1188</w:t>
            </w:r>
            <w:r>
              <w:rPr>
                <w:rFonts w:hint="eastAsia" w:hAnsi="宋体"/>
                <w:color w:val="000000"/>
                <w:sz w:val="24"/>
                <w:u w:val="none" w:color="auto"/>
              </w:rPr>
              <w:t>m</w:t>
            </w:r>
            <w:r>
              <w:rPr>
                <w:rFonts w:hint="eastAsia" w:hAnsi="宋体"/>
                <w:color w:val="000000"/>
                <w:sz w:val="24"/>
                <w:u w:val="none" w:color="auto"/>
                <w:vertAlign w:val="superscript"/>
              </w:rPr>
              <w:t>3</w:t>
            </w:r>
            <w:r>
              <w:rPr>
                <w:rFonts w:hint="eastAsia" w:hAnsi="宋体"/>
                <w:color w:val="000000"/>
                <w:sz w:val="24"/>
                <w:u w:val="none" w:color="auto"/>
              </w:rPr>
              <w:t>/a）</w:t>
            </w:r>
            <w:r>
              <w:rPr>
                <w:rFonts w:hint="eastAsia" w:hAnsi="宋体"/>
                <w:color w:val="000000"/>
                <w:sz w:val="24"/>
                <w:u w:val="none" w:color="auto"/>
                <w:lang w:eastAsia="zh-CN"/>
              </w:rPr>
              <w:t>。</w:t>
            </w:r>
            <w:r>
              <w:rPr>
                <w:rFonts w:hint="eastAsia" w:ascii="Times New Roman" w:hAnsi="Times New Roman" w:eastAsia="宋体" w:cs="Times New Roman"/>
                <w:sz w:val="24"/>
                <w:highlight w:val="none"/>
                <w:u w:val="none" w:color="auto"/>
                <w:lang w:val="en-US" w:eastAsia="zh-CN"/>
              </w:rPr>
              <w:t>类比一般生活污水水质，废水水质为：COD</w:t>
            </w:r>
            <w:r>
              <w:rPr>
                <w:rFonts w:hint="eastAsia" w:cs="Times New Roman"/>
                <w:sz w:val="24"/>
                <w:highlight w:val="none"/>
                <w:u w:val="none" w:color="auto"/>
                <w:lang w:val="en-US" w:eastAsia="zh-CN"/>
              </w:rPr>
              <w:t>300</w:t>
            </w:r>
            <w:r>
              <w:rPr>
                <w:rFonts w:hint="eastAsia" w:ascii="Times New Roman" w:hAnsi="Times New Roman" w:eastAsia="宋体" w:cs="Times New Roman"/>
                <w:sz w:val="24"/>
                <w:highlight w:val="none"/>
                <w:u w:val="none" w:color="auto"/>
                <w:lang w:val="en-US" w:eastAsia="zh-CN"/>
              </w:rPr>
              <w:t>mg/L、SS</w:t>
            </w:r>
            <w:r>
              <w:rPr>
                <w:rFonts w:hint="eastAsia" w:cs="Times New Roman"/>
                <w:sz w:val="24"/>
                <w:highlight w:val="none"/>
                <w:u w:val="none" w:color="auto"/>
                <w:lang w:val="en-US" w:eastAsia="zh-CN"/>
              </w:rPr>
              <w:t>200</w:t>
            </w:r>
            <w:r>
              <w:rPr>
                <w:rFonts w:hint="eastAsia" w:ascii="Times New Roman" w:hAnsi="Times New Roman" w:eastAsia="宋体" w:cs="Times New Roman"/>
                <w:sz w:val="24"/>
                <w:highlight w:val="none"/>
                <w:u w:val="none" w:color="auto"/>
                <w:lang w:val="en-US" w:eastAsia="zh-CN"/>
              </w:rPr>
              <w:t>mg/L、NH</w:t>
            </w:r>
            <w:r>
              <w:rPr>
                <w:rFonts w:hint="eastAsia" w:ascii="Times New Roman" w:hAnsi="Times New Roman" w:eastAsia="宋体" w:cs="Times New Roman"/>
                <w:sz w:val="24"/>
                <w:highlight w:val="none"/>
                <w:u w:val="none" w:color="auto"/>
                <w:vertAlign w:val="subscript"/>
                <w:lang w:val="en-US" w:eastAsia="zh-CN"/>
              </w:rPr>
              <w:t>3</w:t>
            </w:r>
            <w:r>
              <w:rPr>
                <w:rFonts w:hint="eastAsia" w:ascii="Times New Roman" w:hAnsi="Times New Roman" w:eastAsia="宋体" w:cs="Times New Roman"/>
                <w:sz w:val="24"/>
                <w:highlight w:val="none"/>
                <w:u w:val="none" w:color="auto"/>
                <w:lang w:val="en-US" w:eastAsia="zh-CN"/>
              </w:rPr>
              <w:t>-N</w:t>
            </w:r>
            <w:r>
              <w:rPr>
                <w:rFonts w:hint="eastAsia" w:cs="Times New Roman"/>
                <w:sz w:val="24"/>
                <w:highlight w:val="none"/>
                <w:u w:val="none" w:color="auto"/>
                <w:lang w:val="en-US" w:eastAsia="zh-CN"/>
              </w:rPr>
              <w:t>30</w:t>
            </w:r>
            <w:r>
              <w:rPr>
                <w:rFonts w:hint="eastAsia" w:ascii="Times New Roman" w:hAnsi="Times New Roman" w:eastAsia="宋体" w:cs="Times New Roman"/>
                <w:sz w:val="24"/>
                <w:highlight w:val="none"/>
                <w:u w:val="none" w:color="auto"/>
                <w:lang w:val="en-US" w:eastAsia="zh-CN"/>
              </w:rPr>
              <w:t>mg/L、TP</w:t>
            </w:r>
            <w:r>
              <w:rPr>
                <w:rFonts w:hint="eastAsia" w:cs="Times New Roman"/>
                <w:sz w:val="24"/>
                <w:highlight w:val="none"/>
                <w:u w:val="none" w:color="auto"/>
                <w:lang w:val="en-US" w:eastAsia="zh-CN"/>
              </w:rPr>
              <w:t>3</w:t>
            </w:r>
            <w:r>
              <w:rPr>
                <w:rFonts w:hint="eastAsia" w:ascii="Times New Roman" w:hAnsi="Times New Roman" w:eastAsia="宋体" w:cs="Times New Roman"/>
                <w:sz w:val="24"/>
                <w:highlight w:val="none"/>
                <w:u w:val="none" w:color="auto"/>
                <w:lang w:val="en-US" w:eastAsia="zh-CN"/>
              </w:rPr>
              <w:t>mg/L、TN</w:t>
            </w:r>
            <w:r>
              <w:rPr>
                <w:rFonts w:hint="eastAsia" w:cs="Times New Roman"/>
                <w:sz w:val="24"/>
                <w:highlight w:val="none"/>
                <w:u w:val="none" w:color="auto"/>
                <w:lang w:val="en-US" w:eastAsia="zh-CN"/>
              </w:rPr>
              <w:t>35</w:t>
            </w:r>
            <w:r>
              <w:rPr>
                <w:rFonts w:hint="eastAsia" w:ascii="Times New Roman" w:hAnsi="Times New Roman" w:eastAsia="宋体" w:cs="Times New Roman"/>
                <w:sz w:val="24"/>
                <w:highlight w:val="none"/>
                <w:u w:val="none" w:color="auto"/>
                <w:lang w:val="en-US" w:eastAsia="zh-CN"/>
              </w:rPr>
              <w:t>mg/L</w:t>
            </w:r>
            <w:r>
              <w:rPr>
                <w:rFonts w:hint="eastAsia" w:eastAsia="宋体" w:cs="Times New Roman"/>
                <w:sz w:val="24"/>
                <w:highlight w:val="none"/>
                <w:u w:val="none" w:color="auto"/>
                <w:lang w:val="en-US" w:eastAsia="zh-CN"/>
              </w:rPr>
              <w:t>。</w:t>
            </w:r>
          </w:p>
          <w:p w14:paraId="55C1BC1C">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color w:val="000000"/>
                <w:sz w:val="24"/>
                <w:u w:val="none" w:color="auto"/>
                <w:lang w:val="en-US" w:eastAsia="zh-CN"/>
              </w:rPr>
            </w:pPr>
            <w:r>
              <w:rPr>
                <w:rFonts w:hint="default" w:ascii="Times New Roman" w:hAnsi="Times New Roman" w:eastAsia="宋体" w:cs="Times New Roman"/>
                <w:b/>
                <w:color w:val="000000"/>
                <w:sz w:val="24"/>
                <w:u w:val="none" w:color="auto"/>
              </w:rPr>
              <w:t>表</w:t>
            </w:r>
            <w:r>
              <w:rPr>
                <w:rFonts w:hint="default" w:ascii="Times New Roman" w:hAnsi="Times New Roman" w:eastAsia="宋体" w:cs="Times New Roman"/>
                <w:b/>
                <w:color w:val="000000"/>
                <w:sz w:val="24"/>
                <w:u w:val="none" w:color="auto"/>
                <w:lang w:val="en-US" w:eastAsia="zh-CN"/>
              </w:rPr>
              <w:t>4-</w:t>
            </w:r>
            <w:r>
              <w:rPr>
                <w:rFonts w:hint="eastAsia" w:cs="Times New Roman"/>
                <w:b/>
                <w:color w:val="000000"/>
                <w:sz w:val="24"/>
                <w:u w:val="none" w:color="auto"/>
                <w:lang w:val="en-US" w:eastAsia="zh-CN"/>
              </w:rPr>
              <w:t>11</w:t>
            </w:r>
            <w:r>
              <w:rPr>
                <w:rFonts w:hint="default" w:ascii="Times New Roman" w:hAnsi="Times New Roman" w:eastAsia="宋体" w:cs="Times New Roman"/>
                <w:b/>
                <w:color w:val="000000"/>
                <w:sz w:val="24"/>
                <w:u w:val="none" w:color="auto"/>
              </w:rPr>
              <w:t xml:space="preserve">    本项目</w:t>
            </w:r>
            <w:r>
              <w:rPr>
                <w:rFonts w:hint="eastAsia" w:ascii="Times New Roman" w:hAnsi="Times New Roman" w:eastAsia="宋体" w:cs="Times New Roman"/>
                <w:b/>
                <w:color w:val="000000"/>
                <w:sz w:val="24"/>
                <w:u w:val="none" w:color="auto"/>
                <w:lang w:val="en-US" w:eastAsia="zh-CN"/>
              </w:rPr>
              <w:t>营运期生活污水产排情况一览表</w:t>
            </w:r>
          </w:p>
          <w:tbl>
            <w:tblPr>
              <w:tblStyle w:val="32"/>
              <w:tblW w:w="456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54"/>
              <w:gridCol w:w="1054"/>
              <w:gridCol w:w="1054"/>
              <w:gridCol w:w="5"/>
              <w:gridCol w:w="1383"/>
              <w:gridCol w:w="1238"/>
              <w:gridCol w:w="1430"/>
            </w:tblGrid>
            <w:tr w14:paraId="793CEDA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730" w:type="pct"/>
                  <w:vMerge w:val="restart"/>
                  <w:tcBorders>
                    <w:tl2br w:val="nil"/>
                    <w:tr2bl w:val="nil"/>
                  </w:tcBorders>
                  <w:noWrap w:val="0"/>
                  <w:vAlign w:val="center"/>
                </w:tcPr>
                <w:p w14:paraId="11BBFBE3">
                  <w:pPr>
                    <w:jc w:val="center"/>
                    <w:rPr>
                      <w:b/>
                      <w:bCs/>
                      <w:color w:val="auto"/>
                      <w:szCs w:val="21"/>
                    </w:rPr>
                  </w:pPr>
                  <w:r>
                    <w:rPr>
                      <w:b/>
                      <w:bCs/>
                      <w:color w:val="auto"/>
                      <w:szCs w:val="21"/>
                    </w:rPr>
                    <w:t>产污环节</w:t>
                  </w:r>
                </w:p>
              </w:tc>
              <w:tc>
                <w:tcPr>
                  <w:tcW w:w="730" w:type="pct"/>
                  <w:vMerge w:val="restart"/>
                  <w:tcBorders>
                    <w:tl2br w:val="nil"/>
                    <w:tr2bl w:val="nil"/>
                  </w:tcBorders>
                  <w:noWrap w:val="0"/>
                  <w:vAlign w:val="center"/>
                </w:tcPr>
                <w:p w14:paraId="714F6534">
                  <w:pPr>
                    <w:jc w:val="center"/>
                    <w:rPr>
                      <w:b/>
                      <w:bCs/>
                      <w:color w:val="auto"/>
                      <w:szCs w:val="21"/>
                    </w:rPr>
                  </w:pPr>
                  <w:r>
                    <w:rPr>
                      <w:b/>
                      <w:bCs/>
                      <w:color w:val="auto"/>
                      <w:szCs w:val="21"/>
                    </w:rPr>
                    <w:t>污染因子</w:t>
                  </w:r>
                </w:p>
              </w:tc>
              <w:tc>
                <w:tcPr>
                  <w:tcW w:w="733" w:type="pct"/>
                  <w:gridSpan w:val="2"/>
                  <w:tcBorders>
                    <w:tl2br w:val="nil"/>
                    <w:tr2bl w:val="nil"/>
                  </w:tcBorders>
                  <w:noWrap w:val="0"/>
                  <w:vAlign w:val="center"/>
                </w:tcPr>
                <w:p w14:paraId="246BBE32">
                  <w:pPr>
                    <w:jc w:val="center"/>
                    <w:rPr>
                      <w:b/>
                      <w:bCs/>
                      <w:color w:val="auto"/>
                      <w:szCs w:val="21"/>
                    </w:rPr>
                  </w:pPr>
                  <w:r>
                    <w:rPr>
                      <w:b/>
                      <w:bCs/>
                      <w:color w:val="auto"/>
                      <w:szCs w:val="21"/>
                    </w:rPr>
                    <w:t>产生情况</w:t>
                  </w:r>
                </w:p>
              </w:tc>
              <w:tc>
                <w:tcPr>
                  <w:tcW w:w="958" w:type="pct"/>
                  <w:tcBorders>
                    <w:tl2br w:val="nil"/>
                    <w:tr2bl w:val="nil"/>
                  </w:tcBorders>
                  <w:noWrap w:val="0"/>
                  <w:vAlign w:val="center"/>
                </w:tcPr>
                <w:p w14:paraId="539D9015">
                  <w:pPr>
                    <w:jc w:val="center"/>
                    <w:rPr>
                      <w:b/>
                      <w:bCs/>
                      <w:color w:val="auto"/>
                      <w:szCs w:val="21"/>
                    </w:rPr>
                  </w:pPr>
                  <w:r>
                    <w:rPr>
                      <w:b/>
                      <w:bCs/>
                      <w:color w:val="auto"/>
                      <w:szCs w:val="21"/>
                    </w:rPr>
                    <w:t>治理措施</w:t>
                  </w:r>
                </w:p>
              </w:tc>
              <w:tc>
                <w:tcPr>
                  <w:tcW w:w="1848" w:type="pct"/>
                  <w:gridSpan w:val="2"/>
                  <w:tcBorders>
                    <w:tl2br w:val="nil"/>
                    <w:tr2bl w:val="nil"/>
                  </w:tcBorders>
                  <w:noWrap w:val="0"/>
                  <w:vAlign w:val="center"/>
                </w:tcPr>
                <w:p w14:paraId="1B7C76BA">
                  <w:pPr>
                    <w:jc w:val="center"/>
                    <w:rPr>
                      <w:b/>
                      <w:bCs/>
                      <w:color w:val="auto"/>
                      <w:szCs w:val="21"/>
                    </w:rPr>
                  </w:pPr>
                  <w:r>
                    <w:rPr>
                      <w:b/>
                      <w:bCs/>
                      <w:color w:val="auto"/>
                      <w:szCs w:val="21"/>
                    </w:rPr>
                    <w:t>排放情况</w:t>
                  </w:r>
                </w:p>
              </w:tc>
            </w:tr>
            <w:tr w14:paraId="6CCDB2C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730" w:type="pct"/>
                  <w:vMerge w:val="continue"/>
                  <w:tcBorders>
                    <w:tl2br w:val="nil"/>
                    <w:tr2bl w:val="nil"/>
                  </w:tcBorders>
                  <w:noWrap w:val="0"/>
                  <w:vAlign w:val="center"/>
                </w:tcPr>
                <w:p w14:paraId="2F6841C6">
                  <w:pPr>
                    <w:jc w:val="center"/>
                    <w:rPr>
                      <w:b/>
                      <w:bCs/>
                      <w:color w:val="auto"/>
                      <w:szCs w:val="21"/>
                    </w:rPr>
                  </w:pPr>
                </w:p>
              </w:tc>
              <w:tc>
                <w:tcPr>
                  <w:tcW w:w="730" w:type="pct"/>
                  <w:vMerge w:val="continue"/>
                  <w:tcBorders>
                    <w:tl2br w:val="nil"/>
                    <w:tr2bl w:val="nil"/>
                  </w:tcBorders>
                  <w:noWrap w:val="0"/>
                  <w:vAlign w:val="center"/>
                </w:tcPr>
                <w:p w14:paraId="7F9C4504">
                  <w:pPr>
                    <w:jc w:val="center"/>
                    <w:rPr>
                      <w:b/>
                      <w:bCs/>
                      <w:color w:val="auto"/>
                      <w:szCs w:val="21"/>
                    </w:rPr>
                  </w:pPr>
                </w:p>
              </w:tc>
              <w:tc>
                <w:tcPr>
                  <w:tcW w:w="730" w:type="pct"/>
                  <w:tcBorders>
                    <w:tl2br w:val="nil"/>
                    <w:tr2bl w:val="nil"/>
                  </w:tcBorders>
                  <w:noWrap w:val="0"/>
                  <w:vAlign w:val="center"/>
                </w:tcPr>
                <w:p w14:paraId="66E60922">
                  <w:pPr>
                    <w:jc w:val="center"/>
                    <w:rPr>
                      <w:b/>
                      <w:bCs/>
                      <w:color w:val="auto"/>
                      <w:szCs w:val="21"/>
                    </w:rPr>
                  </w:pPr>
                  <w:r>
                    <w:rPr>
                      <w:b/>
                      <w:bCs/>
                      <w:color w:val="auto"/>
                      <w:szCs w:val="21"/>
                    </w:rPr>
                    <w:t>浓度</w:t>
                  </w:r>
                </w:p>
                <w:p w14:paraId="25E3E4CE">
                  <w:pPr>
                    <w:jc w:val="center"/>
                    <w:rPr>
                      <w:b/>
                      <w:bCs/>
                      <w:color w:val="auto"/>
                      <w:szCs w:val="21"/>
                    </w:rPr>
                  </w:pPr>
                  <w:r>
                    <w:rPr>
                      <w:b/>
                      <w:bCs/>
                      <w:color w:val="auto"/>
                      <w:szCs w:val="21"/>
                    </w:rPr>
                    <w:t>mg/L</w:t>
                  </w:r>
                </w:p>
              </w:tc>
              <w:tc>
                <w:tcPr>
                  <w:tcW w:w="961" w:type="pct"/>
                  <w:gridSpan w:val="2"/>
                  <w:tcBorders>
                    <w:tl2br w:val="nil"/>
                    <w:tr2bl w:val="nil"/>
                  </w:tcBorders>
                  <w:noWrap w:val="0"/>
                  <w:vAlign w:val="center"/>
                </w:tcPr>
                <w:p w14:paraId="56DF0691">
                  <w:pPr>
                    <w:jc w:val="center"/>
                    <w:rPr>
                      <w:b/>
                      <w:bCs/>
                      <w:color w:val="auto"/>
                      <w:szCs w:val="21"/>
                    </w:rPr>
                  </w:pPr>
                  <w:r>
                    <w:rPr>
                      <w:b/>
                      <w:bCs/>
                      <w:color w:val="auto"/>
                      <w:szCs w:val="21"/>
                    </w:rPr>
                    <w:t>治理工艺</w:t>
                  </w:r>
                </w:p>
              </w:tc>
              <w:tc>
                <w:tcPr>
                  <w:tcW w:w="857" w:type="pct"/>
                  <w:tcBorders>
                    <w:tl2br w:val="nil"/>
                    <w:tr2bl w:val="nil"/>
                  </w:tcBorders>
                  <w:noWrap w:val="0"/>
                  <w:vAlign w:val="center"/>
                </w:tcPr>
                <w:p w14:paraId="6135D66D">
                  <w:pPr>
                    <w:jc w:val="center"/>
                    <w:rPr>
                      <w:b/>
                      <w:bCs/>
                      <w:color w:val="auto"/>
                      <w:szCs w:val="21"/>
                    </w:rPr>
                  </w:pPr>
                  <w:r>
                    <w:rPr>
                      <w:b/>
                      <w:bCs/>
                      <w:color w:val="auto"/>
                      <w:szCs w:val="21"/>
                    </w:rPr>
                    <w:t>浓度</w:t>
                  </w:r>
                </w:p>
                <w:p w14:paraId="7F4472F2">
                  <w:pPr>
                    <w:jc w:val="center"/>
                    <w:rPr>
                      <w:b/>
                      <w:bCs/>
                      <w:color w:val="auto"/>
                      <w:szCs w:val="21"/>
                    </w:rPr>
                  </w:pPr>
                  <w:r>
                    <w:rPr>
                      <w:b/>
                      <w:bCs/>
                      <w:color w:val="auto"/>
                      <w:szCs w:val="21"/>
                    </w:rPr>
                    <w:t>mg/L</w:t>
                  </w:r>
                </w:p>
              </w:tc>
              <w:tc>
                <w:tcPr>
                  <w:tcW w:w="990" w:type="pct"/>
                  <w:tcBorders>
                    <w:tl2br w:val="nil"/>
                    <w:tr2bl w:val="nil"/>
                  </w:tcBorders>
                  <w:noWrap w:val="0"/>
                  <w:vAlign w:val="center"/>
                </w:tcPr>
                <w:p w14:paraId="789C1ED6">
                  <w:pPr>
                    <w:jc w:val="center"/>
                    <w:rPr>
                      <w:b/>
                      <w:bCs/>
                      <w:color w:val="auto"/>
                      <w:szCs w:val="21"/>
                    </w:rPr>
                  </w:pPr>
                  <w:r>
                    <w:rPr>
                      <w:b/>
                      <w:bCs/>
                      <w:color w:val="auto"/>
                      <w:szCs w:val="21"/>
                    </w:rPr>
                    <w:t>排放量</w:t>
                  </w:r>
                </w:p>
                <w:p w14:paraId="58AE8F0F">
                  <w:pPr>
                    <w:jc w:val="center"/>
                    <w:rPr>
                      <w:b/>
                      <w:bCs/>
                      <w:color w:val="auto"/>
                      <w:szCs w:val="21"/>
                    </w:rPr>
                  </w:pPr>
                  <w:r>
                    <w:rPr>
                      <w:b/>
                      <w:bCs/>
                      <w:color w:val="auto"/>
                      <w:szCs w:val="21"/>
                    </w:rPr>
                    <w:t>t/a</w:t>
                  </w:r>
                </w:p>
              </w:tc>
            </w:tr>
            <w:tr w14:paraId="771C6DA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730" w:type="pct"/>
                  <w:vMerge w:val="restart"/>
                  <w:tcBorders>
                    <w:tl2br w:val="nil"/>
                    <w:tr2bl w:val="nil"/>
                  </w:tcBorders>
                  <w:noWrap w:val="0"/>
                  <w:vAlign w:val="center"/>
                </w:tcPr>
                <w:p w14:paraId="2CCA74CB">
                  <w:pPr>
                    <w:jc w:val="center"/>
                    <w:rPr>
                      <w:b/>
                      <w:bCs/>
                      <w:color w:val="auto"/>
                      <w:szCs w:val="21"/>
                    </w:rPr>
                  </w:pPr>
                  <w:r>
                    <w:rPr>
                      <w:rFonts w:hint="eastAsia"/>
                      <w:color w:val="auto"/>
                      <w:szCs w:val="21"/>
                      <w:lang w:eastAsia="zh-CN"/>
                    </w:rPr>
                    <w:t>员工</w:t>
                  </w:r>
                  <w:r>
                    <w:rPr>
                      <w:color w:val="auto"/>
                      <w:szCs w:val="21"/>
                    </w:rPr>
                    <w:t>生活</w:t>
                  </w:r>
                </w:p>
              </w:tc>
              <w:tc>
                <w:tcPr>
                  <w:tcW w:w="730" w:type="pct"/>
                  <w:tcBorders>
                    <w:tl2br w:val="nil"/>
                    <w:tr2bl w:val="nil"/>
                  </w:tcBorders>
                  <w:noWrap w:val="0"/>
                  <w:vAlign w:val="center"/>
                </w:tcPr>
                <w:p w14:paraId="36871489">
                  <w:pPr>
                    <w:jc w:val="center"/>
                    <w:rPr>
                      <w:color w:val="auto"/>
                      <w:szCs w:val="21"/>
                    </w:rPr>
                  </w:pPr>
                  <w:r>
                    <w:rPr>
                      <w:color w:val="auto"/>
                      <w:szCs w:val="21"/>
                    </w:rPr>
                    <w:t>COD</w:t>
                  </w:r>
                </w:p>
              </w:tc>
              <w:tc>
                <w:tcPr>
                  <w:tcW w:w="730" w:type="pct"/>
                  <w:tcBorders>
                    <w:tl2br w:val="nil"/>
                    <w:tr2bl w:val="nil"/>
                  </w:tcBorders>
                  <w:noWrap w:val="0"/>
                  <w:vAlign w:val="center"/>
                </w:tcPr>
                <w:p w14:paraId="613272AC">
                  <w:pPr>
                    <w:jc w:val="center"/>
                    <w:rPr>
                      <w:color w:val="auto"/>
                      <w:szCs w:val="21"/>
                    </w:rPr>
                  </w:pPr>
                  <w:r>
                    <w:rPr>
                      <w:rFonts w:hint="eastAsia"/>
                      <w:color w:val="auto"/>
                      <w:szCs w:val="21"/>
                    </w:rPr>
                    <w:t>300</w:t>
                  </w:r>
                </w:p>
              </w:tc>
              <w:tc>
                <w:tcPr>
                  <w:tcW w:w="961" w:type="pct"/>
                  <w:gridSpan w:val="2"/>
                  <w:vMerge w:val="restart"/>
                  <w:tcBorders>
                    <w:tl2br w:val="nil"/>
                    <w:tr2bl w:val="nil"/>
                  </w:tcBorders>
                  <w:noWrap w:val="0"/>
                  <w:vAlign w:val="center"/>
                </w:tcPr>
                <w:p w14:paraId="463DB4C0">
                  <w:pPr>
                    <w:jc w:val="center"/>
                    <w:rPr>
                      <w:color w:val="auto"/>
                      <w:szCs w:val="21"/>
                    </w:rPr>
                  </w:pPr>
                  <w:r>
                    <w:rPr>
                      <w:color w:val="auto"/>
                      <w:szCs w:val="21"/>
                    </w:rPr>
                    <w:t>化粪池</w:t>
                  </w:r>
                </w:p>
              </w:tc>
              <w:tc>
                <w:tcPr>
                  <w:tcW w:w="857" w:type="pct"/>
                  <w:tcBorders>
                    <w:tl2br w:val="nil"/>
                    <w:tr2bl w:val="nil"/>
                  </w:tcBorders>
                  <w:noWrap w:val="0"/>
                  <w:vAlign w:val="center"/>
                </w:tcPr>
                <w:p w14:paraId="3B6EB992">
                  <w:pPr>
                    <w:jc w:val="center"/>
                    <w:rPr>
                      <w:color w:val="auto"/>
                      <w:szCs w:val="21"/>
                    </w:rPr>
                  </w:pPr>
                  <w:r>
                    <w:rPr>
                      <w:rFonts w:hint="eastAsia"/>
                      <w:color w:val="auto"/>
                      <w:szCs w:val="21"/>
                    </w:rPr>
                    <w:t>225</w:t>
                  </w:r>
                </w:p>
              </w:tc>
              <w:tc>
                <w:tcPr>
                  <w:tcW w:w="990" w:type="pct"/>
                  <w:tcBorders>
                    <w:tl2br w:val="nil"/>
                    <w:tr2bl w:val="nil"/>
                  </w:tcBorders>
                  <w:noWrap w:val="0"/>
                  <w:vAlign w:val="center"/>
                </w:tcPr>
                <w:p w14:paraId="1A3D5782">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 xml:space="preserve">0.2673 </w:t>
                  </w:r>
                </w:p>
              </w:tc>
            </w:tr>
            <w:tr w14:paraId="6C87784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730" w:type="pct"/>
                  <w:vMerge w:val="continue"/>
                  <w:tcBorders>
                    <w:tl2br w:val="nil"/>
                    <w:tr2bl w:val="nil"/>
                  </w:tcBorders>
                  <w:noWrap w:val="0"/>
                  <w:vAlign w:val="center"/>
                </w:tcPr>
                <w:p w14:paraId="01AA2172">
                  <w:pPr>
                    <w:jc w:val="center"/>
                    <w:rPr>
                      <w:b/>
                      <w:bCs/>
                      <w:color w:val="auto"/>
                      <w:szCs w:val="21"/>
                    </w:rPr>
                  </w:pPr>
                </w:p>
              </w:tc>
              <w:tc>
                <w:tcPr>
                  <w:tcW w:w="730" w:type="pct"/>
                  <w:tcBorders>
                    <w:tl2br w:val="nil"/>
                    <w:tr2bl w:val="nil"/>
                  </w:tcBorders>
                  <w:noWrap w:val="0"/>
                  <w:vAlign w:val="center"/>
                </w:tcPr>
                <w:p w14:paraId="32A2A0EB">
                  <w:pPr>
                    <w:jc w:val="center"/>
                    <w:rPr>
                      <w:color w:val="auto"/>
                      <w:szCs w:val="21"/>
                    </w:rPr>
                  </w:pPr>
                  <w:r>
                    <w:rPr>
                      <w:rFonts w:hint="eastAsia"/>
                      <w:color w:val="auto"/>
                      <w:szCs w:val="21"/>
                    </w:rPr>
                    <w:t>SS</w:t>
                  </w:r>
                </w:p>
              </w:tc>
              <w:tc>
                <w:tcPr>
                  <w:tcW w:w="730" w:type="pct"/>
                  <w:tcBorders>
                    <w:tl2br w:val="nil"/>
                    <w:tr2bl w:val="nil"/>
                  </w:tcBorders>
                  <w:noWrap w:val="0"/>
                  <w:vAlign w:val="center"/>
                </w:tcPr>
                <w:p w14:paraId="2CB83C78">
                  <w:pPr>
                    <w:jc w:val="center"/>
                    <w:rPr>
                      <w:color w:val="auto"/>
                      <w:szCs w:val="21"/>
                    </w:rPr>
                  </w:pPr>
                  <w:r>
                    <w:rPr>
                      <w:rFonts w:hint="eastAsia"/>
                      <w:color w:val="auto"/>
                      <w:szCs w:val="21"/>
                    </w:rPr>
                    <w:t>200</w:t>
                  </w:r>
                </w:p>
              </w:tc>
              <w:tc>
                <w:tcPr>
                  <w:tcW w:w="961" w:type="pct"/>
                  <w:gridSpan w:val="2"/>
                  <w:vMerge w:val="continue"/>
                  <w:tcBorders>
                    <w:tl2br w:val="nil"/>
                    <w:tr2bl w:val="nil"/>
                  </w:tcBorders>
                  <w:noWrap w:val="0"/>
                  <w:vAlign w:val="center"/>
                </w:tcPr>
                <w:p w14:paraId="239F6445">
                  <w:pPr>
                    <w:rPr>
                      <w:color w:val="auto"/>
                      <w:szCs w:val="21"/>
                    </w:rPr>
                  </w:pPr>
                </w:p>
              </w:tc>
              <w:tc>
                <w:tcPr>
                  <w:tcW w:w="857" w:type="pct"/>
                  <w:tcBorders>
                    <w:tl2br w:val="nil"/>
                    <w:tr2bl w:val="nil"/>
                  </w:tcBorders>
                  <w:noWrap w:val="0"/>
                  <w:vAlign w:val="center"/>
                </w:tcPr>
                <w:p w14:paraId="32179F3D">
                  <w:pPr>
                    <w:jc w:val="center"/>
                    <w:rPr>
                      <w:rFonts w:hint="default" w:eastAsia="宋体"/>
                      <w:color w:val="auto"/>
                      <w:szCs w:val="21"/>
                      <w:lang w:val="en-US" w:eastAsia="zh-CN"/>
                    </w:rPr>
                  </w:pPr>
                  <w:r>
                    <w:rPr>
                      <w:rFonts w:hint="eastAsia"/>
                      <w:color w:val="auto"/>
                      <w:szCs w:val="21"/>
                      <w:lang w:val="en-US" w:eastAsia="zh-CN"/>
                    </w:rPr>
                    <w:t>140</w:t>
                  </w:r>
                </w:p>
              </w:tc>
              <w:tc>
                <w:tcPr>
                  <w:tcW w:w="990" w:type="pct"/>
                  <w:tcBorders>
                    <w:tl2br w:val="nil"/>
                    <w:tr2bl w:val="nil"/>
                  </w:tcBorders>
                  <w:noWrap w:val="0"/>
                  <w:vAlign w:val="center"/>
                </w:tcPr>
                <w:p w14:paraId="13F7A839">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 xml:space="preserve">0.1663 </w:t>
                  </w:r>
                </w:p>
              </w:tc>
            </w:tr>
            <w:tr w14:paraId="408E225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730" w:type="pct"/>
                  <w:vMerge w:val="continue"/>
                  <w:tcBorders>
                    <w:tl2br w:val="nil"/>
                    <w:tr2bl w:val="nil"/>
                  </w:tcBorders>
                  <w:noWrap w:val="0"/>
                  <w:vAlign w:val="center"/>
                </w:tcPr>
                <w:p w14:paraId="18712E42">
                  <w:pPr>
                    <w:jc w:val="center"/>
                    <w:rPr>
                      <w:b/>
                      <w:bCs/>
                      <w:color w:val="auto"/>
                      <w:szCs w:val="21"/>
                    </w:rPr>
                  </w:pPr>
                </w:p>
              </w:tc>
              <w:tc>
                <w:tcPr>
                  <w:tcW w:w="730" w:type="pct"/>
                  <w:tcBorders>
                    <w:tl2br w:val="nil"/>
                    <w:tr2bl w:val="nil"/>
                  </w:tcBorders>
                  <w:noWrap w:val="0"/>
                  <w:vAlign w:val="center"/>
                </w:tcPr>
                <w:p w14:paraId="0E55E2DD">
                  <w:pPr>
                    <w:jc w:val="center"/>
                    <w:rPr>
                      <w:color w:val="auto"/>
                      <w:szCs w:val="21"/>
                    </w:rPr>
                  </w:pPr>
                  <w:r>
                    <w:rPr>
                      <w:color w:val="auto"/>
                      <w:szCs w:val="21"/>
                    </w:rPr>
                    <w:t>NH</w:t>
                  </w:r>
                  <w:r>
                    <w:rPr>
                      <w:color w:val="auto"/>
                      <w:szCs w:val="21"/>
                      <w:vertAlign w:val="subscript"/>
                    </w:rPr>
                    <w:t>3</w:t>
                  </w:r>
                  <w:r>
                    <w:rPr>
                      <w:color w:val="auto"/>
                      <w:szCs w:val="21"/>
                    </w:rPr>
                    <w:t>-N</w:t>
                  </w:r>
                </w:p>
              </w:tc>
              <w:tc>
                <w:tcPr>
                  <w:tcW w:w="730" w:type="pct"/>
                  <w:tcBorders>
                    <w:tl2br w:val="nil"/>
                    <w:tr2bl w:val="nil"/>
                  </w:tcBorders>
                  <w:noWrap w:val="0"/>
                  <w:vAlign w:val="center"/>
                </w:tcPr>
                <w:p w14:paraId="307A86B0">
                  <w:pPr>
                    <w:jc w:val="center"/>
                    <w:rPr>
                      <w:color w:val="auto"/>
                      <w:szCs w:val="21"/>
                    </w:rPr>
                  </w:pPr>
                  <w:r>
                    <w:rPr>
                      <w:rFonts w:hint="eastAsia"/>
                      <w:color w:val="auto"/>
                      <w:szCs w:val="21"/>
                    </w:rPr>
                    <w:t>30</w:t>
                  </w:r>
                </w:p>
              </w:tc>
              <w:tc>
                <w:tcPr>
                  <w:tcW w:w="961" w:type="pct"/>
                  <w:gridSpan w:val="2"/>
                  <w:vMerge w:val="continue"/>
                  <w:tcBorders>
                    <w:tl2br w:val="nil"/>
                    <w:tr2bl w:val="nil"/>
                  </w:tcBorders>
                  <w:noWrap w:val="0"/>
                  <w:vAlign w:val="center"/>
                </w:tcPr>
                <w:p w14:paraId="554497C1">
                  <w:pPr>
                    <w:jc w:val="center"/>
                    <w:rPr>
                      <w:color w:val="auto"/>
                      <w:szCs w:val="21"/>
                    </w:rPr>
                  </w:pPr>
                </w:p>
              </w:tc>
              <w:tc>
                <w:tcPr>
                  <w:tcW w:w="857" w:type="pct"/>
                  <w:tcBorders>
                    <w:tl2br w:val="nil"/>
                    <w:tr2bl w:val="nil"/>
                  </w:tcBorders>
                  <w:noWrap w:val="0"/>
                  <w:vAlign w:val="center"/>
                </w:tcPr>
                <w:p w14:paraId="681908CE">
                  <w:pPr>
                    <w:jc w:val="center"/>
                    <w:rPr>
                      <w:color w:val="auto"/>
                      <w:szCs w:val="21"/>
                    </w:rPr>
                  </w:pPr>
                  <w:r>
                    <w:rPr>
                      <w:rFonts w:hint="eastAsia"/>
                      <w:color w:val="auto"/>
                      <w:szCs w:val="21"/>
                    </w:rPr>
                    <w:t>28.5</w:t>
                  </w:r>
                </w:p>
              </w:tc>
              <w:tc>
                <w:tcPr>
                  <w:tcW w:w="990" w:type="pct"/>
                  <w:tcBorders>
                    <w:tl2br w:val="nil"/>
                    <w:tr2bl w:val="nil"/>
                  </w:tcBorders>
                  <w:noWrap w:val="0"/>
                  <w:vAlign w:val="center"/>
                </w:tcPr>
                <w:p w14:paraId="492B2292">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 xml:space="preserve">0.0339 </w:t>
                  </w:r>
                </w:p>
              </w:tc>
            </w:tr>
            <w:tr w14:paraId="5D43454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730" w:type="pct"/>
                  <w:vMerge w:val="continue"/>
                  <w:tcBorders>
                    <w:tl2br w:val="nil"/>
                    <w:tr2bl w:val="nil"/>
                  </w:tcBorders>
                  <w:noWrap w:val="0"/>
                  <w:vAlign w:val="center"/>
                </w:tcPr>
                <w:p w14:paraId="38552936">
                  <w:pPr>
                    <w:jc w:val="center"/>
                    <w:rPr>
                      <w:b/>
                      <w:bCs/>
                      <w:color w:val="auto"/>
                      <w:szCs w:val="21"/>
                    </w:rPr>
                  </w:pPr>
                </w:p>
              </w:tc>
              <w:tc>
                <w:tcPr>
                  <w:tcW w:w="730" w:type="pct"/>
                  <w:tcBorders>
                    <w:tl2br w:val="nil"/>
                    <w:tr2bl w:val="nil"/>
                  </w:tcBorders>
                  <w:noWrap w:val="0"/>
                  <w:vAlign w:val="center"/>
                </w:tcPr>
                <w:p w14:paraId="3141D2B3">
                  <w:pPr>
                    <w:jc w:val="center"/>
                    <w:rPr>
                      <w:color w:val="auto"/>
                      <w:szCs w:val="21"/>
                    </w:rPr>
                  </w:pPr>
                  <w:r>
                    <w:rPr>
                      <w:color w:val="auto"/>
                      <w:szCs w:val="21"/>
                    </w:rPr>
                    <w:t>TP</w:t>
                  </w:r>
                </w:p>
              </w:tc>
              <w:tc>
                <w:tcPr>
                  <w:tcW w:w="730" w:type="pct"/>
                  <w:tcBorders>
                    <w:tl2br w:val="nil"/>
                    <w:tr2bl w:val="nil"/>
                  </w:tcBorders>
                  <w:noWrap w:val="0"/>
                  <w:vAlign w:val="center"/>
                </w:tcPr>
                <w:p w14:paraId="79B70C25">
                  <w:pPr>
                    <w:jc w:val="center"/>
                    <w:rPr>
                      <w:rFonts w:hint="default" w:eastAsia="宋体"/>
                      <w:color w:val="auto"/>
                      <w:szCs w:val="21"/>
                      <w:lang w:val="en-US" w:eastAsia="zh-CN"/>
                    </w:rPr>
                  </w:pPr>
                  <w:r>
                    <w:rPr>
                      <w:rFonts w:hint="eastAsia"/>
                      <w:color w:val="auto"/>
                      <w:szCs w:val="21"/>
                      <w:lang w:val="en-US" w:eastAsia="zh-CN"/>
                    </w:rPr>
                    <w:t>3</w:t>
                  </w:r>
                </w:p>
              </w:tc>
              <w:tc>
                <w:tcPr>
                  <w:tcW w:w="961" w:type="pct"/>
                  <w:gridSpan w:val="2"/>
                  <w:vMerge w:val="continue"/>
                  <w:tcBorders>
                    <w:tl2br w:val="nil"/>
                    <w:tr2bl w:val="nil"/>
                  </w:tcBorders>
                  <w:noWrap w:val="0"/>
                  <w:vAlign w:val="center"/>
                </w:tcPr>
                <w:p w14:paraId="4C40D947">
                  <w:pPr>
                    <w:jc w:val="center"/>
                    <w:rPr>
                      <w:color w:val="auto"/>
                      <w:szCs w:val="21"/>
                    </w:rPr>
                  </w:pPr>
                </w:p>
              </w:tc>
              <w:tc>
                <w:tcPr>
                  <w:tcW w:w="857" w:type="pct"/>
                  <w:tcBorders>
                    <w:tl2br w:val="nil"/>
                    <w:tr2bl w:val="nil"/>
                  </w:tcBorders>
                  <w:noWrap w:val="0"/>
                  <w:vAlign w:val="center"/>
                </w:tcPr>
                <w:p w14:paraId="2A4829DA">
                  <w:pPr>
                    <w:jc w:val="center"/>
                    <w:rPr>
                      <w:rFonts w:hint="default" w:eastAsia="宋体"/>
                      <w:color w:val="auto"/>
                      <w:szCs w:val="21"/>
                      <w:lang w:val="en-US" w:eastAsia="zh-CN"/>
                    </w:rPr>
                  </w:pPr>
                  <w:r>
                    <w:rPr>
                      <w:rFonts w:hint="eastAsia"/>
                      <w:color w:val="auto"/>
                      <w:szCs w:val="21"/>
                      <w:lang w:val="en-US" w:eastAsia="zh-CN"/>
                    </w:rPr>
                    <w:t>3</w:t>
                  </w:r>
                </w:p>
              </w:tc>
              <w:tc>
                <w:tcPr>
                  <w:tcW w:w="990" w:type="pct"/>
                  <w:tcBorders>
                    <w:tl2br w:val="nil"/>
                    <w:tr2bl w:val="nil"/>
                  </w:tcBorders>
                  <w:noWrap w:val="0"/>
                  <w:vAlign w:val="center"/>
                </w:tcPr>
                <w:p w14:paraId="6A9E8D57">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 xml:space="preserve">0.0036 </w:t>
                  </w:r>
                </w:p>
              </w:tc>
            </w:tr>
            <w:tr w14:paraId="08CD63F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730" w:type="pct"/>
                  <w:vMerge w:val="continue"/>
                  <w:tcBorders>
                    <w:tl2br w:val="nil"/>
                    <w:tr2bl w:val="nil"/>
                  </w:tcBorders>
                  <w:noWrap w:val="0"/>
                  <w:vAlign w:val="center"/>
                </w:tcPr>
                <w:p w14:paraId="4F7AF4D5">
                  <w:pPr>
                    <w:jc w:val="center"/>
                    <w:rPr>
                      <w:b/>
                      <w:bCs/>
                      <w:color w:val="auto"/>
                      <w:szCs w:val="21"/>
                    </w:rPr>
                  </w:pPr>
                </w:p>
              </w:tc>
              <w:tc>
                <w:tcPr>
                  <w:tcW w:w="730" w:type="pct"/>
                  <w:tcBorders>
                    <w:tl2br w:val="nil"/>
                    <w:tr2bl w:val="nil"/>
                  </w:tcBorders>
                  <w:noWrap w:val="0"/>
                  <w:vAlign w:val="center"/>
                </w:tcPr>
                <w:p w14:paraId="63750D09">
                  <w:pPr>
                    <w:jc w:val="center"/>
                    <w:rPr>
                      <w:color w:val="auto"/>
                      <w:szCs w:val="21"/>
                    </w:rPr>
                  </w:pPr>
                  <w:r>
                    <w:rPr>
                      <w:rFonts w:hint="default" w:ascii="Times New Roman" w:hAnsi="Times New Roman" w:eastAsia="宋体" w:cs="Times New Roman"/>
                      <w:szCs w:val="21"/>
                    </w:rPr>
                    <w:t>TN</w:t>
                  </w:r>
                </w:p>
              </w:tc>
              <w:tc>
                <w:tcPr>
                  <w:tcW w:w="730" w:type="pct"/>
                  <w:tcBorders>
                    <w:tl2br w:val="nil"/>
                    <w:tr2bl w:val="nil"/>
                  </w:tcBorders>
                  <w:noWrap w:val="0"/>
                  <w:vAlign w:val="center"/>
                </w:tcPr>
                <w:p w14:paraId="657FB630">
                  <w:pPr>
                    <w:jc w:val="center"/>
                    <w:rPr>
                      <w:rFonts w:hint="default"/>
                      <w:color w:val="auto"/>
                      <w:szCs w:val="21"/>
                      <w:lang w:val="en-US" w:eastAsia="zh-CN"/>
                    </w:rPr>
                  </w:pPr>
                  <w:r>
                    <w:rPr>
                      <w:rFonts w:hint="eastAsia"/>
                      <w:color w:val="auto"/>
                      <w:szCs w:val="21"/>
                      <w:lang w:val="en-US" w:eastAsia="zh-CN"/>
                    </w:rPr>
                    <w:t>35</w:t>
                  </w:r>
                </w:p>
              </w:tc>
              <w:tc>
                <w:tcPr>
                  <w:tcW w:w="961" w:type="pct"/>
                  <w:gridSpan w:val="2"/>
                  <w:vMerge w:val="continue"/>
                  <w:tcBorders>
                    <w:tl2br w:val="nil"/>
                    <w:tr2bl w:val="nil"/>
                  </w:tcBorders>
                  <w:noWrap w:val="0"/>
                  <w:vAlign w:val="center"/>
                </w:tcPr>
                <w:p w14:paraId="629158A2">
                  <w:pPr>
                    <w:jc w:val="center"/>
                    <w:rPr>
                      <w:color w:val="auto"/>
                      <w:szCs w:val="21"/>
                    </w:rPr>
                  </w:pPr>
                </w:p>
              </w:tc>
              <w:tc>
                <w:tcPr>
                  <w:tcW w:w="857" w:type="pct"/>
                  <w:tcBorders>
                    <w:tl2br w:val="nil"/>
                    <w:tr2bl w:val="nil"/>
                  </w:tcBorders>
                  <w:noWrap w:val="0"/>
                  <w:vAlign w:val="center"/>
                </w:tcPr>
                <w:p w14:paraId="7AE628FF">
                  <w:pPr>
                    <w:jc w:val="center"/>
                    <w:rPr>
                      <w:rFonts w:hint="default"/>
                      <w:color w:val="auto"/>
                      <w:szCs w:val="21"/>
                      <w:lang w:val="en-US" w:eastAsia="zh-CN"/>
                    </w:rPr>
                  </w:pPr>
                  <w:r>
                    <w:rPr>
                      <w:rFonts w:hint="eastAsia"/>
                      <w:color w:val="auto"/>
                      <w:szCs w:val="21"/>
                      <w:lang w:val="en-US" w:eastAsia="zh-CN"/>
                    </w:rPr>
                    <w:t>31.5</w:t>
                  </w:r>
                </w:p>
              </w:tc>
              <w:tc>
                <w:tcPr>
                  <w:tcW w:w="990" w:type="pct"/>
                  <w:tcBorders>
                    <w:tl2br w:val="nil"/>
                    <w:tr2bl w:val="nil"/>
                  </w:tcBorders>
                  <w:noWrap w:val="0"/>
                  <w:vAlign w:val="center"/>
                </w:tcPr>
                <w:p w14:paraId="44F41F85">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 xml:space="preserve">0.0374 </w:t>
                  </w:r>
                </w:p>
              </w:tc>
            </w:tr>
          </w:tbl>
          <w:p w14:paraId="61BADCDC">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default" w:hAnsi="宋体"/>
                <w:color w:val="000000"/>
                <w:sz w:val="24"/>
                <w:u w:val="none" w:color="auto"/>
                <w:lang w:val="en-US" w:eastAsia="zh-CN"/>
              </w:rPr>
            </w:pPr>
            <w:r>
              <w:rPr>
                <w:rFonts w:hint="eastAsia" w:hAnsi="宋体"/>
                <w:color w:val="000000"/>
                <w:sz w:val="24"/>
                <w:u w:val="none" w:color="auto"/>
                <w:lang w:val="en-US" w:eastAsia="zh-CN"/>
              </w:rPr>
              <w:t>由上表可知，生活污水经化粪池处理后，经生活污水排放口（DW001）排入新乡市贾屯污水处理厂进一步处理，废水水质可满足《污水综合排放标准》（GB8978-1996）中三级标准要求，同时满足新乡市贾屯污水处理厂收水水质标准。</w:t>
            </w:r>
          </w:p>
          <w:p w14:paraId="5908EAFB">
            <w:pPr>
              <w:adjustRightInd w:val="0"/>
              <w:spacing w:line="440" w:lineRule="exact"/>
              <w:ind w:firstLine="480" w:firstLineChars="200"/>
              <w:jc w:val="left"/>
              <w:rPr>
                <w:rFonts w:hint="default" w:eastAsia="宋体"/>
                <w:b w:val="0"/>
                <w:bCs w:val="0"/>
                <w:sz w:val="24"/>
                <w:u w:val="none" w:color="auto"/>
                <w:lang w:val="en-US" w:eastAsia="zh-CN"/>
              </w:rPr>
            </w:pPr>
            <w:r>
              <w:rPr>
                <w:rFonts w:hint="eastAsia" w:ascii="宋体" w:hAnsi="宋体"/>
                <w:b w:val="0"/>
                <w:bCs w:val="0"/>
                <w:sz w:val="24"/>
                <w:u w:val="none" w:color="auto"/>
              </w:rPr>
              <w:t>②</w:t>
            </w:r>
            <w:r>
              <w:rPr>
                <w:rFonts w:hint="eastAsia" w:ascii="宋体" w:hAnsi="宋体"/>
                <w:b w:val="0"/>
                <w:bCs w:val="0"/>
                <w:sz w:val="24"/>
                <w:u w:val="none" w:color="auto"/>
                <w:lang w:val="en-US" w:eastAsia="zh-CN"/>
              </w:rPr>
              <w:t>设备、地面清洗废水</w:t>
            </w:r>
          </w:p>
          <w:p w14:paraId="4E15AA9E">
            <w:pPr>
              <w:keepNext w:val="0"/>
              <w:keepLines w:val="0"/>
              <w:pageBreakBefore w:val="0"/>
              <w:widowControl w:val="0"/>
              <w:numPr>
                <w:ilvl w:val="0"/>
                <w:numId w:val="21"/>
              </w:numPr>
              <w:kinsoku/>
              <w:wordWrap/>
              <w:overflowPunct/>
              <w:topLinePunct w:val="0"/>
              <w:autoSpaceDE/>
              <w:autoSpaceDN/>
              <w:bidi w:val="0"/>
              <w:adjustRightInd w:val="0"/>
              <w:spacing w:line="440" w:lineRule="exact"/>
              <w:ind w:firstLine="470" w:firstLineChars="196"/>
              <w:textAlignment w:val="auto"/>
              <w:rPr>
                <w:rFonts w:hint="eastAsia" w:ascii="宋体" w:hAnsi="宋体"/>
                <w:sz w:val="24"/>
                <w:u w:val="none" w:color="auto"/>
                <w:lang w:val="en-US" w:eastAsia="zh-CN"/>
              </w:rPr>
            </w:pPr>
            <w:r>
              <w:rPr>
                <w:rFonts w:hint="eastAsia" w:ascii="宋体" w:hAnsi="宋体"/>
                <w:sz w:val="24"/>
                <w:u w:val="none" w:color="auto"/>
                <w:lang w:val="en-US" w:eastAsia="zh-CN"/>
              </w:rPr>
              <w:t>设备清洗废水</w:t>
            </w:r>
          </w:p>
          <w:p w14:paraId="35D586D1">
            <w:pPr>
              <w:keepNext w:val="0"/>
              <w:keepLines w:val="0"/>
              <w:pageBreakBefore w:val="0"/>
              <w:widowControl w:val="0"/>
              <w:numPr>
                <w:ilvl w:val="0"/>
                <w:numId w:val="0"/>
              </w:numPr>
              <w:kinsoku/>
              <w:wordWrap/>
              <w:overflowPunct/>
              <w:topLinePunct w:val="0"/>
              <w:autoSpaceDE/>
              <w:autoSpaceDN/>
              <w:bidi w:val="0"/>
              <w:adjustRightInd w:val="0"/>
              <w:spacing w:line="440" w:lineRule="exact"/>
              <w:ind w:firstLine="480" w:firstLineChars="200"/>
              <w:textAlignment w:val="auto"/>
              <w:rPr>
                <w:rFonts w:hint="default" w:cs="Times New Roman"/>
                <w:color w:val="000000"/>
                <w:kern w:val="0"/>
                <w:sz w:val="24"/>
                <w:szCs w:val="24"/>
                <w:u w:val="none" w:color="auto"/>
                <w:lang w:val="en-US" w:eastAsia="zh-CN" w:bidi="ar-SA"/>
              </w:rPr>
            </w:pPr>
            <w:r>
              <w:rPr>
                <w:rFonts w:hint="eastAsia"/>
                <w:color w:val="000000"/>
                <w:sz w:val="24"/>
                <w:u w:val="none" w:color="auto"/>
                <w:lang w:val="en-US" w:eastAsia="zh-CN"/>
              </w:rPr>
              <w:t>项目生产过程中需要对车间匀浆系统的搅拌机以及自动上浆系统等设备进行定期清洗，本项目匀浆系统设备3天清洗一次，清洗前先将设备中残存的原料进行清除、收集，清理干净后的设备再用水冲洗，每次设备清洗用水量约1.8</w:t>
            </w:r>
            <w:r>
              <w:rPr>
                <w:rFonts w:hint="eastAsia"/>
                <w:color w:val="000000" w:themeColor="text1"/>
                <w:sz w:val="24"/>
                <w:u w:val="none" w:color="auto"/>
                <w:lang w:val="en-US" w:eastAsia="zh-CN"/>
                <w14:textFill>
                  <w14:solidFill>
                    <w14:schemeClr w14:val="tx1"/>
                  </w14:solidFill>
                </w14:textFill>
              </w:rPr>
              <w:t>m</w:t>
            </w:r>
            <w:r>
              <w:rPr>
                <w:rFonts w:hint="eastAsia"/>
                <w:color w:val="000000" w:themeColor="text1"/>
                <w:sz w:val="24"/>
                <w:u w:val="none" w:color="auto"/>
                <w:vertAlign w:val="superscript"/>
                <w:lang w:val="en-US" w:eastAsia="zh-CN"/>
                <w14:textFill>
                  <w14:solidFill>
                    <w14:schemeClr w14:val="tx1"/>
                  </w14:solidFill>
                </w14:textFill>
              </w:rPr>
              <w:t>3</w:t>
            </w:r>
            <w:r>
              <w:rPr>
                <w:rFonts w:hint="eastAsia"/>
                <w:color w:val="000000" w:themeColor="text1"/>
                <w:sz w:val="24"/>
                <w:u w:val="none" w:color="auto"/>
                <w:vertAlign w:val="baseline"/>
                <w:lang w:val="en-US" w:eastAsia="zh-CN"/>
                <w14:textFill>
                  <w14:solidFill>
                    <w14:schemeClr w14:val="tx1"/>
                  </w14:solidFill>
                </w14:textFill>
              </w:rPr>
              <w:t>，则设备清洗用水量为</w:t>
            </w:r>
            <w:r>
              <w:rPr>
                <w:rFonts w:hint="eastAsia"/>
                <w:color w:val="000000" w:themeColor="text1"/>
                <w:sz w:val="24"/>
                <w:u w:val="none" w:color="auto"/>
                <w:lang w:val="en-US" w:eastAsia="zh-CN"/>
                <w14:textFill>
                  <w14:solidFill>
                    <w14:schemeClr w14:val="tx1"/>
                  </w14:solidFill>
                </w14:textFill>
              </w:rPr>
              <w:t>0.6m</w:t>
            </w:r>
            <w:r>
              <w:rPr>
                <w:rFonts w:hint="eastAsia"/>
                <w:color w:val="000000" w:themeColor="text1"/>
                <w:sz w:val="24"/>
                <w:u w:val="none" w:color="auto"/>
                <w:vertAlign w:val="superscript"/>
                <w:lang w:val="en-US" w:eastAsia="zh-CN"/>
                <w14:textFill>
                  <w14:solidFill>
                    <w14:schemeClr w14:val="tx1"/>
                  </w14:solidFill>
                </w14:textFill>
              </w:rPr>
              <w:t>3</w:t>
            </w:r>
            <w:r>
              <w:rPr>
                <w:rFonts w:hint="eastAsia"/>
                <w:color w:val="000000" w:themeColor="text1"/>
                <w:sz w:val="24"/>
                <w:u w:val="none" w:color="auto"/>
                <w:lang w:val="en-US" w:eastAsia="zh-CN"/>
                <w14:textFill>
                  <w14:solidFill>
                    <w14:schemeClr w14:val="tx1"/>
                  </w14:solidFill>
                </w14:textFill>
              </w:rPr>
              <w:t>/d（198t/a），损耗量按 10%计算，</w:t>
            </w:r>
            <w:r>
              <w:rPr>
                <w:rFonts w:hint="eastAsia"/>
                <w:color w:val="000000"/>
                <w:sz w:val="24"/>
                <w:u w:val="none" w:color="auto"/>
                <w:lang w:val="en-US" w:eastAsia="zh-CN"/>
              </w:rPr>
              <w:t>设备清洗废水产生为0.54</w:t>
            </w:r>
            <w:r>
              <w:rPr>
                <w:rFonts w:hint="eastAsia" w:hAnsi="宋体"/>
                <w:color w:val="000000"/>
                <w:sz w:val="24"/>
                <w:u w:val="none" w:color="auto"/>
              </w:rPr>
              <w:t>m</w:t>
            </w:r>
            <w:r>
              <w:rPr>
                <w:rFonts w:hint="eastAsia" w:hAnsi="宋体"/>
                <w:color w:val="000000"/>
                <w:sz w:val="24"/>
                <w:u w:val="none" w:color="auto"/>
                <w:vertAlign w:val="superscript"/>
              </w:rPr>
              <w:t>3</w:t>
            </w:r>
            <w:r>
              <w:rPr>
                <w:rFonts w:hint="eastAsia" w:hAnsi="宋体"/>
                <w:color w:val="000000"/>
                <w:sz w:val="24"/>
                <w:u w:val="none" w:color="auto"/>
              </w:rPr>
              <w:t>/d</w:t>
            </w:r>
            <w:r>
              <w:rPr>
                <w:rFonts w:hint="eastAsia"/>
                <w:color w:val="000000"/>
                <w:sz w:val="24"/>
                <w:u w:val="none" w:color="auto"/>
                <w:lang w:val="en-US" w:eastAsia="zh-CN"/>
              </w:rPr>
              <w:t>（178.2t/a）。</w:t>
            </w:r>
          </w:p>
          <w:p w14:paraId="0B6A1326">
            <w:pPr>
              <w:keepNext w:val="0"/>
              <w:keepLines w:val="0"/>
              <w:pageBreakBefore w:val="0"/>
              <w:widowControl w:val="0"/>
              <w:numPr>
                <w:ilvl w:val="0"/>
                <w:numId w:val="21"/>
              </w:numPr>
              <w:kinsoku/>
              <w:wordWrap/>
              <w:overflowPunct/>
              <w:topLinePunct w:val="0"/>
              <w:autoSpaceDE/>
              <w:autoSpaceDN/>
              <w:bidi w:val="0"/>
              <w:adjustRightInd w:val="0"/>
              <w:spacing w:line="440" w:lineRule="exact"/>
              <w:ind w:left="0" w:leftChars="0" w:firstLine="470" w:firstLineChars="196"/>
              <w:textAlignment w:val="auto"/>
              <w:rPr>
                <w:rFonts w:hint="default" w:cs="Times New Roman"/>
                <w:color w:val="000000"/>
                <w:kern w:val="0"/>
                <w:sz w:val="24"/>
                <w:szCs w:val="24"/>
                <w:u w:val="none" w:color="auto"/>
                <w:lang w:val="en-US" w:eastAsia="zh-CN" w:bidi="ar-SA"/>
              </w:rPr>
            </w:pPr>
            <w:r>
              <w:rPr>
                <w:rFonts w:hint="eastAsia" w:cs="Times New Roman"/>
                <w:color w:val="000000"/>
                <w:kern w:val="0"/>
                <w:sz w:val="24"/>
                <w:szCs w:val="24"/>
                <w:u w:val="none" w:color="auto"/>
                <w:lang w:val="en-US" w:eastAsia="zh-CN" w:bidi="ar-SA"/>
              </w:rPr>
              <w:t>本项目车间地面需定期清洗，产生车间地面清洗废水，</w:t>
            </w:r>
            <w:r>
              <w:rPr>
                <w:rFonts w:hint="eastAsia"/>
                <w:color w:val="000000" w:themeColor="text1"/>
                <w:sz w:val="24"/>
                <w:u w:val="none" w:color="auto"/>
                <w:lang w:val="en-US" w:eastAsia="zh-CN"/>
                <w14:textFill>
                  <w14:solidFill>
                    <w14:schemeClr w14:val="tx1"/>
                  </w14:solidFill>
                </w14:textFill>
              </w:rPr>
              <w:t>车间地面清洗新鲜水使用量约为1m</w:t>
            </w:r>
            <w:r>
              <w:rPr>
                <w:rFonts w:hint="eastAsia"/>
                <w:color w:val="000000" w:themeColor="text1"/>
                <w:sz w:val="24"/>
                <w:u w:val="none" w:color="auto"/>
                <w:vertAlign w:val="superscript"/>
                <w:lang w:val="en-US" w:eastAsia="zh-CN"/>
                <w14:textFill>
                  <w14:solidFill>
                    <w14:schemeClr w14:val="tx1"/>
                  </w14:solidFill>
                </w14:textFill>
              </w:rPr>
              <w:t>3</w:t>
            </w:r>
            <w:r>
              <w:rPr>
                <w:rFonts w:hint="eastAsia"/>
                <w:color w:val="000000" w:themeColor="text1"/>
                <w:sz w:val="24"/>
                <w:u w:val="none" w:color="auto"/>
                <w:lang w:val="en-US" w:eastAsia="zh-CN"/>
                <w14:textFill>
                  <w14:solidFill>
                    <w14:schemeClr w14:val="tx1"/>
                  </w14:solidFill>
                </w14:textFill>
              </w:rPr>
              <w:t>/d，330t/a，损耗量按 20%计算，</w:t>
            </w:r>
            <w:r>
              <w:rPr>
                <w:rFonts w:hint="eastAsia" w:cs="Times New Roman"/>
                <w:color w:val="000000"/>
                <w:kern w:val="0"/>
                <w:sz w:val="24"/>
                <w:szCs w:val="24"/>
                <w:u w:val="none" w:color="auto"/>
                <w:lang w:val="en-US" w:eastAsia="zh-CN" w:bidi="ar-SA"/>
              </w:rPr>
              <w:t>车间地面清洗废水产生量为0.8</w:t>
            </w:r>
            <w:r>
              <w:rPr>
                <w:rFonts w:hint="eastAsia" w:hAnsi="宋体"/>
                <w:color w:val="000000"/>
                <w:sz w:val="24"/>
                <w:u w:val="none" w:color="auto"/>
              </w:rPr>
              <w:t>m</w:t>
            </w:r>
            <w:r>
              <w:rPr>
                <w:rFonts w:hint="eastAsia" w:hAnsi="宋体"/>
                <w:color w:val="000000"/>
                <w:sz w:val="24"/>
                <w:u w:val="none" w:color="auto"/>
                <w:vertAlign w:val="superscript"/>
              </w:rPr>
              <w:t>3</w:t>
            </w:r>
            <w:r>
              <w:rPr>
                <w:rFonts w:hint="eastAsia" w:hAnsi="宋体"/>
                <w:color w:val="000000"/>
                <w:sz w:val="24"/>
                <w:u w:val="none" w:color="auto"/>
              </w:rPr>
              <w:t>/</w:t>
            </w:r>
            <w:r>
              <w:rPr>
                <w:rFonts w:hint="eastAsia" w:cs="Times New Roman"/>
                <w:color w:val="000000"/>
                <w:kern w:val="0"/>
                <w:sz w:val="24"/>
                <w:szCs w:val="24"/>
                <w:u w:val="none" w:color="auto"/>
                <w:lang w:val="en-US" w:eastAsia="zh-CN" w:bidi="ar-SA"/>
              </w:rPr>
              <w:t>d（264t/a）。</w:t>
            </w:r>
          </w:p>
          <w:p w14:paraId="30689B45">
            <w:pPr>
              <w:pStyle w:val="118"/>
              <w:keepNext w:val="0"/>
              <w:keepLines w:val="0"/>
              <w:pageBreakBefore w:val="0"/>
              <w:widowControl w:val="0"/>
              <w:kinsoku/>
              <w:wordWrap/>
              <w:overflowPunct/>
              <w:topLinePunct w:val="0"/>
              <w:autoSpaceDE/>
              <w:autoSpaceDN/>
              <w:bidi w:val="0"/>
              <w:spacing w:line="440" w:lineRule="exact"/>
              <w:jc w:val="both"/>
              <w:textAlignment w:val="auto"/>
              <w:rPr>
                <w:rFonts w:hint="default" w:ascii="Times New Roman" w:hAnsi="Times New Roman" w:eastAsia="宋体" w:cs="Times New Roman"/>
                <w:highlight w:val="none"/>
                <w:u w:val="none" w:color="auto"/>
                <w:lang w:val="en-US" w:eastAsia="zh-CN"/>
              </w:rPr>
            </w:pPr>
            <w:r>
              <w:rPr>
                <w:rFonts w:hint="eastAsia" w:eastAsia="宋体" w:cs="Times New Roman"/>
                <w:color w:val="000000"/>
                <w:kern w:val="0"/>
                <w:sz w:val="24"/>
                <w:szCs w:val="20"/>
                <w:u w:val="none" w:color="auto"/>
                <w:lang w:val="en-US" w:eastAsia="zh-CN" w:bidi="ar-SA"/>
              </w:rPr>
              <w:t>本项目</w:t>
            </w:r>
            <w:r>
              <w:rPr>
                <w:rFonts w:hint="eastAsia" w:ascii="Times New Roman" w:hAnsi="Times New Roman" w:eastAsia="宋体" w:cs="Times New Roman"/>
                <w:color w:val="000000"/>
                <w:kern w:val="0"/>
                <w:sz w:val="24"/>
                <w:szCs w:val="20"/>
                <w:u w:val="none" w:color="auto"/>
                <w:lang w:val="en-US" w:eastAsia="zh-CN" w:bidi="ar-SA"/>
              </w:rPr>
              <w:t>设备</w:t>
            </w:r>
            <w:r>
              <w:rPr>
                <w:rFonts w:hint="eastAsia" w:eastAsia="宋体" w:cs="Times New Roman"/>
                <w:color w:val="000000"/>
                <w:kern w:val="0"/>
                <w:sz w:val="24"/>
                <w:szCs w:val="20"/>
                <w:u w:val="none" w:color="auto"/>
                <w:lang w:val="en-US" w:eastAsia="zh-CN" w:bidi="ar-SA"/>
              </w:rPr>
              <w:t>、</w:t>
            </w:r>
            <w:r>
              <w:rPr>
                <w:rFonts w:hint="eastAsia" w:ascii="Times New Roman" w:hAnsi="Times New Roman" w:eastAsia="宋体" w:cs="Times New Roman"/>
                <w:color w:val="000000"/>
                <w:kern w:val="0"/>
                <w:sz w:val="24"/>
                <w:szCs w:val="20"/>
                <w:u w:val="none" w:color="auto"/>
                <w:lang w:val="en-US" w:eastAsia="zh-CN" w:bidi="ar-SA"/>
              </w:rPr>
              <w:t>地面清洗废水水质参照设备清洗废水水质参照《三元+锰酸锂混合正极锂电生产废水特征与预处理》（《环境工程》2022，40 (7):112-117｜张磊、李兵）废水实测浓度日常设备</w:t>
            </w:r>
            <w:r>
              <w:rPr>
                <w:rFonts w:hint="eastAsia" w:eastAsia="宋体" w:cs="Times New Roman"/>
                <w:color w:val="000000"/>
                <w:kern w:val="0"/>
                <w:sz w:val="24"/>
                <w:szCs w:val="20"/>
                <w:u w:val="none" w:color="auto"/>
                <w:lang w:val="en-US" w:eastAsia="zh-CN" w:bidi="ar-SA"/>
              </w:rPr>
              <w:t>、地面</w:t>
            </w:r>
            <w:r>
              <w:rPr>
                <w:rFonts w:hint="eastAsia" w:ascii="Times New Roman" w:hAnsi="Times New Roman" w:eastAsia="宋体" w:cs="Times New Roman"/>
                <w:color w:val="000000"/>
                <w:kern w:val="0"/>
                <w:sz w:val="24"/>
                <w:szCs w:val="20"/>
                <w:u w:val="none" w:color="auto"/>
                <w:lang w:val="en-US" w:eastAsia="zh-CN" w:bidi="ar-SA"/>
              </w:rPr>
              <w:t>清洗废水水质实测浓度</w:t>
            </w:r>
            <w:r>
              <w:rPr>
                <w:rFonts w:hint="eastAsia" w:eastAsia="宋体" w:cs="Times New Roman"/>
                <w:color w:val="000000"/>
                <w:kern w:val="0"/>
                <w:sz w:val="24"/>
                <w:szCs w:val="20"/>
                <w:u w:val="none" w:color="auto"/>
                <w:lang w:val="en-US" w:eastAsia="zh-CN" w:bidi="ar-SA"/>
              </w:rPr>
              <w:t>以及参照同类型行业废水水质</w:t>
            </w:r>
            <w:r>
              <w:rPr>
                <w:rFonts w:hint="eastAsia" w:ascii="Times New Roman" w:hAnsi="Times New Roman" w:eastAsia="宋体" w:cs="Times New Roman"/>
                <w:color w:val="000000"/>
                <w:kern w:val="0"/>
                <w:sz w:val="24"/>
                <w:szCs w:val="20"/>
                <w:u w:val="none" w:color="auto"/>
                <w:lang w:val="en-US" w:eastAsia="zh-CN" w:bidi="ar-SA"/>
              </w:rPr>
              <w:t>总镍</w:t>
            </w:r>
            <w:r>
              <w:rPr>
                <w:rFonts w:hint="eastAsia" w:eastAsia="宋体" w:cs="Times New Roman"/>
                <w:color w:val="000000"/>
                <w:kern w:val="0"/>
                <w:sz w:val="24"/>
                <w:szCs w:val="20"/>
                <w:u w:val="none" w:color="auto"/>
                <w:lang w:val="en-US" w:eastAsia="zh-CN" w:bidi="ar-SA"/>
              </w:rPr>
              <w:t>约</w:t>
            </w:r>
            <w:r>
              <w:rPr>
                <w:rFonts w:hint="eastAsia" w:ascii="Times New Roman" w:hAnsi="Times New Roman" w:eastAsia="宋体" w:cs="Times New Roman"/>
                <w:color w:val="000000"/>
                <w:kern w:val="0"/>
                <w:sz w:val="24"/>
                <w:szCs w:val="20"/>
                <w:u w:val="none" w:color="auto"/>
                <w:lang w:val="en-US" w:eastAsia="zh-CN" w:bidi="ar-SA"/>
              </w:rPr>
              <w:t>4.2~</w:t>
            </w:r>
            <w:r>
              <w:rPr>
                <w:rFonts w:hint="eastAsia" w:eastAsia="宋体" w:cs="Times New Roman"/>
                <w:color w:val="000000"/>
                <w:kern w:val="0"/>
                <w:sz w:val="24"/>
                <w:szCs w:val="20"/>
                <w:u w:val="none" w:color="auto"/>
                <w:lang w:val="en-US" w:eastAsia="zh-CN" w:bidi="ar-SA"/>
              </w:rPr>
              <w:t>5.0</w:t>
            </w:r>
            <w:r>
              <w:rPr>
                <w:rFonts w:hint="eastAsia" w:ascii="Times New Roman" w:hAnsi="Times New Roman" w:eastAsia="宋体" w:cs="Times New Roman"/>
                <w:color w:val="000000"/>
                <w:kern w:val="0"/>
                <w:sz w:val="24"/>
                <w:szCs w:val="20"/>
                <w:u w:val="none" w:color="auto"/>
                <w:lang w:val="en-US" w:eastAsia="zh-CN" w:bidi="ar-SA"/>
              </w:rPr>
              <w:t>mg/L、总钴</w:t>
            </w:r>
            <w:r>
              <w:rPr>
                <w:rFonts w:hint="eastAsia" w:eastAsia="宋体" w:cs="Times New Roman"/>
                <w:color w:val="000000"/>
                <w:kern w:val="0"/>
                <w:sz w:val="24"/>
                <w:szCs w:val="20"/>
                <w:u w:val="none" w:color="auto"/>
                <w:lang w:val="en-US" w:eastAsia="zh-CN" w:bidi="ar-SA"/>
              </w:rPr>
              <w:t>3.0</w:t>
            </w:r>
            <w:r>
              <w:rPr>
                <w:rFonts w:hint="eastAsia" w:ascii="Times New Roman" w:hAnsi="Times New Roman" w:eastAsia="宋体" w:cs="Times New Roman"/>
                <w:color w:val="000000"/>
                <w:kern w:val="0"/>
                <w:sz w:val="24"/>
                <w:szCs w:val="20"/>
                <w:u w:val="none" w:color="auto"/>
                <w:lang w:val="en-US" w:eastAsia="zh-CN" w:bidi="ar-SA"/>
              </w:rPr>
              <w:t>~</w:t>
            </w:r>
            <w:r>
              <w:rPr>
                <w:rFonts w:hint="eastAsia" w:eastAsia="宋体" w:cs="Times New Roman"/>
                <w:color w:val="000000"/>
                <w:kern w:val="0"/>
                <w:sz w:val="24"/>
                <w:szCs w:val="20"/>
                <w:u w:val="none" w:color="auto"/>
                <w:lang w:val="en-US" w:eastAsia="zh-CN" w:bidi="ar-SA"/>
              </w:rPr>
              <w:t>3.9</w:t>
            </w:r>
            <w:r>
              <w:rPr>
                <w:rFonts w:hint="eastAsia" w:ascii="Times New Roman" w:hAnsi="Times New Roman" w:eastAsia="宋体" w:cs="Times New Roman"/>
                <w:color w:val="000000"/>
                <w:kern w:val="0"/>
                <w:sz w:val="24"/>
                <w:szCs w:val="20"/>
                <w:u w:val="none" w:color="auto"/>
                <w:lang w:val="en-US" w:eastAsia="zh-CN" w:bidi="ar-SA"/>
              </w:rPr>
              <w:t>mg/L、总锰2.6~</w:t>
            </w:r>
            <w:r>
              <w:rPr>
                <w:rFonts w:hint="eastAsia" w:eastAsia="宋体" w:cs="Times New Roman"/>
                <w:color w:val="000000"/>
                <w:kern w:val="0"/>
                <w:sz w:val="24"/>
                <w:szCs w:val="20"/>
                <w:u w:val="none" w:color="auto"/>
                <w:lang w:val="en-US" w:eastAsia="zh-CN" w:bidi="ar-SA"/>
              </w:rPr>
              <w:t>7.9</w:t>
            </w:r>
            <w:r>
              <w:rPr>
                <w:rFonts w:hint="eastAsia" w:ascii="Times New Roman" w:hAnsi="Times New Roman" w:eastAsia="宋体" w:cs="Times New Roman"/>
                <w:color w:val="000000"/>
                <w:kern w:val="0"/>
                <w:sz w:val="24"/>
                <w:szCs w:val="20"/>
                <w:u w:val="none" w:color="auto"/>
                <w:lang w:val="en-US" w:eastAsia="zh-CN" w:bidi="ar-SA"/>
              </w:rPr>
              <w:t>mg/L、COD1450~2920mg/L、SS420~830mg/L，本项目设备</w:t>
            </w:r>
            <w:r>
              <w:rPr>
                <w:rFonts w:hint="eastAsia" w:eastAsia="宋体" w:cs="Times New Roman"/>
                <w:color w:val="000000"/>
                <w:kern w:val="0"/>
                <w:sz w:val="24"/>
                <w:szCs w:val="20"/>
                <w:u w:val="none" w:color="auto"/>
                <w:lang w:val="en-US" w:eastAsia="zh-CN" w:bidi="ar-SA"/>
              </w:rPr>
              <w:t>、地面</w:t>
            </w:r>
            <w:r>
              <w:rPr>
                <w:rFonts w:hint="eastAsia" w:ascii="Times New Roman" w:hAnsi="Times New Roman" w:eastAsia="宋体" w:cs="Times New Roman"/>
                <w:color w:val="000000"/>
                <w:kern w:val="0"/>
                <w:sz w:val="24"/>
                <w:szCs w:val="20"/>
                <w:u w:val="none" w:color="auto"/>
                <w:lang w:val="en-US" w:eastAsia="zh-CN" w:bidi="ar-SA"/>
              </w:rPr>
              <w:t>清洗废水水质取总镍</w:t>
            </w:r>
            <w:r>
              <w:rPr>
                <w:rFonts w:hint="eastAsia" w:eastAsia="宋体" w:cs="Times New Roman"/>
                <w:color w:val="000000"/>
                <w:kern w:val="0"/>
                <w:sz w:val="24"/>
                <w:szCs w:val="20"/>
                <w:u w:val="none" w:color="auto"/>
                <w:lang w:val="en-US" w:eastAsia="zh-CN" w:bidi="ar-SA"/>
              </w:rPr>
              <w:t>5.0</w:t>
            </w:r>
            <w:r>
              <w:rPr>
                <w:rFonts w:hint="eastAsia" w:ascii="Times New Roman" w:hAnsi="Times New Roman" w:eastAsia="宋体" w:cs="Times New Roman"/>
                <w:color w:val="000000"/>
                <w:kern w:val="0"/>
                <w:sz w:val="24"/>
                <w:szCs w:val="20"/>
                <w:u w:val="none" w:color="auto"/>
                <w:lang w:val="en-US" w:eastAsia="zh-CN" w:bidi="ar-SA"/>
              </w:rPr>
              <w:t>mg/L、总钴</w:t>
            </w:r>
            <w:r>
              <w:rPr>
                <w:rFonts w:hint="eastAsia" w:eastAsia="宋体" w:cs="Times New Roman"/>
                <w:color w:val="000000"/>
                <w:kern w:val="0"/>
                <w:sz w:val="24"/>
                <w:szCs w:val="20"/>
                <w:u w:val="none" w:color="auto"/>
                <w:lang w:val="en-US" w:eastAsia="zh-CN" w:bidi="ar-SA"/>
              </w:rPr>
              <w:t>3.8</w:t>
            </w:r>
            <w:r>
              <w:rPr>
                <w:rFonts w:hint="eastAsia" w:ascii="Times New Roman" w:hAnsi="Times New Roman" w:eastAsia="宋体" w:cs="Times New Roman"/>
                <w:color w:val="000000"/>
                <w:kern w:val="0"/>
                <w:sz w:val="24"/>
                <w:szCs w:val="20"/>
                <w:u w:val="none" w:color="auto"/>
                <w:lang w:val="en-US" w:eastAsia="zh-CN" w:bidi="ar-SA"/>
              </w:rPr>
              <w:t>mg/L、总锰7.9mg/L、COD2920mg/L、SS830mg/L。</w:t>
            </w:r>
          </w:p>
          <w:p w14:paraId="4AEF46F9">
            <w:pPr>
              <w:keepNext w:val="0"/>
              <w:keepLines w:val="0"/>
              <w:pageBreakBefore w:val="0"/>
              <w:widowControl w:val="0"/>
              <w:kinsoku/>
              <w:wordWrap/>
              <w:overflowPunct/>
              <w:topLinePunct w:val="0"/>
              <w:autoSpaceDE/>
              <w:autoSpaceDN/>
              <w:bidi w:val="0"/>
              <w:adjustRightInd w:val="0"/>
              <w:spacing w:line="440" w:lineRule="exact"/>
              <w:ind w:firstLine="470" w:firstLineChars="196"/>
              <w:textAlignment w:val="auto"/>
              <w:rPr>
                <w:rFonts w:hint="default" w:ascii="Times New Roman" w:hAnsi="Times New Roman" w:cs="Times New Roman"/>
                <w:b w:val="0"/>
                <w:bCs w:val="0"/>
                <w:sz w:val="24"/>
                <w:u w:val="none" w:color="auto"/>
              </w:rPr>
            </w:pPr>
            <w:r>
              <w:rPr>
                <w:rFonts w:hint="default" w:ascii="Times New Roman" w:hAnsi="Times New Roman" w:cs="Times New Roman"/>
                <w:b w:val="0"/>
                <w:bCs w:val="0"/>
                <w:sz w:val="24"/>
                <w:u w:val="none" w:color="auto"/>
              </w:rPr>
              <w:t>③纯水制备产生废水</w:t>
            </w:r>
          </w:p>
          <w:p w14:paraId="13D52501">
            <w:pPr>
              <w:keepNext w:val="0"/>
              <w:keepLines w:val="0"/>
              <w:pageBreakBefore w:val="0"/>
              <w:kinsoku/>
              <w:wordWrap/>
              <w:overflowPunct/>
              <w:topLinePunct w:val="0"/>
              <w:autoSpaceDE/>
              <w:autoSpaceDN/>
              <w:bidi w:val="0"/>
              <w:spacing w:line="440" w:lineRule="exact"/>
              <w:ind w:firstLine="480" w:firstLineChars="200"/>
              <w:jc w:val="both"/>
              <w:textAlignment w:val="auto"/>
              <w:rPr>
                <w:rFonts w:hint="eastAsia" w:cs="Times New Roman"/>
                <w:color w:val="000000"/>
                <w:sz w:val="24"/>
                <w:u w:val="none" w:color="auto"/>
                <w:lang w:eastAsia="zh-CN"/>
              </w:rPr>
            </w:pPr>
            <w:r>
              <w:rPr>
                <w:rFonts w:hint="eastAsia"/>
                <w:color w:val="000000"/>
                <w:sz w:val="24"/>
                <w:u w:val="none" w:color="auto"/>
              </w:rPr>
              <w:t>企</w:t>
            </w:r>
            <w:r>
              <w:rPr>
                <w:rFonts w:hint="default" w:ascii="Times New Roman" w:hAnsi="Times New Roman" w:eastAsia="宋体" w:cs="Times New Roman"/>
                <w:color w:val="000000"/>
                <w:sz w:val="24"/>
                <w:u w:val="none" w:color="auto"/>
              </w:rPr>
              <w:t>业在负极材料配料工序</w:t>
            </w:r>
            <w:r>
              <w:rPr>
                <w:rFonts w:hint="eastAsia" w:cs="Times New Roman"/>
                <w:color w:val="000000"/>
                <w:sz w:val="24"/>
                <w:u w:val="none" w:color="auto"/>
                <w:lang w:val="en-US" w:eastAsia="zh-CN"/>
              </w:rPr>
              <w:t>、电池清洗工序以及水喷淋补水均需用到纯水</w:t>
            </w:r>
            <w:r>
              <w:rPr>
                <w:rFonts w:hint="default" w:ascii="Times New Roman" w:hAnsi="Times New Roman" w:eastAsia="宋体" w:cs="Times New Roman"/>
                <w:color w:val="000000"/>
                <w:sz w:val="24"/>
                <w:u w:val="none" w:color="auto"/>
              </w:rPr>
              <w:t>，</w:t>
            </w:r>
            <w:r>
              <w:rPr>
                <w:rFonts w:hint="eastAsia" w:cs="Times New Roman"/>
                <w:color w:val="000000"/>
                <w:sz w:val="24"/>
                <w:u w:val="none" w:color="auto"/>
                <w:lang w:val="en-US" w:eastAsia="zh-CN"/>
              </w:rPr>
              <w:t>负极配料、电池清洗、水喷淋补水过程中需要纯水量分别为5.24m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/d、41.86m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/d和4.26m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/d，合计用纯水量为51.36m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w:t>
            </w:r>
            <w:r>
              <w:rPr>
                <w:rFonts w:hint="default" w:ascii="Times New Roman" w:hAnsi="Times New Roman" w:eastAsia="宋体" w:cs="Times New Roman"/>
                <w:color w:val="000000"/>
                <w:sz w:val="24"/>
                <w:u w:val="none" w:color="auto"/>
              </w:rPr>
              <w:t>企业在厂区内配置有纯水制备设备</w:t>
            </w:r>
            <w:r>
              <w:rPr>
                <w:rFonts w:hint="eastAsia" w:cs="Times New Roman"/>
                <w:color w:val="000000"/>
                <w:sz w:val="24"/>
                <w:u w:val="none" w:color="auto"/>
                <w:lang w:eastAsia="zh-CN"/>
              </w:rPr>
              <w:t>。</w:t>
            </w:r>
          </w:p>
          <w:p w14:paraId="684FBAB9">
            <w:pPr>
              <w:keepNext w:val="0"/>
              <w:keepLines w:val="0"/>
              <w:pageBreakBefore w:val="0"/>
              <w:kinsoku/>
              <w:wordWrap/>
              <w:overflowPunct/>
              <w:topLinePunct w:val="0"/>
              <w:autoSpaceDE/>
              <w:autoSpaceDN/>
              <w:bidi w:val="0"/>
              <w:spacing w:line="440" w:lineRule="exact"/>
              <w:ind w:firstLine="480" w:firstLineChars="200"/>
              <w:jc w:val="both"/>
              <w:textAlignment w:val="auto"/>
              <w:rPr>
                <w:rFonts w:hint="eastAsia" w:cs="Times New Roman"/>
                <w:color w:val="000000"/>
                <w:sz w:val="24"/>
                <w:u w:val="none" w:color="auto"/>
                <w:lang w:eastAsia="zh-CN"/>
              </w:rPr>
            </w:pPr>
            <w:r>
              <w:rPr>
                <w:rFonts w:hint="eastAsia" w:cs="Times New Roman"/>
                <w:color w:val="000000"/>
                <w:sz w:val="24"/>
                <w:u w:val="none" w:color="auto"/>
                <w:lang w:eastAsia="zh-CN"/>
              </w:rPr>
              <w:t>项目纯水制备采用RO反渗透进行纯水制备，制水工段产生的废水包含两部分，</w:t>
            </w:r>
            <w:r>
              <w:rPr>
                <w:rFonts w:hint="eastAsia" w:cs="Times New Roman"/>
                <w:color w:val="000000"/>
                <w:sz w:val="24"/>
                <w:u w:val="none" w:color="auto"/>
                <w:lang w:val="en-US" w:eastAsia="zh-CN"/>
              </w:rPr>
              <w:t>一</w:t>
            </w:r>
            <w:r>
              <w:rPr>
                <w:rFonts w:hint="eastAsia" w:cs="Times New Roman"/>
                <w:color w:val="000000"/>
                <w:sz w:val="24"/>
                <w:u w:val="none" w:color="auto"/>
                <w:lang w:eastAsia="zh-CN"/>
              </w:rPr>
              <w:t>部分是反渗透过滤废水，一部分是过滤介质(石英砂、活性炭、</w:t>
            </w:r>
            <w:r>
              <w:rPr>
                <w:rFonts w:hint="eastAsia" w:cs="Times New Roman"/>
                <w:color w:val="000000"/>
                <w:sz w:val="24"/>
                <w:u w:val="none" w:color="auto"/>
                <w:lang w:val="en-US" w:eastAsia="zh-CN"/>
              </w:rPr>
              <w:t>过滤器、</w:t>
            </w:r>
            <w:r>
              <w:rPr>
                <w:rFonts w:hint="eastAsia" w:cs="Times New Roman"/>
                <w:color w:val="000000"/>
                <w:sz w:val="24"/>
                <w:u w:val="none" w:color="auto"/>
                <w:lang w:eastAsia="zh-CN"/>
              </w:rPr>
              <w:t>反渗透膜)冲洗废水。</w:t>
            </w:r>
          </w:p>
          <w:p w14:paraId="3CF9B110">
            <w:pPr>
              <w:keepNext w:val="0"/>
              <w:keepLines w:val="0"/>
              <w:pageBreakBefore w:val="0"/>
              <w:kinsoku/>
              <w:wordWrap/>
              <w:overflowPunct/>
              <w:topLinePunct w:val="0"/>
              <w:autoSpaceDE/>
              <w:autoSpaceDN/>
              <w:bidi w:val="0"/>
              <w:spacing w:line="440" w:lineRule="exact"/>
              <w:ind w:firstLine="480" w:firstLineChars="200"/>
              <w:jc w:val="both"/>
              <w:textAlignment w:val="auto"/>
              <w:rPr>
                <w:rFonts w:hint="eastAsia" w:cs="Times New Roman"/>
                <w:color w:val="000000"/>
                <w:sz w:val="24"/>
                <w:u w:val="none" w:color="auto"/>
                <w:lang w:eastAsia="zh-CN"/>
              </w:rPr>
            </w:pPr>
            <w:r>
              <w:rPr>
                <w:rFonts w:hint="eastAsia" w:cs="Times New Roman"/>
                <w:color w:val="000000"/>
                <w:sz w:val="24"/>
                <w:u w:val="none" w:color="auto"/>
                <w:lang w:eastAsia="zh-CN"/>
              </w:rPr>
              <w:t>纯水制备产生的反冲洗水主要有石英砂过滤器、活性炭过滤器、</w:t>
            </w:r>
            <w:r>
              <w:rPr>
                <w:rFonts w:hint="eastAsia" w:cs="Times New Roman"/>
                <w:color w:val="000000"/>
                <w:sz w:val="24"/>
                <w:u w:val="none" w:color="auto"/>
                <w:lang w:val="en-US" w:eastAsia="zh-CN"/>
              </w:rPr>
              <w:t>精密过滤器</w:t>
            </w:r>
            <w:r>
              <w:rPr>
                <w:rFonts w:hint="eastAsia" w:cs="Times New Roman"/>
                <w:color w:val="000000"/>
                <w:sz w:val="24"/>
                <w:u w:val="none" w:color="auto"/>
                <w:lang w:eastAsia="zh-CN"/>
              </w:rPr>
              <w:t>和反渗透膜的反冲洗水。项目过滤介质石英砂、活性炭、</w:t>
            </w:r>
            <w:r>
              <w:rPr>
                <w:rFonts w:hint="eastAsia" w:cs="Times New Roman"/>
                <w:color w:val="000000"/>
                <w:sz w:val="24"/>
                <w:u w:val="none" w:color="auto"/>
                <w:lang w:val="en-US" w:eastAsia="zh-CN"/>
              </w:rPr>
              <w:t>精密过滤器</w:t>
            </w:r>
            <w:r>
              <w:rPr>
                <w:rFonts w:hint="eastAsia" w:cs="Times New Roman"/>
                <w:color w:val="000000"/>
                <w:sz w:val="24"/>
                <w:u w:val="none" w:color="auto"/>
                <w:lang w:eastAsia="zh-CN"/>
              </w:rPr>
              <w:t>每</w:t>
            </w:r>
            <w:r>
              <w:rPr>
                <w:rFonts w:hint="eastAsia" w:cs="Times New Roman"/>
                <w:color w:val="000000"/>
                <w:sz w:val="24"/>
                <w:u w:val="none" w:color="auto"/>
                <w:lang w:val="en-US" w:eastAsia="zh-CN"/>
              </w:rPr>
              <w:t>5</w:t>
            </w:r>
            <w:r>
              <w:rPr>
                <w:rFonts w:hint="eastAsia" w:cs="Times New Roman"/>
                <w:color w:val="000000"/>
                <w:sz w:val="24"/>
                <w:u w:val="none" w:color="auto"/>
                <w:lang w:eastAsia="zh-CN"/>
              </w:rPr>
              <w:t>d冲洗1次，反渗透膜每</w:t>
            </w:r>
            <w:r>
              <w:rPr>
                <w:rFonts w:hint="eastAsia" w:cs="Times New Roman"/>
                <w:color w:val="000000"/>
                <w:sz w:val="24"/>
                <w:u w:val="none" w:color="auto"/>
                <w:lang w:val="en-US" w:eastAsia="zh-CN"/>
              </w:rPr>
              <w:t>10</w:t>
            </w:r>
            <w:r>
              <w:rPr>
                <w:rFonts w:hint="eastAsia" w:cs="Times New Roman"/>
                <w:color w:val="000000"/>
                <w:sz w:val="24"/>
                <w:u w:val="none" w:color="auto"/>
                <w:lang w:eastAsia="zh-CN"/>
              </w:rPr>
              <w:t>d冲洗1次。石英砂过滤器、活性炭过滤器、</w:t>
            </w:r>
            <w:r>
              <w:rPr>
                <w:rFonts w:hint="eastAsia" w:cs="Times New Roman"/>
                <w:color w:val="000000"/>
                <w:sz w:val="24"/>
                <w:u w:val="none" w:color="auto"/>
                <w:lang w:val="en-US" w:eastAsia="zh-CN"/>
              </w:rPr>
              <w:t>精密过滤器</w:t>
            </w:r>
            <w:r>
              <w:rPr>
                <w:rFonts w:hint="eastAsia" w:cs="Times New Roman"/>
                <w:color w:val="000000"/>
                <w:sz w:val="24"/>
                <w:u w:val="none" w:color="auto"/>
                <w:lang w:eastAsia="zh-CN"/>
              </w:rPr>
              <w:t>每次冲洗用水量</w:t>
            </w:r>
            <w:r>
              <w:rPr>
                <w:rFonts w:hint="eastAsia" w:cs="Times New Roman"/>
                <w:color w:val="000000"/>
                <w:sz w:val="24"/>
                <w:u w:val="none" w:color="auto"/>
                <w:lang w:val="en-US" w:eastAsia="zh-CN"/>
              </w:rPr>
              <w:t>均</w:t>
            </w:r>
            <w:r>
              <w:rPr>
                <w:rFonts w:hint="eastAsia" w:cs="Times New Roman"/>
                <w:color w:val="000000"/>
                <w:sz w:val="24"/>
                <w:u w:val="none" w:color="auto"/>
                <w:lang w:eastAsia="zh-CN"/>
              </w:rPr>
              <w:t>为0.5t，反渗透膜过滤器每次冲洗用水量为0.4t。项目反冲洗用水均为纯水。项目纯水制备系统反冲洗废水产生量约</w:t>
            </w:r>
            <w:r>
              <w:rPr>
                <w:rFonts w:hint="eastAsia" w:cs="Times New Roman"/>
                <w:color w:val="000000"/>
                <w:sz w:val="24"/>
                <w:u w:val="none" w:color="auto"/>
                <w:lang w:val="en-US" w:eastAsia="zh-CN"/>
              </w:rPr>
              <w:t>0.34</w:t>
            </w:r>
            <w:r>
              <w:rPr>
                <w:rFonts w:hint="eastAsia" w:cs="Times New Roman"/>
                <w:color w:val="000000"/>
                <w:sz w:val="24"/>
                <w:u w:val="none" w:color="auto"/>
                <w:lang w:eastAsia="zh-CN"/>
              </w:rPr>
              <w:t>t/d，即</w:t>
            </w:r>
            <w:r>
              <w:rPr>
                <w:rFonts w:hint="eastAsia" w:cs="Times New Roman"/>
                <w:color w:val="000000"/>
                <w:sz w:val="24"/>
                <w:u w:val="none" w:color="auto"/>
                <w:lang w:val="en-US" w:eastAsia="zh-CN"/>
              </w:rPr>
              <w:t>112.2</w:t>
            </w:r>
            <w:r>
              <w:rPr>
                <w:rFonts w:hint="eastAsia" w:cs="Times New Roman"/>
                <w:color w:val="000000"/>
                <w:sz w:val="24"/>
                <w:u w:val="none" w:color="auto"/>
                <w:lang w:eastAsia="zh-CN"/>
              </w:rPr>
              <w:t>t/a。</w:t>
            </w:r>
          </w:p>
          <w:p w14:paraId="71CB6F03">
            <w:pPr>
              <w:pStyle w:val="118"/>
              <w:keepNext w:val="0"/>
              <w:keepLines w:val="0"/>
              <w:pageBreakBefore w:val="0"/>
              <w:widowControl w:val="0"/>
              <w:kinsoku/>
              <w:wordWrap/>
              <w:overflowPunct/>
              <w:topLinePunct w:val="0"/>
              <w:autoSpaceDE/>
              <w:autoSpaceDN/>
              <w:bidi w:val="0"/>
              <w:spacing w:line="440" w:lineRule="exact"/>
              <w:jc w:val="both"/>
              <w:textAlignment w:val="auto"/>
              <w:rPr>
                <w:rFonts w:hint="default" w:ascii="Times New Roman" w:hAnsi="Times New Roman" w:eastAsia="宋体" w:cs="Times New Roman"/>
                <w:b w:val="0"/>
                <w:bCs w:val="0"/>
                <w:color w:val="000000" w:themeColor="text1"/>
                <w:u w:val="none" w:color="auto"/>
                <w:lang w:val="en-US" w:eastAsia="zh-CN"/>
                <w14:textFill>
                  <w14:solidFill>
                    <w14:schemeClr w14:val="tx1"/>
                  </w14:solidFill>
                </w14:textFill>
              </w:rPr>
            </w:pPr>
            <w:r>
              <w:rPr>
                <w:rFonts w:hint="eastAsia" w:cs="Times New Roman"/>
                <w:color w:val="000000" w:themeColor="text1"/>
                <w:sz w:val="24"/>
                <w:u w:val="none" w:color="auto"/>
                <w:lang w:val="en-US" w:eastAsia="zh-CN"/>
                <w14:textFill>
                  <w14:solidFill>
                    <w14:schemeClr w14:val="tx1"/>
                  </w14:solidFill>
                </w14:textFill>
              </w:rPr>
              <w:t>纯水制备系统反渗透过滤废水：经核算，项目纯水用量为</w:t>
            </w:r>
            <w:r>
              <w:rPr>
                <w:rFonts w:hint="eastAsia" w:cs="Times New Roman"/>
                <w:color w:val="000000"/>
                <w:sz w:val="24"/>
                <w:u w:val="none" w:color="auto"/>
                <w:lang w:val="en-US" w:eastAsia="zh-CN"/>
              </w:rPr>
              <w:t>51.36m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/d（16948.8t/a）</w:t>
            </w:r>
            <w:r>
              <w:rPr>
                <w:rFonts w:hint="eastAsia" w:cs="Times New Roman"/>
                <w:color w:val="000000" w:themeColor="text1"/>
                <w:sz w:val="24"/>
                <w:u w:val="none" w:color="auto"/>
                <w:lang w:val="en-US" w:eastAsia="zh-CN"/>
                <w14:textFill>
                  <w14:solidFill>
                    <w14:schemeClr w14:val="tx1"/>
                  </w14:solidFill>
                </w14:textFill>
              </w:rPr>
              <w:t>，纯水制备反冲洗用水量为0.34t/d(</w:t>
            </w:r>
            <w:r>
              <w:rPr>
                <w:rFonts w:hint="eastAsia" w:cs="Times New Roman"/>
                <w:color w:val="000000"/>
                <w:sz w:val="24"/>
                <w:u w:val="none" w:color="auto"/>
                <w:lang w:val="en-US" w:eastAsia="zh-CN"/>
              </w:rPr>
              <w:t>112.2</w:t>
            </w:r>
            <w:r>
              <w:rPr>
                <w:rFonts w:hint="eastAsia" w:cs="Times New Roman"/>
                <w:color w:val="000000" w:themeColor="text1"/>
                <w:sz w:val="24"/>
                <w:u w:val="none" w:color="auto"/>
                <w:lang w:val="en-US" w:eastAsia="zh-CN"/>
                <w14:textFill>
                  <w14:solidFill>
                    <w14:schemeClr w14:val="tx1"/>
                  </w14:solidFill>
                </w14:textFill>
              </w:rPr>
              <w:t>t/a)，则纯水用量合计</w:t>
            </w:r>
            <w:r>
              <w:rPr>
                <w:rFonts w:hint="eastAsia" w:cs="Times New Roman"/>
                <w:color w:val="000000"/>
                <w:sz w:val="24"/>
                <w:u w:val="none" w:color="auto"/>
                <w:lang w:val="en-US" w:eastAsia="zh-CN"/>
              </w:rPr>
              <w:t>51.7m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/d（17061t/a）</w:t>
            </w:r>
            <w:r>
              <w:rPr>
                <w:rFonts w:hint="eastAsia" w:cs="Times New Roman"/>
                <w:color w:val="000000" w:themeColor="text1"/>
                <w:sz w:val="24"/>
                <w:u w:val="none" w:color="auto"/>
                <w:lang w:val="en-US" w:eastAsia="zh-CN"/>
                <w14:textFill>
                  <w14:solidFill>
                    <w14:schemeClr w14:val="tx1"/>
                  </w14:solidFill>
                </w14:textFill>
              </w:rPr>
              <w:t>，根据企业设备厂家提供的资料，纯水制备率为50%，则项目需要原水为103.4</w:t>
            </w:r>
            <w:r>
              <w:rPr>
                <w:rFonts w:hint="eastAsia" w:cs="Times New Roman"/>
                <w:color w:val="000000"/>
                <w:sz w:val="24"/>
                <w:u w:val="none" w:color="auto"/>
                <w:lang w:val="en-US" w:eastAsia="zh-CN"/>
              </w:rPr>
              <w:t>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/d（34122t/a）</w:t>
            </w:r>
            <w:r>
              <w:rPr>
                <w:rFonts w:hint="eastAsia" w:cs="Times New Roman"/>
                <w:color w:val="000000" w:themeColor="text1"/>
                <w:sz w:val="24"/>
                <w:u w:val="none" w:color="auto"/>
                <w:lang w:val="en-US" w:eastAsia="zh-CN"/>
                <w14:textFill>
                  <w14:solidFill>
                    <w14:schemeClr w14:val="tx1"/>
                  </w14:solidFill>
                </w14:textFill>
              </w:rPr>
              <w:t>，浓水产生量为</w:t>
            </w:r>
            <w:r>
              <w:rPr>
                <w:rFonts w:hint="eastAsia" w:cs="Times New Roman"/>
                <w:color w:val="000000"/>
                <w:sz w:val="24"/>
                <w:u w:val="none" w:color="auto"/>
                <w:lang w:val="en-US" w:eastAsia="zh-CN"/>
              </w:rPr>
              <w:t>51.7m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/d（17061t/a），则本项目反冲洗废水与浓水合计为52.04m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/d（17173.2t/a）。根据《纯水制备过程中氨氮和总氮在制水废水中的富集》可知，废水中 COD 为 41mg/L、SS 为 160mg/L、TN 为 2.93mg/L。</w:t>
            </w:r>
          </w:p>
          <w:p w14:paraId="2984DA3F">
            <w:pPr>
              <w:pStyle w:val="118"/>
              <w:keepNext w:val="0"/>
              <w:keepLines w:val="0"/>
              <w:pageBreakBefore w:val="0"/>
              <w:widowControl w:val="0"/>
              <w:kinsoku/>
              <w:wordWrap/>
              <w:overflowPunct/>
              <w:topLinePunct w:val="0"/>
              <w:autoSpaceDE/>
              <w:autoSpaceDN/>
              <w:bidi w:val="0"/>
              <w:spacing w:line="440" w:lineRule="exact"/>
              <w:jc w:val="both"/>
              <w:textAlignment w:val="auto"/>
              <w:rPr>
                <w:rFonts w:hint="default" w:ascii="Times New Roman" w:hAnsi="Times New Roman" w:eastAsia="宋体" w:cs="Times New Roman"/>
                <w:b w:val="0"/>
                <w:bCs w:val="0"/>
                <w:color w:val="000000" w:themeColor="text1"/>
                <w:u w:val="none" w:color="auto"/>
                <w:lang w:val="en-US" w:eastAsia="zh-CN"/>
                <w14:textFill>
                  <w14:solidFill>
                    <w14:schemeClr w14:val="tx1"/>
                  </w14:solidFill>
                </w14:textFill>
              </w:rPr>
            </w:pPr>
            <w:r>
              <w:rPr>
                <w:rFonts w:hint="default" w:ascii="Times New Roman" w:hAnsi="Times New Roman" w:cs="Times New Roman"/>
                <w:b w:val="0"/>
                <w:bCs w:val="0"/>
                <w:u w:val="none" w:color="auto"/>
              </w:rPr>
              <w:fldChar w:fldCharType="begin"/>
            </w:r>
            <w:r>
              <w:rPr>
                <w:rFonts w:hint="default" w:ascii="Times New Roman" w:hAnsi="Times New Roman" w:cs="Times New Roman"/>
                <w:b w:val="0"/>
                <w:bCs w:val="0"/>
                <w:u w:val="none" w:color="auto"/>
              </w:rPr>
              <w:instrText xml:space="preserve"> = 4 \* GB3 </w:instrText>
            </w:r>
            <w:r>
              <w:rPr>
                <w:rFonts w:hint="default" w:ascii="Times New Roman" w:hAnsi="Times New Roman" w:cs="Times New Roman"/>
                <w:b w:val="0"/>
                <w:bCs w:val="0"/>
                <w:u w:val="none" w:color="auto"/>
              </w:rPr>
              <w:fldChar w:fldCharType="separate"/>
            </w:r>
            <w:r>
              <w:rPr>
                <w:rFonts w:hint="default" w:ascii="Times New Roman" w:hAnsi="Times New Roman" w:cs="Times New Roman"/>
                <w:b w:val="0"/>
                <w:bCs w:val="0"/>
                <w:u w:val="none" w:color="auto"/>
              </w:rPr>
              <w:t>④</w:t>
            </w:r>
            <w:r>
              <w:rPr>
                <w:rFonts w:hint="default" w:ascii="Times New Roman" w:hAnsi="Times New Roman" w:cs="Times New Roman"/>
                <w:b w:val="0"/>
                <w:bCs w:val="0"/>
                <w:u w:val="none" w:color="auto"/>
              </w:rPr>
              <w:fldChar w:fldCharType="end"/>
            </w:r>
            <w:r>
              <w:rPr>
                <w:rFonts w:hint="default" w:ascii="Times New Roman" w:hAnsi="Times New Roman" w:cs="Times New Roman"/>
                <w:b w:val="0"/>
                <w:bCs w:val="0"/>
                <w:u w:val="none" w:color="auto"/>
              </w:rPr>
              <w:t>电池清洗废水</w:t>
            </w:r>
          </w:p>
          <w:p w14:paraId="74C4C3BC">
            <w:pPr>
              <w:keepNext w:val="0"/>
              <w:keepLines w:val="0"/>
              <w:pageBreakBefore w:val="0"/>
              <w:kinsoku/>
              <w:wordWrap/>
              <w:overflowPunct/>
              <w:topLinePunct w:val="0"/>
              <w:autoSpaceDE/>
              <w:autoSpaceDN/>
              <w:bidi w:val="0"/>
              <w:spacing w:line="440" w:lineRule="exact"/>
              <w:ind w:firstLine="480" w:firstLineChars="200"/>
              <w:jc w:val="both"/>
              <w:textAlignment w:val="auto"/>
              <w:rPr>
                <w:rFonts w:hint="default" w:ascii="Times New Roman" w:hAnsi="Times New Roman" w:cs="Times New Roman"/>
                <w:color w:val="000000"/>
                <w:sz w:val="24"/>
                <w:u w:val="none" w:color="auto"/>
                <w:lang w:val="en-US" w:eastAsia="zh-CN"/>
              </w:rPr>
            </w:pPr>
            <w:r>
              <w:rPr>
                <w:rFonts w:hint="default" w:ascii="Times New Roman" w:hAnsi="Times New Roman" w:cs="Times New Roman"/>
                <w:b w:val="0"/>
                <w:bCs w:val="0"/>
                <w:color w:val="000000"/>
                <w:sz w:val="24"/>
                <w:u w:val="none" w:color="auto"/>
                <w:lang w:val="en-US" w:eastAsia="zh-CN"/>
              </w:rPr>
              <w:t>本项目</w:t>
            </w:r>
            <w:r>
              <w:rPr>
                <w:rFonts w:hint="default" w:ascii="Times New Roman" w:hAnsi="Times New Roman" w:cs="Times New Roman"/>
                <w:b w:val="0"/>
                <w:bCs w:val="0"/>
                <w:color w:val="000000"/>
                <w:sz w:val="24"/>
                <w:u w:val="none" w:color="auto"/>
              </w:rPr>
              <w:t>需对注液封装完</w:t>
            </w:r>
            <w:r>
              <w:rPr>
                <w:rFonts w:hint="default" w:ascii="Times New Roman" w:hAnsi="Times New Roman" w:cs="Times New Roman"/>
                <w:color w:val="000000"/>
                <w:sz w:val="24"/>
                <w:u w:val="none" w:color="auto"/>
              </w:rPr>
              <w:t>成后的锂离子电池使用水对表面进行清洗，去除表面残留的电解液杂质</w:t>
            </w:r>
            <w:r>
              <w:rPr>
                <w:rFonts w:hint="default" w:ascii="Times New Roman" w:hAnsi="Times New Roman" w:cs="Times New Roman"/>
                <w:color w:val="000000"/>
                <w:sz w:val="24"/>
                <w:u w:val="none" w:color="auto"/>
                <w:lang w:eastAsia="zh-CN"/>
              </w:rPr>
              <w:t>，</w:t>
            </w:r>
            <w:r>
              <w:rPr>
                <w:rFonts w:hint="default" w:ascii="Times New Roman" w:hAnsi="Times New Roman" w:cs="Times New Roman"/>
                <w:color w:val="000000"/>
                <w:sz w:val="24"/>
                <w:u w:val="none" w:color="auto"/>
                <w:lang w:val="en-US" w:eastAsia="zh-CN"/>
              </w:rPr>
              <w:t>保持电池的品质。参照同行业该工序用水量，</w:t>
            </w:r>
            <w:r>
              <w:rPr>
                <w:rFonts w:hint="default" w:ascii="Times New Roman" w:hAnsi="Times New Roman" w:cs="Times New Roman"/>
                <w:color w:val="000000" w:themeColor="text1"/>
                <w:sz w:val="24"/>
                <w:u w:val="none" w:color="auto"/>
                <w:lang w:val="en-US" w:eastAsia="zh-CN"/>
                <w14:textFill>
                  <w14:solidFill>
                    <w14:schemeClr w14:val="tx1"/>
                  </w14:solidFill>
                </w14:textFill>
              </w:rPr>
              <w:t>每1万只约需230L清洗用水，本项目年生产6亿</w:t>
            </w:r>
            <w:r>
              <w:rPr>
                <w:rFonts w:hint="eastAsia" w:ascii="Times New Roman" w:hAnsi="Times New Roman" w:cs="Times New Roman"/>
                <w:color w:val="000000" w:themeColor="text1"/>
                <w:sz w:val="24"/>
                <w:u w:val="none" w:color="auto"/>
                <w:lang w:val="en-US" w:eastAsia="zh-CN"/>
                <w14:textFill>
                  <w14:solidFill>
                    <w14:schemeClr w14:val="tx1"/>
                  </w14:solidFill>
                </w14:textFill>
              </w:rPr>
              <w:t>支</w:t>
            </w:r>
            <w:r>
              <w:rPr>
                <w:rFonts w:hint="default" w:ascii="Times New Roman" w:hAnsi="Times New Roman" w:cs="Times New Roman"/>
                <w:color w:val="000000" w:themeColor="text1"/>
                <w:sz w:val="24"/>
                <w:u w:val="none" w:color="auto"/>
                <w:lang w:val="en-US" w:eastAsia="zh-CN"/>
                <w14:textFill>
                  <w14:solidFill>
                    <w14:schemeClr w14:val="tx1"/>
                  </w14:solidFill>
                </w14:textFill>
              </w:rPr>
              <w:t>锂离子电池，日均生产量182万只，故每日最大电池清洗用</w:t>
            </w:r>
            <w:r>
              <w:rPr>
                <w:rFonts w:hint="eastAsia" w:cs="Times New Roman"/>
                <w:color w:val="000000" w:themeColor="text1"/>
                <w:sz w:val="24"/>
                <w:u w:val="none" w:color="auto"/>
                <w:lang w:val="en-US" w:eastAsia="zh-CN"/>
                <w14:textFill>
                  <w14:solidFill>
                    <w14:schemeClr w14:val="tx1"/>
                  </w14:solidFill>
                </w14:textFill>
              </w:rPr>
              <w:t>纯</w:t>
            </w:r>
            <w:r>
              <w:rPr>
                <w:rFonts w:hint="default" w:ascii="Times New Roman" w:hAnsi="Times New Roman" w:cs="Times New Roman"/>
                <w:color w:val="000000" w:themeColor="text1"/>
                <w:sz w:val="24"/>
                <w:u w:val="none" w:color="auto"/>
                <w:lang w:val="en-US" w:eastAsia="zh-CN"/>
                <w14:textFill>
                  <w14:solidFill>
                    <w14:schemeClr w14:val="tx1"/>
                  </w14:solidFill>
                </w14:textFill>
              </w:rPr>
              <w:t>水量为41.86</w:t>
            </w:r>
            <w:r>
              <w:rPr>
                <w:rFonts w:hint="eastAsia" w:hAnsi="宋体"/>
                <w:color w:val="000000"/>
                <w:sz w:val="24"/>
                <w:u w:val="none" w:color="auto"/>
              </w:rPr>
              <w:t>m</w:t>
            </w:r>
            <w:r>
              <w:rPr>
                <w:rFonts w:hint="eastAsia" w:hAnsi="宋体"/>
                <w:color w:val="000000"/>
                <w:sz w:val="24"/>
                <w:u w:val="none" w:color="auto"/>
                <w:vertAlign w:val="superscript"/>
              </w:rPr>
              <w:t>3</w:t>
            </w:r>
            <w:r>
              <w:rPr>
                <w:rFonts w:hint="eastAsia" w:hAnsi="宋体"/>
                <w:color w:val="000000"/>
                <w:sz w:val="24"/>
                <w:u w:val="none" w:color="auto"/>
              </w:rPr>
              <w:t>/d</w:t>
            </w:r>
            <w:r>
              <w:rPr>
                <w:rFonts w:hint="default" w:ascii="Times New Roman" w:hAnsi="Times New Roman" w:cs="Times New Roman"/>
                <w:color w:val="000000" w:themeColor="text1"/>
                <w:sz w:val="24"/>
                <w:u w:val="none" w:color="auto"/>
                <w:lang w:val="en-US" w:eastAsia="zh-CN"/>
                <w14:textFill>
                  <w14:solidFill>
                    <w14:schemeClr w14:val="tx1"/>
                  </w14:solidFill>
                </w14:textFill>
              </w:rPr>
              <w:t>（13813.8t/a）。</w:t>
            </w:r>
            <w:r>
              <w:rPr>
                <w:rFonts w:hint="default" w:ascii="Times New Roman" w:hAnsi="Times New Roman" w:cs="Times New Roman"/>
                <w:color w:val="000000"/>
                <w:sz w:val="24"/>
                <w:u w:val="none" w:color="auto"/>
                <w:lang w:val="en-US" w:eastAsia="zh-CN"/>
              </w:rPr>
              <w:t>产污系数按照80%计，则清洗废水产生量为33.49</w:t>
            </w:r>
            <w:r>
              <w:rPr>
                <w:rFonts w:hint="eastAsia" w:hAnsi="宋体"/>
                <w:color w:val="000000"/>
                <w:sz w:val="24"/>
                <w:u w:val="none" w:color="auto"/>
              </w:rPr>
              <w:t>m</w:t>
            </w:r>
            <w:r>
              <w:rPr>
                <w:rFonts w:hint="eastAsia" w:hAnsi="宋体"/>
                <w:color w:val="000000"/>
                <w:sz w:val="24"/>
                <w:u w:val="none" w:color="auto"/>
                <w:vertAlign w:val="superscript"/>
              </w:rPr>
              <w:t>3</w:t>
            </w:r>
            <w:r>
              <w:rPr>
                <w:rFonts w:hint="eastAsia" w:hAnsi="宋体"/>
                <w:color w:val="000000"/>
                <w:sz w:val="24"/>
                <w:u w:val="none" w:color="auto"/>
              </w:rPr>
              <w:t>/d</w:t>
            </w:r>
            <w:r>
              <w:rPr>
                <w:rFonts w:hint="default" w:ascii="Times New Roman" w:hAnsi="Times New Roman" w:cs="Times New Roman"/>
                <w:color w:val="000000"/>
                <w:sz w:val="24"/>
                <w:u w:val="none" w:color="auto"/>
                <w:lang w:val="en-US" w:eastAsia="zh-CN"/>
              </w:rPr>
              <w:t>（11051.7t/a）。</w:t>
            </w:r>
            <w:r>
              <w:rPr>
                <w:rFonts w:hint="eastAsia" w:cs="Times New Roman"/>
                <w:color w:val="000000"/>
                <w:sz w:val="24"/>
                <w:u w:val="none" w:color="auto"/>
                <w:lang w:val="en-US" w:eastAsia="zh-CN"/>
              </w:rPr>
              <w:t>污染物源强类比《南京中比新能源科技有限公司年产 6GWh锂离子储能电池建设项目》日常监测数据及类别同类废水水质，电池清洗废水源强COD300mg/L、SS 200mg/L、TP3mg/L、NH</w:t>
            </w:r>
            <w:r>
              <w:rPr>
                <w:rFonts w:hint="eastAsia" w:cs="Times New Roman"/>
                <w:color w:val="000000"/>
                <w:sz w:val="24"/>
                <w:u w:val="none" w:color="auto"/>
                <w:vertAlign w:val="subscript"/>
                <w:lang w:val="en-US" w:eastAsia="zh-CN"/>
              </w:rPr>
              <w:t>3</w:t>
            </w:r>
            <w:r>
              <w:rPr>
                <w:rFonts w:hint="eastAsia" w:cs="Times New Roman"/>
                <w:color w:val="000000"/>
                <w:sz w:val="24"/>
                <w:u w:val="none" w:color="auto"/>
                <w:lang w:val="en-US" w:eastAsia="zh-CN"/>
              </w:rPr>
              <w:t>-N 5mg/L、TN 10mg/L。</w:t>
            </w:r>
          </w:p>
          <w:p w14:paraId="1318D14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b w:val="0"/>
                <w:bCs/>
                <w:color w:val="000000"/>
                <w:sz w:val="24"/>
                <w:u w:val="none" w:color="auto"/>
                <w:lang w:val="en-US" w:eastAsia="zh-CN"/>
              </w:rPr>
            </w:pPr>
            <w:r>
              <w:rPr>
                <w:rFonts w:hint="default" w:ascii="Times New Roman" w:hAnsi="Times New Roman" w:eastAsia="宋体" w:cs="Times New Roman"/>
                <w:b w:val="0"/>
                <w:bCs/>
                <w:color w:val="000000"/>
                <w:sz w:val="24"/>
                <w:u w:val="none" w:color="auto"/>
                <w:lang w:val="en-US" w:eastAsia="zh-CN"/>
              </w:rPr>
              <w:t>⑤NMP回收系统冷却水</w:t>
            </w:r>
          </w:p>
          <w:p w14:paraId="390B01CE">
            <w:pPr>
              <w:pStyle w:val="118"/>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宋体" w:cs="Times New Roman"/>
                <w:color w:val="000000"/>
                <w:kern w:val="2"/>
                <w:sz w:val="24"/>
                <w:szCs w:val="24"/>
                <w:u w:val="none" w:color="auto"/>
                <w:lang w:val="en-US" w:eastAsia="zh-CN" w:bidi="ar-SA"/>
              </w:rPr>
            </w:pPr>
            <w:r>
              <w:rPr>
                <w:rFonts w:hint="default" w:ascii="Times New Roman" w:hAnsi="Times New Roman" w:eastAsia="宋体" w:cs="Times New Roman"/>
                <w:color w:val="000000"/>
                <w:kern w:val="2"/>
                <w:sz w:val="24"/>
                <w:szCs w:val="24"/>
                <w:u w:val="none" w:color="auto"/>
                <w:lang w:val="en-US" w:eastAsia="zh-CN" w:bidi="ar-SA"/>
              </w:rPr>
              <w:t>项目NMP气体经过涂布设备配套的冷凝换热装置进行换热，列管冷凝器中冷却水循环水量为120t/d左右</w:t>
            </w:r>
            <w:r>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w:t>
            </w:r>
            <w:r>
              <w:rPr>
                <w:rFonts w:hint="eastAsia" w:cs="Times New Roman"/>
                <w:color w:val="000000" w:themeColor="text1"/>
                <w:kern w:val="2"/>
                <w:sz w:val="24"/>
                <w:szCs w:val="24"/>
                <w:u w:val="none" w:color="auto"/>
                <w:lang w:val="en-US" w:eastAsia="zh-CN" w:bidi="ar-SA"/>
                <w14:textFill>
                  <w14:solidFill>
                    <w14:schemeClr w14:val="tx1"/>
                  </w14:solidFill>
                </w14:textFill>
              </w:rPr>
              <w:t>蒸</w:t>
            </w:r>
            <w:r>
              <w:rPr>
                <w:rFonts w:hint="default" w:ascii="Times New Roman" w:hAnsi="Times New Roman" w:cs="Times New Roman"/>
                <w:color w:val="000000" w:themeColor="text1"/>
                <w:sz w:val="24"/>
                <w:u w:val="none" w:color="auto"/>
                <w:lang w:eastAsia="zh-CN"/>
                <w14:textFill>
                  <w14:solidFill>
                    <w14:schemeClr w14:val="tx1"/>
                  </w14:solidFill>
                </w14:textFill>
              </w:rPr>
              <w:t>发损耗率约为循环水量的2%，</w:t>
            </w:r>
            <w:r>
              <w:rPr>
                <w:rFonts w:hint="default" w:ascii="Times New Roman" w:hAnsi="Times New Roman" w:eastAsia="宋体" w:cs="Times New Roman"/>
                <w:color w:val="000000"/>
                <w:kern w:val="2"/>
                <w:sz w:val="24"/>
                <w:szCs w:val="24"/>
                <w:u w:val="none" w:color="auto"/>
                <w:lang w:val="en-US" w:eastAsia="zh-CN" w:bidi="ar-SA"/>
              </w:rPr>
              <w:t>散失量为0.24</w:t>
            </w:r>
            <w:r>
              <w:rPr>
                <w:rFonts w:hint="eastAsia" w:hAnsi="宋体"/>
                <w:color w:val="000000"/>
                <w:sz w:val="24"/>
                <w:u w:val="none" w:color="auto"/>
              </w:rPr>
              <w:t>m</w:t>
            </w:r>
            <w:r>
              <w:rPr>
                <w:rFonts w:hint="eastAsia" w:hAnsi="宋体"/>
                <w:color w:val="000000"/>
                <w:sz w:val="24"/>
                <w:u w:val="none" w:color="auto"/>
                <w:vertAlign w:val="superscript"/>
              </w:rPr>
              <w:t>3</w:t>
            </w:r>
            <w:r>
              <w:rPr>
                <w:rFonts w:hint="eastAsia" w:hAnsi="宋体"/>
                <w:color w:val="000000"/>
                <w:sz w:val="24"/>
                <w:u w:val="none" w:color="auto"/>
              </w:rPr>
              <w:t>/d</w:t>
            </w:r>
            <w:r>
              <w:rPr>
                <w:rFonts w:hint="default" w:ascii="Times New Roman" w:hAnsi="Times New Roman" w:eastAsia="宋体" w:cs="Times New Roman"/>
                <w:color w:val="000000"/>
                <w:kern w:val="2"/>
                <w:sz w:val="24"/>
                <w:szCs w:val="24"/>
                <w:u w:val="none" w:color="auto"/>
                <w:lang w:val="en-US" w:eastAsia="zh-CN" w:bidi="ar-SA"/>
              </w:rPr>
              <w:t>，冷却水循环使用，定期补给，不外排。</w:t>
            </w:r>
          </w:p>
          <w:p w14:paraId="2CECDF7A">
            <w:pPr>
              <w:pStyle w:val="118"/>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宋体" w:cs="Times New Roman"/>
                <w:b w:val="0"/>
                <w:bCs w:val="0"/>
                <w:color w:val="000000" w:themeColor="text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u w:val="none" w:color="auto"/>
                <w:lang w:val="en-US" w:eastAsia="zh-CN"/>
                <w14:textFill>
                  <w14:solidFill>
                    <w14:schemeClr w14:val="tx1"/>
                  </w14:solidFill>
                </w14:textFill>
              </w:rPr>
              <w:t>⑥水喷淋罐废水</w:t>
            </w:r>
          </w:p>
          <w:p w14:paraId="2FB35A5A">
            <w:pPr>
              <w:pStyle w:val="118"/>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宋体" w:cs="Times New Roman"/>
                <w:b/>
                <w:bCs/>
                <w:color w:val="000000" w:themeColor="text1"/>
                <w:u w:val="none" w:color="auto"/>
                <w:lang w:val="en-US" w:eastAsia="zh-CN"/>
                <w14:textFill>
                  <w14:solidFill>
                    <w14:schemeClr w14:val="tx1"/>
                  </w14:solidFill>
                </w14:textFill>
              </w:rPr>
            </w:pPr>
            <w:r>
              <w:rPr>
                <w:rFonts w:hint="default" w:ascii="Times New Roman" w:hAnsi="Times New Roman" w:cs="Times New Roman"/>
                <w:highlight w:val="none"/>
                <w:u w:val="none" w:color="auto"/>
              </w:rPr>
              <w:t>本项目产生的NMP废气由配套的水喷淋回收装置进行喷淋回收，</w:t>
            </w:r>
            <w:r>
              <w:rPr>
                <w:rFonts w:hint="eastAsia"/>
                <w:u w:val="none" w:color="auto"/>
                <w:lang w:val="en-US" w:eastAsia="zh-CN"/>
              </w:rPr>
              <w:t>喷淋</w:t>
            </w:r>
            <w:r>
              <w:rPr>
                <w:rFonts w:hint="default" w:ascii="Times New Roman" w:hAnsi="Times New Roman" w:cs="Times New Roman"/>
                <w:highlight w:val="none"/>
                <w:u w:val="none" w:color="auto"/>
              </w:rPr>
              <w:t>水随着NMP一同经原料厂家直接回收</w:t>
            </w:r>
            <w:r>
              <w:rPr>
                <w:rFonts w:hint="default" w:ascii="Times New Roman" w:hAnsi="Times New Roman" w:cs="Times New Roman"/>
                <w:highlight w:val="none"/>
                <w:u w:val="none" w:color="auto"/>
                <w:lang w:eastAsia="zh-CN"/>
              </w:rPr>
              <w:t>。</w:t>
            </w:r>
          </w:p>
          <w:p w14:paraId="73D02CDB">
            <w:pPr>
              <w:pStyle w:val="98"/>
              <w:bidi w:val="0"/>
              <w:rPr>
                <w:rFonts w:hint="default" w:ascii="Times New Roman" w:hAnsi="Times New Roman" w:eastAsia="宋体" w:cs="Times New Roman"/>
                <w:color w:val="000000"/>
                <w:kern w:val="0"/>
                <w:sz w:val="24"/>
                <w:szCs w:val="20"/>
                <w:u w:val="none" w:color="auto"/>
                <w:lang w:val="en-US" w:eastAsia="zh-CN" w:bidi="ar-SA"/>
              </w:rPr>
            </w:pPr>
            <w:r>
              <w:rPr>
                <w:rFonts w:hint="eastAsia" w:cs="Times New Roman"/>
                <w:color w:val="000000"/>
                <w:kern w:val="0"/>
                <w:sz w:val="24"/>
                <w:szCs w:val="20"/>
                <w:u w:val="none" w:color="auto"/>
                <w:lang w:val="en-US" w:eastAsia="zh-CN" w:bidi="ar-SA"/>
              </w:rPr>
              <w:t>本项目设备、地面清洗废水经化学混凝沉淀后经车间处理处理排放口（DW003）排入厂区污水处理站进一步处理，设备、地面清洗废水水质产排情况见下表。</w:t>
            </w:r>
          </w:p>
          <w:p w14:paraId="4D498D93">
            <w:pPr>
              <w:keepNext w:val="0"/>
              <w:keepLines w:val="0"/>
              <w:pageBreakBefore w:val="0"/>
              <w:widowControl w:val="0"/>
              <w:tabs>
                <w:tab w:val="left" w:pos="3620"/>
              </w:tabs>
              <w:kinsoku/>
              <w:wordWrap/>
              <w:overflowPunct/>
              <w:topLinePunct w:val="0"/>
              <w:bidi w:val="0"/>
              <w:adjustRightInd w:val="0"/>
              <w:snapToGrid w:val="0"/>
              <w:spacing w:line="440" w:lineRule="atLeast"/>
              <w:ind w:firstLine="480"/>
              <w:jc w:val="both"/>
              <w:textAlignment w:val="auto"/>
              <w:rPr>
                <w:rFonts w:hint="default"/>
                <w:b/>
                <w:bCs/>
                <w:sz w:val="24"/>
                <w:szCs w:val="24"/>
                <w:u w:val="none" w:color="auto"/>
                <w:lang w:val="en-US" w:eastAsia="zh-CN"/>
              </w:rPr>
            </w:pPr>
            <w:r>
              <w:rPr>
                <w:rFonts w:hint="default"/>
                <w:b/>
                <w:bCs/>
                <w:sz w:val="24"/>
                <w:szCs w:val="24"/>
                <w:u w:val="none" w:color="auto"/>
                <w:lang w:val="en-US" w:eastAsia="zh-CN"/>
              </w:rPr>
              <w:t>表</w:t>
            </w:r>
            <w:r>
              <w:rPr>
                <w:rFonts w:hint="eastAsia"/>
                <w:b/>
                <w:bCs/>
                <w:sz w:val="24"/>
                <w:szCs w:val="24"/>
                <w:u w:val="none" w:color="auto"/>
                <w:lang w:val="en-US" w:eastAsia="zh-CN"/>
              </w:rPr>
              <w:t xml:space="preserve">4-12 </w:t>
            </w:r>
            <w:r>
              <w:rPr>
                <w:rFonts w:hint="default"/>
                <w:b/>
                <w:bCs/>
                <w:sz w:val="24"/>
                <w:szCs w:val="24"/>
                <w:u w:val="none" w:color="auto"/>
                <w:lang w:val="en-US" w:eastAsia="zh-CN"/>
              </w:rPr>
              <w:t xml:space="preserve"> </w:t>
            </w:r>
            <w:r>
              <w:rPr>
                <w:rFonts w:hint="eastAsia"/>
                <w:b/>
                <w:bCs/>
                <w:sz w:val="24"/>
                <w:szCs w:val="24"/>
                <w:u w:val="none" w:color="auto"/>
                <w:lang w:val="en-US" w:eastAsia="zh-CN"/>
              </w:rPr>
              <w:t xml:space="preserve">  设备、清洗</w:t>
            </w:r>
            <w:r>
              <w:rPr>
                <w:rFonts w:hint="default"/>
                <w:b/>
                <w:bCs/>
                <w:sz w:val="24"/>
                <w:szCs w:val="24"/>
                <w:u w:val="none" w:color="auto"/>
                <w:lang w:val="en-US" w:eastAsia="zh-CN"/>
              </w:rPr>
              <w:t>废水</w:t>
            </w:r>
            <w:r>
              <w:rPr>
                <w:rFonts w:hint="eastAsia"/>
                <w:b/>
                <w:bCs/>
                <w:sz w:val="24"/>
                <w:szCs w:val="24"/>
                <w:u w:val="none" w:color="auto"/>
                <w:lang w:val="en-US" w:eastAsia="zh-CN"/>
              </w:rPr>
              <w:t>车间处理设施排口排放</w:t>
            </w:r>
            <w:r>
              <w:rPr>
                <w:rFonts w:hint="default"/>
                <w:b/>
                <w:bCs/>
                <w:sz w:val="24"/>
                <w:szCs w:val="24"/>
                <w:u w:val="none" w:color="auto"/>
                <w:lang w:val="en-US" w:eastAsia="zh-CN"/>
              </w:rPr>
              <w:t>情况一览表（mg/</w:t>
            </w:r>
            <w:r>
              <w:rPr>
                <w:rFonts w:hint="eastAsia"/>
                <w:b/>
                <w:bCs/>
                <w:sz w:val="24"/>
                <w:szCs w:val="24"/>
                <w:u w:val="none" w:color="auto"/>
                <w:lang w:val="en-US" w:eastAsia="zh-CN"/>
              </w:rPr>
              <w:t>L</w:t>
            </w:r>
            <w:r>
              <w:rPr>
                <w:rFonts w:hint="default"/>
                <w:b/>
                <w:bCs/>
                <w:sz w:val="24"/>
                <w:szCs w:val="24"/>
                <w:u w:val="none" w:color="auto"/>
                <w:lang w:val="en-US" w:eastAsia="zh-CN"/>
              </w:rPr>
              <w:t>）</w:t>
            </w:r>
          </w:p>
          <w:tbl>
            <w:tblPr>
              <w:tblStyle w:val="33"/>
              <w:tblW w:w="4756"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360"/>
              <w:gridCol w:w="1026"/>
              <w:gridCol w:w="727"/>
              <w:gridCol w:w="930"/>
              <w:gridCol w:w="794"/>
              <w:gridCol w:w="729"/>
            </w:tblGrid>
            <w:tr w14:paraId="53CCA93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97" w:type="pct"/>
                  <w:tcBorders>
                    <w:top w:val="single" w:color="auto" w:sz="8" w:space="0"/>
                    <w:bottom w:val="single" w:color="auto" w:sz="8" w:space="0"/>
                  </w:tcBorders>
                  <w:vAlign w:val="center"/>
                </w:tcPr>
                <w:p w14:paraId="3ACCAA5B">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bCs/>
                      <w:color w:val="000000" w:themeColor="text1"/>
                      <w:sz w:val="21"/>
                      <w:szCs w:val="21"/>
                      <w:u w:val="none" w:color="auto"/>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处理单元</w:t>
                  </w:r>
                </w:p>
              </w:tc>
              <w:tc>
                <w:tcPr>
                  <w:tcW w:w="904" w:type="pct"/>
                  <w:tcBorders>
                    <w:top w:val="single" w:color="auto" w:sz="8" w:space="0"/>
                    <w:bottom w:val="single" w:color="auto" w:sz="8" w:space="0"/>
                  </w:tcBorders>
                  <w:vAlign w:val="center"/>
                </w:tcPr>
                <w:p w14:paraId="58E79EC2">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bCs/>
                      <w:color w:val="000000" w:themeColor="text1"/>
                      <w:sz w:val="21"/>
                      <w:szCs w:val="21"/>
                      <w:u w:val="none" w:color="auto"/>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指标</w:t>
                  </w:r>
                </w:p>
              </w:tc>
              <w:tc>
                <w:tcPr>
                  <w:tcW w:w="682" w:type="pct"/>
                  <w:tcBorders>
                    <w:top w:val="single" w:color="auto" w:sz="8" w:space="0"/>
                    <w:bottom w:val="single" w:color="auto" w:sz="8" w:space="0"/>
                  </w:tcBorders>
                  <w:vAlign w:val="center"/>
                </w:tcPr>
                <w:p w14:paraId="2FE79E53">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bCs/>
                      <w:color w:val="000000" w:themeColor="text1"/>
                      <w:sz w:val="21"/>
                      <w:szCs w:val="21"/>
                      <w:u w:val="none" w:color="auto"/>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COD</w:t>
                  </w:r>
                </w:p>
              </w:tc>
              <w:tc>
                <w:tcPr>
                  <w:tcW w:w="483" w:type="pct"/>
                  <w:tcBorders>
                    <w:top w:val="single" w:color="auto" w:sz="8" w:space="0"/>
                    <w:bottom w:val="single" w:color="auto" w:sz="8" w:space="0"/>
                  </w:tcBorders>
                  <w:vAlign w:val="center"/>
                </w:tcPr>
                <w:p w14:paraId="12F02380">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bCs/>
                      <w:color w:val="000000" w:themeColor="text1"/>
                      <w:sz w:val="21"/>
                      <w:szCs w:val="21"/>
                      <w:u w:val="none" w:color="auto"/>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SS</w:t>
                  </w:r>
                </w:p>
              </w:tc>
              <w:tc>
                <w:tcPr>
                  <w:tcW w:w="618" w:type="pct"/>
                  <w:tcBorders>
                    <w:top w:val="single" w:color="auto" w:sz="8" w:space="0"/>
                    <w:bottom w:val="single" w:color="auto" w:sz="8" w:space="0"/>
                  </w:tcBorders>
                  <w:vAlign w:val="center"/>
                </w:tcPr>
                <w:p w14:paraId="5711A586">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pPr>
                  <w:r>
                    <w:rPr>
                      <w:rFonts w:hint="eastAsia" w:ascii="Times New Roman" w:cs="Times New Roman"/>
                      <w:b/>
                      <w:bCs/>
                      <w:color w:val="000000" w:themeColor="text1"/>
                      <w:sz w:val="21"/>
                      <w:szCs w:val="21"/>
                      <w:u w:val="none" w:color="auto"/>
                      <w:lang w:val="en-US" w:eastAsia="zh-CN"/>
                      <w14:textFill>
                        <w14:solidFill>
                          <w14:schemeClr w14:val="tx1"/>
                        </w14:solidFill>
                      </w14:textFill>
                    </w:rPr>
                    <w:t>总镍</w:t>
                  </w:r>
                </w:p>
              </w:tc>
              <w:tc>
                <w:tcPr>
                  <w:tcW w:w="528" w:type="pct"/>
                  <w:tcBorders>
                    <w:top w:val="single" w:color="auto" w:sz="8" w:space="0"/>
                    <w:bottom w:val="single" w:color="auto" w:sz="8" w:space="0"/>
                  </w:tcBorders>
                  <w:vAlign w:val="center"/>
                </w:tcPr>
                <w:p w14:paraId="3DCF4B56">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pPr>
                  <w:r>
                    <w:rPr>
                      <w:rFonts w:hint="eastAsia" w:ascii="Times New Roman" w:cs="Times New Roman"/>
                      <w:b/>
                      <w:bCs/>
                      <w:color w:val="000000" w:themeColor="text1"/>
                      <w:sz w:val="21"/>
                      <w:szCs w:val="21"/>
                      <w:u w:val="none" w:color="auto"/>
                      <w:lang w:val="en-US" w:eastAsia="zh-CN"/>
                      <w14:textFill>
                        <w14:solidFill>
                          <w14:schemeClr w14:val="tx1"/>
                        </w14:solidFill>
                      </w14:textFill>
                    </w:rPr>
                    <w:t>总锰</w:t>
                  </w:r>
                </w:p>
              </w:tc>
              <w:tc>
                <w:tcPr>
                  <w:tcW w:w="484" w:type="pct"/>
                  <w:tcBorders>
                    <w:top w:val="single" w:color="auto" w:sz="8" w:space="0"/>
                    <w:bottom w:val="single" w:color="auto" w:sz="8" w:space="0"/>
                  </w:tcBorders>
                  <w:vAlign w:val="center"/>
                </w:tcPr>
                <w:p w14:paraId="3E6ECCA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baseline"/>
                    <w:rPr>
                      <w:rFonts w:hint="default" w:ascii="Times New Roman" w:hAnsi="Times New Roman" w:eastAsia="宋体" w:cs="Times New Roman"/>
                      <w:b/>
                      <w:bCs/>
                      <w:color w:val="000000" w:themeColor="text1"/>
                      <w:sz w:val="21"/>
                      <w:szCs w:val="21"/>
                      <w:u w:val="none" w:color="auto"/>
                      <w:lang w:val="en-US" w:eastAsia="zh-CN"/>
                      <w14:textFill>
                        <w14:solidFill>
                          <w14:schemeClr w14:val="tx1"/>
                        </w14:solidFill>
                      </w14:textFill>
                    </w:rPr>
                  </w:pPr>
                  <w:r>
                    <w:rPr>
                      <w:rFonts w:hint="eastAsia" w:cs="Times New Roman"/>
                      <w:b/>
                      <w:bCs/>
                      <w:color w:val="000000" w:themeColor="text1"/>
                      <w:sz w:val="21"/>
                      <w:szCs w:val="21"/>
                      <w:u w:val="none" w:color="auto"/>
                      <w:lang w:val="en-US" w:eastAsia="zh-CN"/>
                      <w14:textFill>
                        <w14:solidFill>
                          <w14:schemeClr w14:val="tx1"/>
                        </w14:solidFill>
                      </w14:textFill>
                    </w:rPr>
                    <w:t>总钴</w:t>
                  </w:r>
                </w:p>
              </w:tc>
            </w:tr>
            <w:tr w14:paraId="71B15EC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7" w:type="pct"/>
                  <w:tcBorders>
                    <w:top w:val="single" w:color="auto" w:sz="8" w:space="0"/>
                  </w:tcBorders>
                  <w:vAlign w:val="center"/>
                </w:tcPr>
                <w:p w14:paraId="5C4F2C6B">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设备清洗</w:t>
                  </w: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w:t>
                  </w: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1.34</w:t>
                  </w:r>
                  <w:r>
                    <w:rPr>
                      <w:rFonts w:hint="eastAsia" w:ascii="Times New Roman" w:eastAsia="宋体" w:cs="Times New Roman"/>
                      <w:b w:val="0"/>
                      <w:bCs w:val="0"/>
                      <w:color w:val="000000" w:themeColor="text1"/>
                      <w:sz w:val="21"/>
                      <w:szCs w:val="21"/>
                      <w:u w:val="none" w:color="auto"/>
                      <w:lang w:val="en-US" w:eastAsia="zh-CN"/>
                      <w14:textFill>
                        <w14:solidFill>
                          <w14:schemeClr w14:val="tx1"/>
                        </w14:solidFill>
                      </w14:textFill>
                    </w:rPr>
                    <w:t>m</w:t>
                  </w:r>
                  <w:r>
                    <w:rPr>
                      <w:rFonts w:hint="eastAsia" w:ascii="Times New Roman" w:eastAsia="宋体" w:cs="Times New Roman"/>
                      <w:b w:val="0"/>
                      <w:bCs w:val="0"/>
                      <w:color w:val="000000" w:themeColor="text1"/>
                      <w:sz w:val="21"/>
                      <w:szCs w:val="21"/>
                      <w:u w:val="none" w:color="auto"/>
                      <w:vertAlign w:val="superscript"/>
                      <w:lang w:val="en-US" w:eastAsia="zh-CN"/>
                      <w14:textFill>
                        <w14:solidFill>
                          <w14:schemeClr w14:val="tx1"/>
                        </w14:solidFill>
                      </w14:textFill>
                    </w:rPr>
                    <w:t>3</w:t>
                  </w:r>
                  <w:r>
                    <w:rPr>
                      <w:rFonts w:hint="eastAsia" w:ascii="Times New Roman" w:eastAsia="宋体" w:cs="Times New Roman"/>
                      <w:b w:val="0"/>
                      <w:bCs w:val="0"/>
                      <w:color w:val="000000" w:themeColor="text1"/>
                      <w:sz w:val="21"/>
                      <w:szCs w:val="21"/>
                      <w:u w:val="none" w:color="auto"/>
                      <w:lang w:val="en-US" w:eastAsia="zh-CN"/>
                      <w14:textFill>
                        <w14:solidFill>
                          <w14:schemeClr w14:val="tx1"/>
                        </w14:solidFill>
                      </w14:textFill>
                    </w:rPr>
                    <w:t>/d</w:t>
                  </w: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w:t>
                  </w:r>
                </w:p>
              </w:tc>
              <w:tc>
                <w:tcPr>
                  <w:tcW w:w="904" w:type="pct"/>
                  <w:tcBorders>
                    <w:top w:val="single" w:color="auto" w:sz="8" w:space="0"/>
                  </w:tcBorders>
                  <w:vAlign w:val="center"/>
                </w:tcPr>
                <w:p w14:paraId="4CCA300B">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进水（mg/L）</w:t>
                  </w:r>
                </w:p>
              </w:tc>
              <w:tc>
                <w:tcPr>
                  <w:tcW w:w="682" w:type="pct"/>
                  <w:tcBorders>
                    <w:top w:val="single" w:color="auto" w:sz="8" w:space="0"/>
                  </w:tcBorders>
                  <w:vAlign w:val="center"/>
                </w:tcPr>
                <w:p w14:paraId="3C342E2E">
                  <w:pPr>
                    <w:spacing w:line="240" w:lineRule="auto"/>
                    <w:ind w:firstLine="0" w:firstLineChars="0"/>
                    <w:contextualSpacing/>
                    <w:jc w:val="center"/>
                    <w:textAlignment w:val="baseline"/>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2920</w:t>
                  </w:r>
                </w:p>
              </w:tc>
              <w:tc>
                <w:tcPr>
                  <w:tcW w:w="483" w:type="pct"/>
                  <w:tcBorders>
                    <w:top w:val="single" w:color="auto" w:sz="8" w:space="0"/>
                  </w:tcBorders>
                  <w:vAlign w:val="center"/>
                </w:tcPr>
                <w:p w14:paraId="73C16AF9">
                  <w:pPr>
                    <w:spacing w:line="240" w:lineRule="auto"/>
                    <w:ind w:firstLine="0" w:firstLineChars="0"/>
                    <w:contextualSpacing/>
                    <w:jc w:val="center"/>
                    <w:textAlignment w:val="baseline"/>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830</w:t>
                  </w:r>
                </w:p>
              </w:tc>
              <w:tc>
                <w:tcPr>
                  <w:tcW w:w="618" w:type="pct"/>
                  <w:tcBorders>
                    <w:top w:val="single" w:color="auto" w:sz="8" w:space="0"/>
                  </w:tcBorders>
                  <w:vAlign w:val="center"/>
                </w:tcPr>
                <w:p w14:paraId="432CE409">
                  <w:pPr>
                    <w:spacing w:line="240" w:lineRule="auto"/>
                    <w:ind w:firstLine="0" w:firstLineChars="0"/>
                    <w:contextualSpacing/>
                    <w:jc w:val="center"/>
                    <w:textAlignment w:val="baseline"/>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5.0</w:t>
                  </w:r>
                </w:p>
              </w:tc>
              <w:tc>
                <w:tcPr>
                  <w:tcW w:w="528" w:type="pct"/>
                  <w:tcBorders>
                    <w:top w:val="single" w:color="auto" w:sz="8" w:space="0"/>
                  </w:tcBorders>
                  <w:vAlign w:val="center"/>
                </w:tcPr>
                <w:p w14:paraId="618591A4">
                  <w:pPr>
                    <w:spacing w:line="240" w:lineRule="auto"/>
                    <w:ind w:firstLine="0" w:firstLineChars="0"/>
                    <w:contextualSpacing/>
                    <w:jc w:val="center"/>
                    <w:textAlignment w:val="baseline"/>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7.9</w:t>
                  </w:r>
                </w:p>
              </w:tc>
              <w:tc>
                <w:tcPr>
                  <w:tcW w:w="484" w:type="pct"/>
                  <w:tcBorders>
                    <w:top w:val="single" w:color="auto" w:sz="8" w:space="0"/>
                  </w:tcBorders>
                  <w:vAlign w:val="center"/>
                </w:tcPr>
                <w:p w14:paraId="103BCCE3">
                  <w:pPr>
                    <w:spacing w:line="240" w:lineRule="auto"/>
                    <w:ind w:firstLine="0" w:firstLineChars="0"/>
                    <w:contextualSpacing/>
                    <w:jc w:val="center"/>
                    <w:textAlignment w:val="baseline"/>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3.9</w:t>
                  </w:r>
                </w:p>
              </w:tc>
            </w:tr>
            <w:tr w14:paraId="651F535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297" w:type="pct"/>
                  <w:vMerge w:val="restart"/>
                  <w:vAlign w:val="center"/>
                </w:tcPr>
                <w:p w14:paraId="54318902">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eastAsia="宋体" w:cs="Times New Roman"/>
                      <w:b w:val="0"/>
                      <w:bCs w:val="0"/>
                      <w:color w:val="000000" w:themeColor="text1"/>
                      <w:sz w:val="21"/>
                      <w:szCs w:val="21"/>
                      <w:u w:val="none" w:color="auto"/>
                      <w:lang w:val="en-US" w:eastAsia="zh-CN"/>
                      <w14:textFill>
                        <w14:solidFill>
                          <w14:schemeClr w14:val="tx1"/>
                        </w14:solidFill>
                      </w14:textFill>
                    </w:rPr>
                    <w:t>化学</w:t>
                  </w:r>
                  <w:r>
                    <w:rPr>
                      <w:rFonts w:hint="default" w:ascii="Times New Roman" w:hAnsi="Times New Roman" w:eastAsia="宋体" w:cs="Times New Roman"/>
                      <w:b w:val="0"/>
                      <w:bCs w:val="0"/>
                      <w:color w:val="000000" w:themeColor="text1"/>
                      <w:sz w:val="21"/>
                      <w:szCs w:val="21"/>
                      <w:u w:val="none" w:color="auto"/>
                      <w:lang w:val="pt-BR"/>
                      <w14:textFill>
                        <w14:solidFill>
                          <w14:schemeClr w14:val="tx1"/>
                        </w14:solidFill>
                      </w14:textFill>
                    </w:rPr>
                    <w:t>混凝沉淀</w:t>
                  </w:r>
                </w:p>
              </w:tc>
              <w:tc>
                <w:tcPr>
                  <w:tcW w:w="904" w:type="pct"/>
                  <w:vAlign w:val="center"/>
                </w:tcPr>
                <w:p w14:paraId="6CAA6DBF">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去除率%</w:t>
                  </w:r>
                </w:p>
              </w:tc>
              <w:tc>
                <w:tcPr>
                  <w:tcW w:w="682" w:type="pct"/>
                  <w:vAlign w:val="center"/>
                </w:tcPr>
                <w:p w14:paraId="6B482BA0">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50%</w:t>
                  </w:r>
                </w:p>
              </w:tc>
              <w:tc>
                <w:tcPr>
                  <w:tcW w:w="483" w:type="pct"/>
                  <w:vAlign w:val="center"/>
                </w:tcPr>
                <w:p w14:paraId="1426FE1A">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90%</w:t>
                  </w:r>
                </w:p>
              </w:tc>
              <w:tc>
                <w:tcPr>
                  <w:tcW w:w="618" w:type="pct"/>
                  <w:vAlign w:val="center"/>
                </w:tcPr>
                <w:p w14:paraId="13EEF33D">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99%</w:t>
                  </w:r>
                </w:p>
              </w:tc>
              <w:tc>
                <w:tcPr>
                  <w:tcW w:w="528" w:type="pct"/>
                  <w:vAlign w:val="center"/>
                </w:tcPr>
                <w:p w14:paraId="0670735A">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99%</w:t>
                  </w:r>
                </w:p>
              </w:tc>
              <w:tc>
                <w:tcPr>
                  <w:tcW w:w="484" w:type="pct"/>
                  <w:vAlign w:val="center"/>
                </w:tcPr>
                <w:p w14:paraId="6494A2D0">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99%</w:t>
                  </w:r>
                </w:p>
              </w:tc>
            </w:tr>
            <w:tr w14:paraId="3C06785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297" w:type="pct"/>
                  <w:vMerge w:val="continue"/>
                  <w:vAlign w:val="center"/>
                </w:tcPr>
                <w:p w14:paraId="135A6133">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p>
              </w:tc>
              <w:tc>
                <w:tcPr>
                  <w:tcW w:w="904" w:type="pct"/>
                  <w:vAlign w:val="center"/>
                </w:tcPr>
                <w:p w14:paraId="0763A8E5">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出水（mg/L）</w:t>
                  </w:r>
                </w:p>
              </w:tc>
              <w:tc>
                <w:tcPr>
                  <w:tcW w:w="682" w:type="pct"/>
                  <w:vAlign w:val="center"/>
                </w:tcPr>
                <w:p w14:paraId="73383376">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1460</w:t>
                  </w:r>
                </w:p>
              </w:tc>
              <w:tc>
                <w:tcPr>
                  <w:tcW w:w="483" w:type="pct"/>
                  <w:vAlign w:val="center"/>
                </w:tcPr>
                <w:p w14:paraId="24687BC4">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83</w:t>
                  </w:r>
                </w:p>
              </w:tc>
              <w:tc>
                <w:tcPr>
                  <w:tcW w:w="618" w:type="pct"/>
                  <w:vAlign w:val="center"/>
                </w:tcPr>
                <w:p w14:paraId="03D43430">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u w:val="none" w:color="auto"/>
                      <w:lang w:val="en-US" w:eastAsia="zh-CN"/>
                      <w14:textFill>
                        <w14:solidFill>
                          <w14:schemeClr w14:val="tx1"/>
                        </w14:solidFill>
                      </w14:textFill>
                    </w:rPr>
                    <w:t>0.05</w:t>
                  </w:r>
                </w:p>
              </w:tc>
              <w:tc>
                <w:tcPr>
                  <w:tcW w:w="528" w:type="pct"/>
                  <w:vAlign w:val="center"/>
                </w:tcPr>
                <w:p w14:paraId="26F22140">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0.079</w:t>
                  </w:r>
                </w:p>
              </w:tc>
              <w:tc>
                <w:tcPr>
                  <w:tcW w:w="484" w:type="pct"/>
                  <w:vAlign w:val="center"/>
                </w:tcPr>
                <w:p w14:paraId="3568AB27">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eastAsia="宋体" w:cs="Times New Roman"/>
                      <w:b w:val="0"/>
                      <w:bCs w:val="0"/>
                      <w:color w:val="000000" w:themeColor="text1"/>
                      <w:sz w:val="21"/>
                      <w:szCs w:val="21"/>
                      <w:u w:val="none" w:color="auto"/>
                      <w:lang w:val="en-US" w:eastAsia="zh-CN"/>
                      <w14:textFill>
                        <w14:solidFill>
                          <w14:schemeClr w14:val="tx1"/>
                        </w14:solidFill>
                      </w14:textFill>
                    </w:rPr>
                    <w:t>0.039</w:t>
                  </w:r>
                </w:p>
              </w:tc>
            </w:tr>
            <w:tr w14:paraId="11472D7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97" w:type="pct"/>
                  <w:vAlign w:val="center"/>
                </w:tcPr>
                <w:p w14:paraId="3B77CC16">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车间处理设施排口（DW003）</w:t>
                  </w:r>
                </w:p>
              </w:tc>
              <w:tc>
                <w:tcPr>
                  <w:tcW w:w="904" w:type="pct"/>
                  <w:vAlign w:val="center"/>
                </w:tcPr>
                <w:p w14:paraId="02B700D3">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出水（mg/L）</w:t>
                  </w:r>
                </w:p>
              </w:tc>
              <w:tc>
                <w:tcPr>
                  <w:tcW w:w="682" w:type="pct"/>
                  <w:vAlign w:val="center"/>
                </w:tcPr>
                <w:p w14:paraId="66AD9134">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1460</w:t>
                  </w:r>
                </w:p>
              </w:tc>
              <w:tc>
                <w:tcPr>
                  <w:tcW w:w="483" w:type="pct"/>
                  <w:vAlign w:val="center"/>
                </w:tcPr>
                <w:p w14:paraId="13D12339">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83</w:t>
                  </w:r>
                </w:p>
              </w:tc>
              <w:tc>
                <w:tcPr>
                  <w:tcW w:w="618" w:type="pct"/>
                  <w:vAlign w:val="center"/>
                </w:tcPr>
                <w:p w14:paraId="2C275FC8">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0.05</w:t>
                  </w:r>
                </w:p>
              </w:tc>
              <w:tc>
                <w:tcPr>
                  <w:tcW w:w="528" w:type="pct"/>
                  <w:vAlign w:val="center"/>
                </w:tcPr>
                <w:p w14:paraId="6A9A1CB1">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0.079</w:t>
                  </w:r>
                </w:p>
              </w:tc>
              <w:tc>
                <w:tcPr>
                  <w:tcW w:w="484" w:type="pct"/>
                  <w:vAlign w:val="center"/>
                </w:tcPr>
                <w:p w14:paraId="74561053">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0.039</w:t>
                  </w:r>
                </w:p>
              </w:tc>
            </w:tr>
            <w:tr w14:paraId="7042D60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202" w:type="pct"/>
                  <w:gridSpan w:val="2"/>
                  <w:vAlign w:val="center"/>
                </w:tcPr>
                <w:p w14:paraId="0472B2F0">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《电池工业污染物排放标准》（GB30484-2013）表2</w:t>
                  </w: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车间处理设施排口</w:t>
                  </w:r>
                </w:p>
              </w:tc>
              <w:tc>
                <w:tcPr>
                  <w:tcW w:w="682" w:type="pct"/>
                  <w:vAlign w:val="center"/>
                </w:tcPr>
                <w:p w14:paraId="766B30CB">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c>
                <w:tcPr>
                  <w:tcW w:w="483" w:type="pct"/>
                  <w:vAlign w:val="center"/>
                </w:tcPr>
                <w:p w14:paraId="13C601A3">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c>
                <w:tcPr>
                  <w:tcW w:w="618" w:type="pct"/>
                  <w:vAlign w:val="center"/>
                </w:tcPr>
                <w:p w14:paraId="4B03C22B">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0.5</w:t>
                  </w:r>
                </w:p>
              </w:tc>
              <w:tc>
                <w:tcPr>
                  <w:tcW w:w="528" w:type="pct"/>
                  <w:vAlign w:val="center"/>
                </w:tcPr>
                <w:p w14:paraId="3AE9D7FD">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c>
                <w:tcPr>
                  <w:tcW w:w="484" w:type="pct"/>
                  <w:vAlign w:val="center"/>
                </w:tcPr>
                <w:p w14:paraId="442623B1">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0.1</w:t>
                  </w:r>
                </w:p>
              </w:tc>
            </w:tr>
            <w:tr w14:paraId="61F14E6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202" w:type="pct"/>
                  <w:gridSpan w:val="2"/>
                  <w:vAlign w:val="center"/>
                </w:tcPr>
                <w:p w14:paraId="6A222CA3">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达标分析</w:t>
                  </w:r>
                </w:p>
              </w:tc>
              <w:tc>
                <w:tcPr>
                  <w:tcW w:w="682" w:type="pct"/>
                  <w:vAlign w:val="center"/>
                </w:tcPr>
                <w:p w14:paraId="32C071B6">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c>
                <w:tcPr>
                  <w:tcW w:w="483" w:type="pct"/>
                  <w:vAlign w:val="center"/>
                </w:tcPr>
                <w:p w14:paraId="5041789C">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c>
                <w:tcPr>
                  <w:tcW w:w="618" w:type="pct"/>
                  <w:vAlign w:val="center"/>
                </w:tcPr>
                <w:p w14:paraId="25DBD090">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达标</w:t>
                  </w:r>
                </w:p>
              </w:tc>
              <w:tc>
                <w:tcPr>
                  <w:tcW w:w="528" w:type="pct"/>
                  <w:vAlign w:val="center"/>
                </w:tcPr>
                <w:p w14:paraId="50A1FE25">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c>
                <w:tcPr>
                  <w:tcW w:w="484" w:type="pct"/>
                  <w:vAlign w:val="center"/>
                </w:tcPr>
                <w:p w14:paraId="71ABDE1F">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达标</w:t>
                  </w:r>
                </w:p>
              </w:tc>
            </w:tr>
          </w:tbl>
          <w:p w14:paraId="556265FD">
            <w:pPr>
              <w:pStyle w:val="118"/>
              <w:keepNext w:val="0"/>
              <w:keepLines w:val="0"/>
              <w:pageBreakBefore w:val="0"/>
              <w:widowControl w:val="0"/>
              <w:kinsoku/>
              <w:wordWrap/>
              <w:overflowPunct/>
              <w:topLinePunct w:val="0"/>
              <w:autoSpaceDE/>
              <w:autoSpaceDN/>
              <w:bidi w:val="0"/>
              <w:spacing w:line="440" w:lineRule="exact"/>
              <w:jc w:val="both"/>
              <w:textAlignment w:val="auto"/>
              <w:rPr>
                <w:rFonts w:hint="default" w:ascii="Times New Roman" w:hAnsi="Times New Roman" w:eastAsia="宋体" w:cs="Times New Roman"/>
                <w:highlight w:val="none"/>
                <w:u w:val="none" w:color="auto"/>
                <w:lang w:val="en-US" w:eastAsia="zh-CN"/>
              </w:rPr>
            </w:pPr>
            <w:r>
              <w:rPr>
                <w:rFonts w:hint="default" w:ascii="Times New Roman" w:hAnsi="Times New Roman" w:eastAsia="宋体" w:cs="Times New Roman"/>
                <w:highlight w:val="none"/>
                <w:u w:val="none" w:color="auto"/>
                <w:lang w:val="en-US" w:eastAsia="zh-CN"/>
              </w:rPr>
              <w:t>本项目设备</w:t>
            </w:r>
            <w:r>
              <w:rPr>
                <w:rFonts w:hint="eastAsia" w:cs="Times New Roman"/>
                <w:highlight w:val="none"/>
                <w:u w:val="none" w:color="auto"/>
                <w:lang w:val="en-US" w:eastAsia="zh-CN"/>
              </w:rPr>
              <w:t>、地面</w:t>
            </w:r>
            <w:r>
              <w:rPr>
                <w:rFonts w:hint="default" w:ascii="Times New Roman" w:hAnsi="Times New Roman" w:eastAsia="宋体" w:cs="Times New Roman"/>
                <w:highlight w:val="none"/>
                <w:u w:val="none" w:color="auto"/>
                <w:lang w:val="en-US" w:eastAsia="zh-CN"/>
              </w:rPr>
              <w:t>清洗废水经</w:t>
            </w:r>
            <w:r>
              <w:rPr>
                <w:rFonts w:hint="eastAsia" w:cs="Times New Roman"/>
                <w:highlight w:val="none"/>
                <w:u w:val="none" w:color="auto"/>
                <w:lang w:val="en-US" w:eastAsia="zh-CN"/>
              </w:rPr>
              <w:t>化学混凝沉淀预处理后废水可</w:t>
            </w:r>
            <w:r>
              <w:rPr>
                <w:rFonts w:hint="default" w:ascii="Times New Roman" w:hAnsi="Times New Roman" w:eastAsia="宋体" w:cs="Times New Roman"/>
                <w:highlight w:val="none"/>
                <w:u w:val="none" w:color="auto"/>
                <w:lang w:val="en-US" w:eastAsia="zh-CN"/>
              </w:rPr>
              <w:t>达到</w:t>
            </w:r>
            <w:r>
              <w:rPr>
                <w:rFonts w:hint="eastAsia" w:cs="Times New Roman"/>
                <w:highlight w:val="none"/>
                <w:u w:val="none" w:color="auto"/>
                <w:lang w:val="en-US" w:eastAsia="zh-CN"/>
              </w:rPr>
              <w:t>《电池工业污染物排放标准》（GB30484-2013）表2车间处理设施排口（DW003）排放限值要求（总钴0.1</w:t>
            </w:r>
            <w:r>
              <w:rPr>
                <w:rFonts w:hint="default" w:ascii="Times New Roman" w:hAnsi="Times New Roman" w:eastAsia="宋体" w:cs="Times New Roman"/>
                <w:highlight w:val="none"/>
                <w:u w:val="none" w:color="auto"/>
                <w:lang w:val="en-US" w:eastAsia="zh-CN"/>
              </w:rPr>
              <w:t>mg/L</w:t>
            </w:r>
            <w:r>
              <w:rPr>
                <w:rFonts w:hint="eastAsia" w:eastAsia="宋体" w:cs="Times New Roman"/>
                <w:highlight w:val="none"/>
                <w:u w:val="none" w:color="auto"/>
                <w:lang w:val="en-US" w:eastAsia="zh-CN"/>
              </w:rPr>
              <w:t>、总镍0.5</w:t>
            </w:r>
            <w:r>
              <w:rPr>
                <w:rFonts w:hint="default" w:ascii="Times New Roman" w:hAnsi="Times New Roman" w:eastAsia="宋体" w:cs="Times New Roman"/>
                <w:highlight w:val="none"/>
                <w:u w:val="none" w:color="auto"/>
                <w:lang w:val="en-US" w:eastAsia="zh-CN"/>
              </w:rPr>
              <w:t>mg/L</w:t>
            </w:r>
            <w:r>
              <w:rPr>
                <w:rFonts w:hint="eastAsia" w:cs="Times New Roman"/>
                <w:highlight w:val="none"/>
                <w:u w:val="none" w:color="auto"/>
                <w:lang w:val="en-US" w:eastAsia="zh-CN"/>
              </w:rPr>
              <w:t>）。</w:t>
            </w:r>
          </w:p>
          <w:p w14:paraId="236E150A">
            <w:pPr>
              <w:pStyle w:val="98"/>
              <w:bidi w:val="0"/>
              <w:jc w:val="center"/>
              <w:rPr>
                <w:rFonts w:hint="default"/>
                <w:b/>
                <w:bCs/>
                <w:sz w:val="24"/>
                <w:szCs w:val="24"/>
                <w:u w:val="none" w:color="auto"/>
                <w:lang w:val="en-US" w:eastAsia="zh-CN"/>
              </w:rPr>
            </w:pPr>
            <w:r>
              <w:rPr>
                <w:rFonts w:hint="default"/>
                <w:b/>
                <w:bCs/>
                <w:sz w:val="24"/>
                <w:szCs w:val="24"/>
                <w:u w:val="none" w:color="auto"/>
                <w:lang w:val="en-US" w:eastAsia="zh-CN"/>
              </w:rPr>
              <w:t>表</w:t>
            </w:r>
            <w:r>
              <w:rPr>
                <w:rFonts w:hint="eastAsia"/>
                <w:b/>
                <w:bCs/>
                <w:sz w:val="24"/>
                <w:szCs w:val="24"/>
                <w:u w:val="none" w:color="auto"/>
                <w:lang w:val="en-US" w:eastAsia="zh-CN"/>
              </w:rPr>
              <w:t>4-13</w:t>
            </w:r>
            <w:r>
              <w:rPr>
                <w:rFonts w:hint="default"/>
                <w:b/>
                <w:bCs/>
                <w:sz w:val="24"/>
                <w:szCs w:val="24"/>
                <w:u w:val="none" w:color="auto"/>
                <w:lang w:val="en-US" w:eastAsia="zh-CN"/>
              </w:rPr>
              <w:t xml:space="preserve"> </w:t>
            </w:r>
            <w:r>
              <w:rPr>
                <w:rFonts w:hint="eastAsia"/>
                <w:b/>
                <w:bCs/>
                <w:sz w:val="24"/>
                <w:szCs w:val="24"/>
                <w:u w:val="none" w:color="auto"/>
                <w:lang w:val="en-US" w:eastAsia="zh-CN"/>
              </w:rPr>
              <w:t xml:space="preserve">   </w:t>
            </w:r>
            <w:r>
              <w:rPr>
                <w:rFonts w:hint="default"/>
                <w:b/>
                <w:bCs/>
                <w:sz w:val="24"/>
                <w:szCs w:val="24"/>
                <w:u w:val="none" w:color="auto"/>
                <w:lang w:val="en-US" w:eastAsia="zh-CN"/>
              </w:rPr>
              <w:t>项目废水产生情况一览表（mg/</w:t>
            </w:r>
            <w:r>
              <w:rPr>
                <w:rFonts w:hint="eastAsia"/>
                <w:b/>
                <w:bCs/>
                <w:sz w:val="24"/>
                <w:szCs w:val="24"/>
                <w:u w:val="none" w:color="auto"/>
                <w:lang w:val="en-US" w:eastAsia="zh-CN"/>
              </w:rPr>
              <w:t>L</w:t>
            </w:r>
            <w:r>
              <w:rPr>
                <w:rFonts w:hint="default"/>
                <w:b/>
                <w:bCs/>
                <w:sz w:val="24"/>
                <w:szCs w:val="24"/>
                <w:u w:val="none" w:color="auto"/>
                <w:lang w:val="en-US" w:eastAsia="zh-CN"/>
              </w:rPr>
              <w:t>）</w:t>
            </w:r>
          </w:p>
          <w:tbl>
            <w:tblPr>
              <w:tblStyle w:val="33"/>
              <w:tblW w:w="7897"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695"/>
              <w:gridCol w:w="818"/>
              <w:gridCol w:w="905"/>
              <w:gridCol w:w="682"/>
              <w:gridCol w:w="633"/>
              <w:gridCol w:w="718"/>
              <w:gridCol w:w="744"/>
              <w:gridCol w:w="523"/>
              <w:gridCol w:w="527"/>
              <w:gridCol w:w="523"/>
            </w:tblGrid>
            <w:tr w14:paraId="4C78F92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129" w:type="dxa"/>
                  <w:vMerge w:val="restart"/>
                  <w:tcBorders>
                    <w:top w:val="single" w:color="auto" w:sz="8" w:space="0"/>
                    <w:bottom w:val="single" w:color="auto" w:sz="4" w:space="0"/>
                  </w:tcBorders>
                  <w:vAlign w:val="center"/>
                </w:tcPr>
                <w:p w14:paraId="5E98852A">
                  <w:pPr>
                    <w:spacing w:line="240" w:lineRule="auto"/>
                    <w:ind w:firstLine="0" w:firstLineChars="0"/>
                    <w:contextualSpacing/>
                    <w:jc w:val="center"/>
                    <w:textAlignment w:val="baseline"/>
                    <w:rPr>
                      <w:b/>
                      <w:sz w:val="21"/>
                      <w:szCs w:val="21"/>
                      <w:u w:val="none" w:color="auto"/>
                    </w:rPr>
                  </w:pPr>
                  <w:r>
                    <w:rPr>
                      <w:b/>
                      <w:sz w:val="21"/>
                      <w:szCs w:val="21"/>
                      <w:u w:val="none" w:color="auto"/>
                    </w:rPr>
                    <w:t>废水种类</w:t>
                  </w:r>
                </w:p>
              </w:tc>
              <w:tc>
                <w:tcPr>
                  <w:tcW w:w="695" w:type="dxa"/>
                  <w:vMerge w:val="restart"/>
                  <w:tcBorders>
                    <w:top w:val="single" w:color="auto" w:sz="8" w:space="0"/>
                    <w:bottom w:val="single" w:color="auto" w:sz="4" w:space="0"/>
                  </w:tcBorders>
                  <w:vAlign w:val="center"/>
                </w:tcPr>
                <w:p w14:paraId="0FB29E7B">
                  <w:pPr>
                    <w:spacing w:line="240" w:lineRule="auto"/>
                    <w:ind w:firstLine="0" w:firstLineChars="0"/>
                    <w:contextualSpacing/>
                    <w:jc w:val="center"/>
                    <w:textAlignment w:val="baseline"/>
                    <w:rPr>
                      <w:b/>
                      <w:sz w:val="21"/>
                      <w:szCs w:val="21"/>
                      <w:u w:val="none" w:color="auto"/>
                    </w:rPr>
                  </w:pPr>
                  <w:r>
                    <w:rPr>
                      <w:b/>
                      <w:sz w:val="21"/>
                      <w:szCs w:val="21"/>
                      <w:u w:val="none" w:color="auto"/>
                    </w:rPr>
                    <w:t>废水量</w:t>
                  </w:r>
                </w:p>
                <w:p w14:paraId="2F650736">
                  <w:pPr>
                    <w:spacing w:line="240" w:lineRule="auto"/>
                    <w:ind w:firstLine="0" w:firstLineChars="0"/>
                    <w:contextualSpacing/>
                    <w:jc w:val="center"/>
                    <w:textAlignment w:val="baseline"/>
                    <w:rPr>
                      <w:b/>
                      <w:sz w:val="21"/>
                      <w:szCs w:val="21"/>
                      <w:u w:val="none" w:color="auto"/>
                    </w:rPr>
                  </w:pPr>
                  <w:r>
                    <w:rPr>
                      <w:b/>
                      <w:sz w:val="21"/>
                      <w:szCs w:val="21"/>
                      <w:u w:val="none" w:color="auto"/>
                    </w:rPr>
                    <w:t>(t/d)</w:t>
                  </w:r>
                </w:p>
              </w:tc>
              <w:tc>
                <w:tcPr>
                  <w:tcW w:w="5550" w:type="dxa"/>
                  <w:gridSpan w:val="8"/>
                  <w:tcBorders>
                    <w:top w:val="single" w:color="auto" w:sz="8" w:space="0"/>
                    <w:bottom w:val="single" w:color="auto" w:sz="4" w:space="0"/>
                  </w:tcBorders>
                  <w:vAlign w:val="center"/>
                </w:tcPr>
                <w:p w14:paraId="38016DB5">
                  <w:pPr>
                    <w:spacing w:line="240" w:lineRule="auto"/>
                    <w:ind w:firstLine="0" w:firstLineChars="0"/>
                    <w:contextualSpacing/>
                    <w:jc w:val="center"/>
                    <w:textAlignment w:val="baseline"/>
                    <w:rPr>
                      <w:b/>
                      <w:sz w:val="21"/>
                      <w:szCs w:val="21"/>
                      <w:u w:val="none" w:color="auto"/>
                    </w:rPr>
                  </w:pPr>
                  <w:r>
                    <w:rPr>
                      <w:b/>
                      <w:sz w:val="21"/>
                      <w:szCs w:val="21"/>
                      <w:u w:val="none" w:color="auto"/>
                    </w:rPr>
                    <w:t>污染物浓度（mg/L）</w:t>
                  </w:r>
                </w:p>
              </w:tc>
              <w:tc>
                <w:tcPr>
                  <w:tcW w:w="523" w:type="dxa"/>
                  <w:vMerge w:val="restart"/>
                  <w:tcBorders>
                    <w:top w:val="single" w:color="auto" w:sz="8" w:space="0"/>
                  </w:tcBorders>
                  <w:vAlign w:val="center"/>
                </w:tcPr>
                <w:p w14:paraId="0409B10A">
                  <w:pPr>
                    <w:spacing w:line="240" w:lineRule="auto"/>
                    <w:ind w:firstLine="0" w:firstLineChars="0"/>
                    <w:contextualSpacing/>
                    <w:jc w:val="center"/>
                    <w:textAlignment w:val="baseline"/>
                    <w:rPr>
                      <w:b/>
                      <w:sz w:val="21"/>
                      <w:szCs w:val="21"/>
                      <w:u w:val="none" w:color="auto"/>
                    </w:rPr>
                  </w:pPr>
                  <w:r>
                    <w:rPr>
                      <w:b/>
                      <w:sz w:val="21"/>
                      <w:szCs w:val="21"/>
                      <w:u w:val="none" w:color="auto"/>
                    </w:rPr>
                    <w:t>处理</w:t>
                  </w:r>
                </w:p>
                <w:p w14:paraId="1AA01D7A">
                  <w:pPr>
                    <w:spacing w:line="240" w:lineRule="auto"/>
                    <w:ind w:firstLine="0" w:firstLineChars="0"/>
                    <w:contextualSpacing/>
                    <w:jc w:val="center"/>
                    <w:textAlignment w:val="baseline"/>
                    <w:rPr>
                      <w:b/>
                      <w:sz w:val="21"/>
                      <w:szCs w:val="21"/>
                      <w:u w:val="none" w:color="auto"/>
                    </w:rPr>
                  </w:pPr>
                  <w:r>
                    <w:rPr>
                      <w:b/>
                      <w:sz w:val="21"/>
                      <w:szCs w:val="21"/>
                      <w:u w:val="none" w:color="auto"/>
                    </w:rPr>
                    <w:t>方式</w:t>
                  </w:r>
                </w:p>
              </w:tc>
            </w:tr>
            <w:tr w14:paraId="7AD07E4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129" w:type="dxa"/>
                  <w:vMerge w:val="continue"/>
                  <w:tcBorders>
                    <w:top w:val="single" w:color="auto" w:sz="4" w:space="0"/>
                    <w:bottom w:val="single" w:color="auto" w:sz="8" w:space="0"/>
                  </w:tcBorders>
                  <w:vAlign w:val="center"/>
                </w:tcPr>
                <w:p w14:paraId="0BB370A1">
                  <w:pPr>
                    <w:spacing w:line="240" w:lineRule="auto"/>
                    <w:ind w:firstLine="0" w:firstLineChars="0"/>
                    <w:contextualSpacing/>
                    <w:jc w:val="center"/>
                    <w:textAlignment w:val="baseline"/>
                    <w:rPr>
                      <w:b/>
                      <w:sz w:val="21"/>
                      <w:szCs w:val="21"/>
                      <w:u w:val="none" w:color="auto"/>
                    </w:rPr>
                  </w:pPr>
                </w:p>
              </w:tc>
              <w:tc>
                <w:tcPr>
                  <w:tcW w:w="695" w:type="dxa"/>
                  <w:vMerge w:val="continue"/>
                  <w:tcBorders>
                    <w:top w:val="single" w:color="auto" w:sz="4" w:space="0"/>
                    <w:bottom w:val="single" w:color="auto" w:sz="8" w:space="0"/>
                  </w:tcBorders>
                  <w:vAlign w:val="center"/>
                </w:tcPr>
                <w:p w14:paraId="0E42C446">
                  <w:pPr>
                    <w:spacing w:line="240" w:lineRule="auto"/>
                    <w:ind w:firstLine="0" w:firstLineChars="0"/>
                    <w:contextualSpacing/>
                    <w:jc w:val="center"/>
                    <w:textAlignment w:val="baseline"/>
                    <w:rPr>
                      <w:b/>
                      <w:sz w:val="21"/>
                      <w:szCs w:val="21"/>
                      <w:u w:val="none" w:color="auto"/>
                    </w:rPr>
                  </w:pPr>
                </w:p>
              </w:tc>
              <w:tc>
                <w:tcPr>
                  <w:tcW w:w="818" w:type="dxa"/>
                  <w:tcBorders>
                    <w:top w:val="single" w:color="auto" w:sz="4" w:space="0"/>
                    <w:bottom w:val="single" w:color="auto" w:sz="8" w:space="0"/>
                  </w:tcBorders>
                  <w:vAlign w:val="center"/>
                </w:tcPr>
                <w:p w14:paraId="51F9FB41">
                  <w:pPr>
                    <w:spacing w:line="240" w:lineRule="auto"/>
                    <w:ind w:firstLine="0" w:firstLineChars="0"/>
                    <w:contextualSpacing/>
                    <w:jc w:val="center"/>
                    <w:textAlignment w:val="baseline"/>
                    <w:rPr>
                      <w:b/>
                      <w:sz w:val="21"/>
                      <w:szCs w:val="21"/>
                      <w:u w:val="none" w:color="auto"/>
                    </w:rPr>
                  </w:pPr>
                  <w:r>
                    <w:rPr>
                      <w:b/>
                      <w:sz w:val="21"/>
                      <w:szCs w:val="21"/>
                      <w:u w:val="none" w:color="auto"/>
                    </w:rPr>
                    <w:t>COD</w:t>
                  </w:r>
                </w:p>
              </w:tc>
              <w:tc>
                <w:tcPr>
                  <w:tcW w:w="905" w:type="dxa"/>
                  <w:tcBorders>
                    <w:top w:val="single" w:color="auto" w:sz="4" w:space="0"/>
                    <w:bottom w:val="single" w:color="auto" w:sz="8" w:space="0"/>
                  </w:tcBorders>
                  <w:vAlign w:val="center"/>
                </w:tcPr>
                <w:p w14:paraId="36094DC9">
                  <w:pPr>
                    <w:spacing w:line="240" w:lineRule="auto"/>
                    <w:ind w:firstLine="0" w:firstLineChars="0"/>
                    <w:contextualSpacing/>
                    <w:jc w:val="center"/>
                    <w:textAlignment w:val="baseline"/>
                    <w:rPr>
                      <w:b/>
                      <w:sz w:val="21"/>
                      <w:szCs w:val="21"/>
                      <w:u w:val="none" w:color="auto"/>
                    </w:rPr>
                  </w:pPr>
                  <w:r>
                    <w:rPr>
                      <w:b/>
                      <w:sz w:val="21"/>
                      <w:szCs w:val="21"/>
                      <w:u w:val="none" w:color="auto"/>
                    </w:rPr>
                    <w:t>SS</w:t>
                  </w:r>
                </w:p>
              </w:tc>
              <w:tc>
                <w:tcPr>
                  <w:tcW w:w="682" w:type="dxa"/>
                  <w:tcBorders>
                    <w:top w:val="single" w:color="auto" w:sz="4" w:space="0"/>
                    <w:bottom w:val="single" w:color="auto" w:sz="8" w:space="0"/>
                  </w:tcBorders>
                  <w:vAlign w:val="center"/>
                </w:tcPr>
                <w:p w14:paraId="66B1882C">
                  <w:pPr>
                    <w:spacing w:line="240" w:lineRule="auto"/>
                    <w:ind w:firstLine="0" w:firstLineChars="0"/>
                    <w:contextualSpacing/>
                    <w:jc w:val="center"/>
                    <w:textAlignment w:val="baseline"/>
                    <w:rPr>
                      <w:b/>
                      <w:sz w:val="21"/>
                      <w:szCs w:val="21"/>
                      <w:u w:val="none" w:color="auto"/>
                    </w:rPr>
                  </w:pPr>
                  <w:r>
                    <w:rPr>
                      <w:b/>
                      <w:bCs w:val="0"/>
                      <w:color w:val="000000" w:themeColor="text1"/>
                      <w:sz w:val="21"/>
                      <w:szCs w:val="21"/>
                      <w:u w:val="none" w:color="auto"/>
                      <w14:textFill>
                        <w14:solidFill>
                          <w14:schemeClr w14:val="tx1"/>
                        </w14:solidFill>
                      </w14:textFill>
                    </w:rPr>
                    <w:t>氨氮</w:t>
                  </w:r>
                </w:p>
              </w:tc>
              <w:tc>
                <w:tcPr>
                  <w:tcW w:w="633" w:type="dxa"/>
                  <w:tcBorders>
                    <w:top w:val="single" w:color="auto" w:sz="4" w:space="0"/>
                    <w:bottom w:val="single" w:color="auto" w:sz="8" w:space="0"/>
                  </w:tcBorders>
                  <w:vAlign w:val="center"/>
                </w:tcPr>
                <w:p w14:paraId="7DAFEA75">
                  <w:pPr>
                    <w:spacing w:line="240" w:lineRule="auto"/>
                    <w:ind w:firstLine="0" w:firstLineChars="0"/>
                    <w:contextualSpacing/>
                    <w:jc w:val="center"/>
                    <w:textAlignment w:val="baseline"/>
                    <w:rPr>
                      <w:b/>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bCs w:val="0"/>
                      <w:color w:val="000000" w:themeColor="text1"/>
                      <w:kern w:val="0"/>
                      <w:sz w:val="21"/>
                      <w:szCs w:val="21"/>
                      <w:u w:val="none" w:color="auto"/>
                      <w:lang w:val="en-US" w:eastAsia="zh-CN" w:bidi="ar-SA"/>
                      <w14:textFill>
                        <w14:solidFill>
                          <w14:schemeClr w14:val="tx1"/>
                        </w14:solidFill>
                      </w14:textFill>
                    </w:rPr>
                    <w:t>TP</w:t>
                  </w:r>
                </w:p>
              </w:tc>
              <w:tc>
                <w:tcPr>
                  <w:tcW w:w="718" w:type="dxa"/>
                  <w:tcBorders>
                    <w:top w:val="single" w:color="auto" w:sz="4" w:space="0"/>
                    <w:bottom w:val="single" w:color="auto" w:sz="8" w:space="0"/>
                  </w:tcBorders>
                  <w:vAlign w:val="center"/>
                </w:tcPr>
                <w:p w14:paraId="58F5D39E">
                  <w:pPr>
                    <w:spacing w:line="240" w:lineRule="auto"/>
                    <w:ind w:firstLine="0" w:firstLineChars="0"/>
                    <w:contextualSpacing/>
                    <w:jc w:val="center"/>
                    <w:textAlignment w:val="baseline"/>
                    <w:rPr>
                      <w:b/>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bCs w:val="0"/>
                      <w:color w:val="000000" w:themeColor="text1"/>
                      <w:kern w:val="0"/>
                      <w:sz w:val="21"/>
                      <w:szCs w:val="21"/>
                      <w:u w:val="none" w:color="auto"/>
                      <w:lang w:val="en-US" w:eastAsia="zh-CN" w:bidi="ar-SA"/>
                      <w14:textFill>
                        <w14:solidFill>
                          <w14:schemeClr w14:val="tx1"/>
                        </w14:solidFill>
                      </w14:textFill>
                    </w:rPr>
                    <w:t>TN</w:t>
                  </w:r>
                </w:p>
              </w:tc>
              <w:tc>
                <w:tcPr>
                  <w:tcW w:w="744" w:type="dxa"/>
                  <w:tcBorders>
                    <w:top w:val="single" w:color="auto" w:sz="4" w:space="0"/>
                    <w:bottom w:val="single" w:color="auto" w:sz="8" w:space="0"/>
                  </w:tcBorders>
                  <w:vAlign w:val="center"/>
                </w:tcPr>
                <w:p w14:paraId="3B9DEA13">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b/>
                      <w:bCs w:val="0"/>
                      <w:color w:val="000000" w:themeColor="text1"/>
                      <w:sz w:val="21"/>
                      <w:szCs w:val="21"/>
                      <w:u w:val="none" w:color="auto"/>
                      <w14:textFill>
                        <w14:solidFill>
                          <w14:schemeClr w14:val="tx1"/>
                        </w14:solidFill>
                      </w14:textFill>
                    </w:rPr>
                  </w:pPr>
                  <w:r>
                    <w:rPr>
                      <w:rFonts w:hint="eastAsia" w:ascii="Times New Roman" w:cs="Times New Roman"/>
                      <w:b/>
                      <w:bCs/>
                      <w:color w:val="000000" w:themeColor="text1"/>
                      <w:sz w:val="21"/>
                      <w:szCs w:val="21"/>
                      <w:u w:val="none" w:color="auto"/>
                      <w:lang w:val="en-US" w:eastAsia="zh-CN"/>
                      <w14:textFill>
                        <w14:solidFill>
                          <w14:schemeClr w14:val="tx1"/>
                        </w14:solidFill>
                      </w14:textFill>
                    </w:rPr>
                    <w:t>总锰</w:t>
                  </w:r>
                </w:p>
              </w:tc>
              <w:tc>
                <w:tcPr>
                  <w:tcW w:w="523" w:type="dxa"/>
                  <w:vAlign w:val="center"/>
                </w:tcPr>
                <w:p w14:paraId="0F02F0AD">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cs="Times New Roman"/>
                      <w:b/>
                      <w:bCs/>
                      <w:color w:val="000000" w:themeColor="text1"/>
                      <w:sz w:val="21"/>
                      <w:szCs w:val="21"/>
                      <w:u w:val="none" w:color="auto"/>
                      <w:lang w:val="en-US" w:eastAsia="zh-CN"/>
                      <w14:textFill>
                        <w14:solidFill>
                          <w14:schemeClr w14:val="tx1"/>
                        </w14:solidFill>
                      </w14:textFill>
                    </w:rPr>
                  </w:pPr>
                  <w:r>
                    <w:rPr>
                      <w:rFonts w:hint="eastAsia" w:ascii="Times New Roman" w:cs="Times New Roman"/>
                      <w:b/>
                      <w:bCs/>
                      <w:color w:val="000000" w:themeColor="text1"/>
                      <w:sz w:val="21"/>
                      <w:szCs w:val="21"/>
                      <w:u w:val="none" w:color="auto"/>
                      <w:lang w:val="en-US" w:eastAsia="zh-CN"/>
                      <w14:textFill>
                        <w14:solidFill>
                          <w14:schemeClr w14:val="tx1"/>
                        </w14:solidFill>
                      </w14:textFill>
                    </w:rPr>
                    <w:t>总镍</w:t>
                  </w:r>
                </w:p>
              </w:tc>
              <w:tc>
                <w:tcPr>
                  <w:tcW w:w="527" w:type="dxa"/>
                  <w:vAlign w:val="center"/>
                </w:tcPr>
                <w:p w14:paraId="5017B947">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cs="Times New Roman"/>
                      <w:b/>
                      <w:bCs/>
                      <w:color w:val="000000" w:themeColor="text1"/>
                      <w:sz w:val="21"/>
                      <w:szCs w:val="21"/>
                      <w:u w:val="none" w:color="auto"/>
                      <w:lang w:val="en-US" w:eastAsia="zh-CN"/>
                      <w14:textFill>
                        <w14:solidFill>
                          <w14:schemeClr w14:val="tx1"/>
                        </w14:solidFill>
                      </w14:textFill>
                    </w:rPr>
                  </w:pPr>
                  <w:r>
                    <w:rPr>
                      <w:rFonts w:hint="eastAsia" w:ascii="Times New Roman" w:cs="Times New Roman"/>
                      <w:b/>
                      <w:bCs/>
                      <w:color w:val="000000" w:themeColor="text1"/>
                      <w:sz w:val="21"/>
                      <w:szCs w:val="21"/>
                      <w:u w:val="none" w:color="auto"/>
                      <w:lang w:val="en-US" w:eastAsia="zh-CN"/>
                      <w14:textFill>
                        <w14:solidFill>
                          <w14:schemeClr w14:val="tx1"/>
                        </w14:solidFill>
                      </w14:textFill>
                    </w:rPr>
                    <w:t>总钴</w:t>
                  </w:r>
                </w:p>
              </w:tc>
              <w:tc>
                <w:tcPr>
                  <w:tcW w:w="523" w:type="dxa"/>
                  <w:vMerge w:val="continue"/>
                  <w:vAlign w:val="center"/>
                </w:tcPr>
                <w:p w14:paraId="77F3332E">
                  <w:pPr>
                    <w:spacing w:line="240" w:lineRule="auto"/>
                    <w:ind w:firstLine="0" w:firstLineChars="0"/>
                    <w:contextualSpacing/>
                    <w:jc w:val="center"/>
                    <w:textAlignment w:val="baseline"/>
                    <w:rPr>
                      <w:b/>
                      <w:sz w:val="21"/>
                      <w:szCs w:val="21"/>
                      <w:u w:val="none" w:color="auto"/>
                    </w:rPr>
                  </w:pPr>
                </w:p>
              </w:tc>
            </w:tr>
            <w:tr w14:paraId="663074F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129" w:type="dxa"/>
                  <w:tcBorders>
                    <w:top w:val="single" w:color="auto" w:sz="4" w:space="0"/>
                    <w:bottom w:val="single" w:color="auto" w:sz="4" w:space="0"/>
                  </w:tcBorders>
                  <w:vAlign w:val="center"/>
                </w:tcPr>
                <w:p w14:paraId="096E2D72">
                  <w:pPr>
                    <w:spacing w:line="240" w:lineRule="auto"/>
                    <w:ind w:firstLine="0" w:firstLineChars="0"/>
                    <w:contextualSpacing/>
                    <w:jc w:val="center"/>
                    <w:textAlignment w:val="baseline"/>
                    <w:rPr>
                      <w:rFonts w:hint="default" w:eastAsia="宋体"/>
                      <w:bCs/>
                      <w:sz w:val="21"/>
                      <w:szCs w:val="21"/>
                      <w:u w:val="none" w:color="auto"/>
                      <w:lang w:val="en-US" w:eastAsia="zh-CN"/>
                    </w:rPr>
                  </w:pPr>
                  <w:r>
                    <w:rPr>
                      <w:rFonts w:hint="eastAsia"/>
                      <w:bCs/>
                      <w:sz w:val="21"/>
                      <w:szCs w:val="21"/>
                      <w:u w:val="none" w:color="auto"/>
                      <w:lang w:val="en-US" w:eastAsia="zh-CN"/>
                    </w:rPr>
                    <w:t>设备、地面清洗废水</w:t>
                  </w:r>
                </w:p>
              </w:tc>
              <w:tc>
                <w:tcPr>
                  <w:tcW w:w="695" w:type="dxa"/>
                  <w:tcBorders>
                    <w:top w:val="single" w:color="auto" w:sz="4" w:space="0"/>
                    <w:bottom w:val="single" w:color="auto" w:sz="4" w:space="0"/>
                  </w:tcBorders>
                  <w:vAlign w:val="center"/>
                </w:tcPr>
                <w:p w14:paraId="3035E184">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1.34</w:t>
                  </w:r>
                </w:p>
              </w:tc>
              <w:tc>
                <w:tcPr>
                  <w:tcW w:w="818" w:type="dxa"/>
                  <w:tcBorders>
                    <w:top w:val="single" w:color="auto" w:sz="4" w:space="0"/>
                    <w:bottom w:val="single" w:color="auto" w:sz="4" w:space="0"/>
                  </w:tcBorders>
                  <w:vAlign w:val="center"/>
                </w:tcPr>
                <w:p w14:paraId="4E735951">
                  <w:pPr>
                    <w:spacing w:line="240" w:lineRule="auto"/>
                    <w:ind w:firstLine="0" w:firstLineChars="0"/>
                    <w:contextualSpacing/>
                    <w:jc w:val="center"/>
                    <w:textAlignment w:val="baseline"/>
                    <w:rPr>
                      <w:rFonts w:hint="eastAsia"/>
                      <w:sz w:val="21"/>
                      <w:szCs w:val="21"/>
                      <w:u w:val="none" w:color="auto"/>
                      <w:lang w:val="en-US" w:eastAsia="zh-CN"/>
                    </w:rPr>
                  </w:pPr>
                  <w:r>
                    <w:rPr>
                      <w:rFonts w:hint="eastAsia"/>
                      <w:sz w:val="21"/>
                      <w:szCs w:val="21"/>
                      <w:u w:val="none" w:color="auto"/>
                      <w:lang w:val="en-US" w:eastAsia="zh-CN"/>
                    </w:rPr>
                    <w:t>1460</w:t>
                  </w:r>
                </w:p>
              </w:tc>
              <w:tc>
                <w:tcPr>
                  <w:tcW w:w="905" w:type="dxa"/>
                  <w:tcBorders>
                    <w:top w:val="single" w:color="auto" w:sz="4" w:space="0"/>
                    <w:bottom w:val="single" w:color="auto" w:sz="4" w:space="0"/>
                  </w:tcBorders>
                  <w:vAlign w:val="center"/>
                </w:tcPr>
                <w:p w14:paraId="3BA9629C">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83</w:t>
                  </w:r>
                </w:p>
              </w:tc>
              <w:tc>
                <w:tcPr>
                  <w:tcW w:w="682" w:type="dxa"/>
                  <w:tcBorders>
                    <w:top w:val="single" w:color="auto" w:sz="4" w:space="0"/>
                    <w:bottom w:val="single" w:color="auto" w:sz="4" w:space="0"/>
                  </w:tcBorders>
                  <w:vAlign w:val="center"/>
                </w:tcPr>
                <w:p w14:paraId="6962F1C0">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w:t>
                  </w:r>
                </w:p>
              </w:tc>
              <w:tc>
                <w:tcPr>
                  <w:tcW w:w="633" w:type="dxa"/>
                  <w:tcBorders>
                    <w:top w:val="single" w:color="auto" w:sz="4" w:space="0"/>
                    <w:bottom w:val="single" w:color="auto" w:sz="4" w:space="0"/>
                  </w:tcBorders>
                  <w:vAlign w:val="center"/>
                </w:tcPr>
                <w:p w14:paraId="7BFE875A">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w:t>
                  </w:r>
                </w:p>
              </w:tc>
              <w:tc>
                <w:tcPr>
                  <w:tcW w:w="718" w:type="dxa"/>
                  <w:tcBorders>
                    <w:top w:val="single" w:color="auto" w:sz="4" w:space="0"/>
                    <w:bottom w:val="single" w:color="auto" w:sz="4" w:space="0"/>
                  </w:tcBorders>
                  <w:vAlign w:val="center"/>
                </w:tcPr>
                <w:p w14:paraId="08D96752">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w:t>
                  </w:r>
                </w:p>
              </w:tc>
              <w:tc>
                <w:tcPr>
                  <w:tcW w:w="744" w:type="dxa"/>
                  <w:tcBorders>
                    <w:top w:val="single" w:color="auto" w:sz="4" w:space="0"/>
                  </w:tcBorders>
                  <w:vAlign w:val="center"/>
                </w:tcPr>
                <w:p w14:paraId="2EC20F43">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0.079</w:t>
                  </w:r>
                </w:p>
              </w:tc>
              <w:tc>
                <w:tcPr>
                  <w:tcW w:w="523" w:type="dxa"/>
                  <w:tcBorders>
                    <w:top w:val="single" w:color="auto" w:sz="4" w:space="0"/>
                  </w:tcBorders>
                  <w:vAlign w:val="center"/>
                </w:tcPr>
                <w:p w14:paraId="2A6DF828">
                  <w:pPr>
                    <w:spacing w:line="240" w:lineRule="auto"/>
                    <w:ind w:firstLine="0" w:firstLineChars="0"/>
                    <w:contextualSpacing/>
                    <w:jc w:val="center"/>
                    <w:textAlignment w:val="baseline"/>
                    <w:rPr>
                      <w:rFonts w:hint="eastAsia"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0.05</w:t>
                  </w:r>
                </w:p>
              </w:tc>
              <w:tc>
                <w:tcPr>
                  <w:tcW w:w="527" w:type="dxa"/>
                  <w:tcBorders>
                    <w:top w:val="single" w:color="auto" w:sz="4" w:space="0"/>
                  </w:tcBorders>
                  <w:vAlign w:val="center"/>
                </w:tcPr>
                <w:p w14:paraId="42AA6C3D">
                  <w:pPr>
                    <w:spacing w:line="240" w:lineRule="auto"/>
                    <w:ind w:firstLine="0" w:firstLineChars="0"/>
                    <w:contextualSpacing/>
                    <w:jc w:val="center"/>
                    <w:textAlignment w:val="baseline"/>
                    <w:rPr>
                      <w:rFonts w:hint="eastAsia"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0.039</w:t>
                  </w:r>
                </w:p>
              </w:tc>
              <w:tc>
                <w:tcPr>
                  <w:tcW w:w="523" w:type="dxa"/>
                  <w:vMerge w:val="restart"/>
                  <w:tcBorders>
                    <w:top w:val="single" w:color="auto" w:sz="4" w:space="0"/>
                  </w:tcBorders>
                  <w:vAlign w:val="center"/>
                </w:tcPr>
                <w:p w14:paraId="255F874D">
                  <w:pPr>
                    <w:spacing w:line="240" w:lineRule="auto"/>
                    <w:ind w:firstLine="0" w:firstLineChars="0"/>
                    <w:contextualSpacing/>
                    <w:jc w:val="center"/>
                    <w:textAlignment w:val="baseline"/>
                    <w:rPr>
                      <w:rFonts w:hint="eastAsia"/>
                      <w:bCs/>
                      <w:sz w:val="21"/>
                      <w:szCs w:val="21"/>
                      <w:u w:val="none" w:color="auto"/>
                    </w:rPr>
                  </w:pPr>
                  <w:r>
                    <w:rPr>
                      <w:rFonts w:hint="eastAsia"/>
                      <w:bCs/>
                      <w:sz w:val="21"/>
                      <w:szCs w:val="21"/>
                      <w:u w:val="none" w:color="auto"/>
                    </w:rPr>
                    <w:t>混凝沉淀+水解酸化+AO 工艺</w:t>
                  </w:r>
                </w:p>
              </w:tc>
            </w:tr>
            <w:tr w14:paraId="1F87385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129" w:type="dxa"/>
                  <w:tcBorders>
                    <w:top w:val="single" w:color="auto" w:sz="4" w:space="0"/>
                  </w:tcBorders>
                  <w:vAlign w:val="center"/>
                </w:tcPr>
                <w:p w14:paraId="7DD98D1E">
                  <w:pPr>
                    <w:spacing w:line="240" w:lineRule="auto"/>
                    <w:ind w:firstLine="0" w:firstLineChars="0"/>
                    <w:contextualSpacing/>
                    <w:jc w:val="center"/>
                    <w:textAlignment w:val="baseline"/>
                    <w:rPr>
                      <w:rFonts w:hint="default" w:eastAsia="宋体"/>
                      <w:bCs/>
                      <w:sz w:val="21"/>
                      <w:szCs w:val="21"/>
                      <w:u w:val="none" w:color="auto"/>
                      <w:lang w:val="en-US" w:eastAsia="zh-CN"/>
                    </w:rPr>
                  </w:pPr>
                  <w:r>
                    <w:rPr>
                      <w:rFonts w:hint="eastAsia"/>
                      <w:bCs/>
                      <w:sz w:val="21"/>
                      <w:szCs w:val="21"/>
                      <w:u w:val="none" w:color="auto"/>
                      <w:lang w:val="en-US" w:eastAsia="zh-CN"/>
                    </w:rPr>
                    <w:t>纯水制备浓水、反冲洗废水</w:t>
                  </w:r>
                </w:p>
              </w:tc>
              <w:tc>
                <w:tcPr>
                  <w:tcW w:w="695" w:type="dxa"/>
                  <w:tcBorders>
                    <w:top w:val="single" w:color="auto" w:sz="4" w:space="0"/>
                  </w:tcBorders>
                  <w:vAlign w:val="center"/>
                </w:tcPr>
                <w:p w14:paraId="7417DFEC">
                  <w:pPr>
                    <w:spacing w:line="240" w:lineRule="auto"/>
                    <w:ind w:firstLine="0" w:firstLineChars="0"/>
                    <w:contextualSpacing/>
                    <w:jc w:val="center"/>
                    <w:textAlignment w:val="baseline"/>
                    <w:rPr>
                      <w:rFonts w:hint="default" w:eastAsia="宋体"/>
                      <w:sz w:val="21"/>
                      <w:szCs w:val="21"/>
                      <w:u w:val="none" w:color="auto"/>
                      <w:lang w:val="en-US" w:eastAsia="zh-CN"/>
                    </w:rPr>
                  </w:pPr>
                  <w:r>
                    <w:rPr>
                      <w:rFonts w:hint="eastAsia"/>
                      <w:sz w:val="21"/>
                      <w:szCs w:val="21"/>
                      <w:u w:val="none" w:color="auto"/>
                      <w:lang w:val="en-US" w:eastAsia="zh-CN"/>
                    </w:rPr>
                    <w:t>52.04</w:t>
                  </w:r>
                </w:p>
              </w:tc>
              <w:tc>
                <w:tcPr>
                  <w:tcW w:w="818" w:type="dxa"/>
                  <w:tcBorders>
                    <w:top w:val="single" w:color="auto" w:sz="4" w:space="0"/>
                  </w:tcBorders>
                  <w:vAlign w:val="center"/>
                </w:tcPr>
                <w:p w14:paraId="61997EC6">
                  <w:pPr>
                    <w:spacing w:line="240" w:lineRule="auto"/>
                    <w:ind w:firstLine="0" w:firstLineChars="0"/>
                    <w:contextualSpacing/>
                    <w:jc w:val="center"/>
                    <w:textAlignment w:val="baseline"/>
                    <w:rPr>
                      <w:rFonts w:hint="default" w:eastAsia="宋体"/>
                      <w:sz w:val="21"/>
                      <w:szCs w:val="21"/>
                      <w:u w:val="none" w:color="auto"/>
                      <w:lang w:val="en-US" w:eastAsia="zh-CN"/>
                    </w:rPr>
                  </w:pPr>
                  <w:r>
                    <w:rPr>
                      <w:rFonts w:hint="eastAsia"/>
                      <w:sz w:val="21"/>
                      <w:szCs w:val="21"/>
                      <w:u w:val="none" w:color="auto"/>
                      <w:lang w:val="en-US" w:eastAsia="zh-CN"/>
                    </w:rPr>
                    <w:t>41</w:t>
                  </w:r>
                </w:p>
              </w:tc>
              <w:tc>
                <w:tcPr>
                  <w:tcW w:w="905" w:type="dxa"/>
                  <w:tcBorders>
                    <w:top w:val="single" w:color="auto" w:sz="4" w:space="0"/>
                  </w:tcBorders>
                  <w:vAlign w:val="center"/>
                </w:tcPr>
                <w:p w14:paraId="17E131D7">
                  <w:pPr>
                    <w:spacing w:line="240" w:lineRule="auto"/>
                    <w:ind w:firstLine="0" w:firstLineChars="0"/>
                    <w:contextualSpacing/>
                    <w:jc w:val="center"/>
                    <w:textAlignment w:val="baseline"/>
                    <w:rPr>
                      <w:rFonts w:hint="default" w:eastAsia="宋体"/>
                      <w:sz w:val="21"/>
                      <w:szCs w:val="21"/>
                      <w:u w:val="none" w:color="auto"/>
                      <w:lang w:val="en-US" w:eastAsia="zh-CN"/>
                    </w:rPr>
                  </w:pPr>
                  <w:r>
                    <w:rPr>
                      <w:rFonts w:hint="eastAsia"/>
                      <w:sz w:val="21"/>
                      <w:szCs w:val="21"/>
                      <w:u w:val="none" w:color="auto"/>
                      <w:lang w:val="en-US" w:eastAsia="zh-CN"/>
                    </w:rPr>
                    <w:t>160</w:t>
                  </w:r>
                </w:p>
              </w:tc>
              <w:tc>
                <w:tcPr>
                  <w:tcW w:w="682" w:type="dxa"/>
                  <w:tcBorders>
                    <w:top w:val="single" w:color="auto" w:sz="4" w:space="0"/>
                  </w:tcBorders>
                  <w:vAlign w:val="center"/>
                </w:tcPr>
                <w:p w14:paraId="5C5E6676">
                  <w:pPr>
                    <w:spacing w:line="240" w:lineRule="auto"/>
                    <w:ind w:firstLine="0" w:firstLineChars="0"/>
                    <w:contextualSpacing/>
                    <w:jc w:val="center"/>
                    <w:textAlignment w:val="baseline"/>
                    <w:rPr>
                      <w:rFonts w:hint="eastAsia" w:eastAsia="宋体"/>
                      <w:sz w:val="21"/>
                      <w:szCs w:val="21"/>
                      <w:u w:val="none" w:color="auto"/>
                      <w:lang w:val="en-US" w:eastAsia="zh-CN"/>
                    </w:rPr>
                  </w:pPr>
                  <w:r>
                    <w:rPr>
                      <w:rFonts w:hint="eastAsia"/>
                      <w:sz w:val="21"/>
                      <w:szCs w:val="21"/>
                      <w:u w:val="none" w:color="auto"/>
                      <w:lang w:val="en-US" w:eastAsia="zh-CN"/>
                    </w:rPr>
                    <w:t>/</w:t>
                  </w:r>
                </w:p>
              </w:tc>
              <w:tc>
                <w:tcPr>
                  <w:tcW w:w="633" w:type="dxa"/>
                  <w:tcBorders>
                    <w:top w:val="single" w:color="auto" w:sz="4" w:space="0"/>
                  </w:tcBorders>
                  <w:vAlign w:val="center"/>
                </w:tcPr>
                <w:p w14:paraId="5D24739C">
                  <w:pPr>
                    <w:spacing w:line="240" w:lineRule="auto"/>
                    <w:ind w:firstLine="0" w:firstLineChars="0"/>
                    <w:contextualSpacing/>
                    <w:jc w:val="center"/>
                    <w:textAlignment w:val="baseline"/>
                    <w:rPr>
                      <w:rFonts w:hint="eastAsia" w:eastAsia="宋体"/>
                      <w:sz w:val="21"/>
                      <w:szCs w:val="21"/>
                      <w:u w:val="none" w:color="auto"/>
                      <w:lang w:val="en-US" w:eastAsia="zh-CN"/>
                    </w:rPr>
                  </w:pPr>
                  <w:r>
                    <w:rPr>
                      <w:rFonts w:hint="eastAsia"/>
                      <w:sz w:val="21"/>
                      <w:szCs w:val="21"/>
                      <w:u w:val="none" w:color="auto"/>
                      <w:lang w:val="en-US" w:eastAsia="zh-CN"/>
                    </w:rPr>
                    <w:t>/</w:t>
                  </w:r>
                </w:p>
              </w:tc>
              <w:tc>
                <w:tcPr>
                  <w:tcW w:w="718" w:type="dxa"/>
                  <w:tcBorders>
                    <w:top w:val="single" w:color="auto" w:sz="4" w:space="0"/>
                  </w:tcBorders>
                  <w:vAlign w:val="center"/>
                </w:tcPr>
                <w:p w14:paraId="54A7D50F">
                  <w:pPr>
                    <w:spacing w:line="240" w:lineRule="auto"/>
                    <w:ind w:firstLine="0" w:firstLineChars="0"/>
                    <w:contextualSpacing/>
                    <w:jc w:val="center"/>
                    <w:textAlignment w:val="baseline"/>
                    <w:rPr>
                      <w:rFonts w:hint="default" w:eastAsia="宋体"/>
                      <w:sz w:val="21"/>
                      <w:szCs w:val="21"/>
                      <w:u w:val="none" w:color="auto"/>
                      <w:lang w:val="en-US" w:eastAsia="zh-CN"/>
                    </w:rPr>
                  </w:pPr>
                  <w:r>
                    <w:rPr>
                      <w:rFonts w:hint="eastAsia"/>
                      <w:sz w:val="21"/>
                      <w:szCs w:val="21"/>
                      <w:u w:val="none" w:color="auto"/>
                      <w:lang w:val="en-US" w:eastAsia="zh-CN"/>
                    </w:rPr>
                    <w:t>2.93</w:t>
                  </w:r>
                </w:p>
              </w:tc>
              <w:tc>
                <w:tcPr>
                  <w:tcW w:w="744" w:type="dxa"/>
                  <w:vAlign w:val="center"/>
                </w:tcPr>
                <w:p w14:paraId="08AAC2DE">
                  <w:pPr>
                    <w:spacing w:line="240" w:lineRule="auto"/>
                    <w:ind w:firstLine="0" w:firstLineChars="0"/>
                    <w:contextualSpacing/>
                    <w:jc w:val="center"/>
                    <w:textAlignment w:val="baseline"/>
                    <w:rPr>
                      <w:rFonts w:hint="default" w:eastAsia="宋体"/>
                      <w:sz w:val="21"/>
                      <w:szCs w:val="21"/>
                      <w:u w:val="none" w:color="auto"/>
                      <w:lang w:val="en-US" w:eastAsia="zh-CN"/>
                    </w:rPr>
                  </w:pPr>
                  <w:r>
                    <w:rPr>
                      <w:rFonts w:hint="eastAsia"/>
                      <w:sz w:val="21"/>
                      <w:szCs w:val="21"/>
                      <w:u w:val="none" w:color="auto"/>
                      <w:lang w:val="en-US" w:eastAsia="zh-CN"/>
                    </w:rPr>
                    <w:t>/</w:t>
                  </w:r>
                </w:p>
              </w:tc>
              <w:tc>
                <w:tcPr>
                  <w:tcW w:w="523" w:type="dxa"/>
                  <w:vAlign w:val="center"/>
                </w:tcPr>
                <w:p w14:paraId="67183BC0">
                  <w:pPr>
                    <w:spacing w:line="240" w:lineRule="auto"/>
                    <w:ind w:firstLine="0" w:firstLineChars="0"/>
                    <w:contextualSpacing/>
                    <w:jc w:val="center"/>
                    <w:textAlignment w:val="baseline"/>
                    <w:rPr>
                      <w:rFonts w:hint="eastAsia"/>
                      <w:sz w:val="21"/>
                      <w:szCs w:val="21"/>
                      <w:u w:val="none" w:color="auto"/>
                      <w:lang w:val="en-US" w:eastAsia="zh-CN"/>
                    </w:rPr>
                  </w:pPr>
                  <w:r>
                    <w:rPr>
                      <w:rFonts w:hint="eastAsia"/>
                      <w:sz w:val="21"/>
                      <w:szCs w:val="21"/>
                      <w:u w:val="none" w:color="auto"/>
                      <w:lang w:val="en-US" w:eastAsia="zh-CN"/>
                    </w:rPr>
                    <w:t>/</w:t>
                  </w:r>
                </w:p>
              </w:tc>
              <w:tc>
                <w:tcPr>
                  <w:tcW w:w="527" w:type="dxa"/>
                  <w:vAlign w:val="center"/>
                </w:tcPr>
                <w:p w14:paraId="7B92AE45">
                  <w:pPr>
                    <w:spacing w:line="240" w:lineRule="auto"/>
                    <w:ind w:firstLine="0" w:firstLineChars="0"/>
                    <w:contextualSpacing/>
                    <w:jc w:val="center"/>
                    <w:textAlignment w:val="baseline"/>
                    <w:rPr>
                      <w:rFonts w:hint="eastAsia"/>
                      <w:sz w:val="21"/>
                      <w:szCs w:val="21"/>
                      <w:u w:val="none" w:color="auto"/>
                      <w:lang w:val="en-US" w:eastAsia="zh-CN"/>
                    </w:rPr>
                  </w:pPr>
                  <w:r>
                    <w:rPr>
                      <w:rFonts w:hint="eastAsia"/>
                      <w:sz w:val="21"/>
                      <w:szCs w:val="21"/>
                      <w:u w:val="none" w:color="auto"/>
                      <w:lang w:val="en-US" w:eastAsia="zh-CN"/>
                    </w:rPr>
                    <w:t>/</w:t>
                  </w:r>
                </w:p>
              </w:tc>
              <w:tc>
                <w:tcPr>
                  <w:tcW w:w="523" w:type="dxa"/>
                  <w:vMerge w:val="continue"/>
                  <w:vAlign w:val="center"/>
                </w:tcPr>
                <w:p w14:paraId="21F72A4F">
                  <w:pPr>
                    <w:spacing w:line="240" w:lineRule="auto"/>
                    <w:ind w:firstLine="0" w:firstLineChars="0"/>
                    <w:contextualSpacing/>
                    <w:jc w:val="center"/>
                    <w:textAlignment w:val="baseline"/>
                    <w:rPr>
                      <w:rFonts w:hint="eastAsia"/>
                      <w:bCs/>
                      <w:sz w:val="21"/>
                      <w:szCs w:val="21"/>
                      <w:u w:val="none" w:color="auto"/>
                    </w:rPr>
                  </w:pPr>
                </w:p>
              </w:tc>
            </w:tr>
            <w:tr w14:paraId="2D0BA27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129" w:type="dxa"/>
                  <w:tcBorders>
                    <w:top w:val="single" w:color="auto" w:sz="4" w:space="0"/>
                  </w:tcBorders>
                  <w:vAlign w:val="center"/>
                </w:tcPr>
                <w:p w14:paraId="7979339D">
                  <w:pPr>
                    <w:spacing w:line="240" w:lineRule="auto"/>
                    <w:ind w:firstLine="0" w:firstLineChars="0"/>
                    <w:contextualSpacing/>
                    <w:jc w:val="center"/>
                    <w:textAlignment w:val="baseline"/>
                    <w:rPr>
                      <w:rFonts w:hint="eastAsia"/>
                      <w:bCs/>
                      <w:sz w:val="21"/>
                      <w:szCs w:val="21"/>
                      <w:u w:val="none" w:color="auto"/>
                      <w:lang w:val="en-US" w:eastAsia="zh-CN"/>
                    </w:rPr>
                  </w:pPr>
                  <w:r>
                    <w:rPr>
                      <w:rFonts w:hint="eastAsia"/>
                      <w:bCs/>
                      <w:sz w:val="21"/>
                      <w:szCs w:val="21"/>
                      <w:u w:val="none" w:color="auto"/>
                      <w:lang w:val="en-US" w:eastAsia="zh-CN"/>
                    </w:rPr>
                    <w:t>电池清洗废水</w:t>
                  </w:r>
                </w:p>
              </w:tc>
              <w:tc>
                <w:tcPr>
                  <w:tcW w:w="695" w:type="dxa"/>
                  <w:tcBorders>
                    <w:top w:val="single" w:color="auto" w:sz="4" w:space="0"/>
                  </w:tcBorders>
                  <w:vAlign w:val="center"/>
                </w:tcPr>
                <w:p w14:paraId="25070517">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33.49</w:t>
                  </w:r>
                </w:p>
              </w:tc>
              <w:tc>
                <w:tcPr>
                  <w:tcW w:w="818" w:type="dxa"/>
                  <w:tcBorders>
                    <w:top w:val="single" w:color="auto" w:sz="4" w:space="0"/>
                  </w:tcBorders>
                  <w:vAlign w:val="center"/>
                </w:tcPr>
                <w:p w14:paraId="77DBD479">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300</w:t>
                  </w:r>
                </w:p>
              </w:tc>
              <w:tc>
                <w:tcPr>
                  <w:tcW w:w="905" w:type="dxa"/>
                  <w:tcBorders>
                    <w:top w:val="single" w:color="auto" w:sz="4" w:space="0"/>
                  </w:tcBorders>
                  <w:vAlign w:val="center"/>
                </w:tcPr>
                <w:p w14:paraId="5C1EFD88">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200</w:t>
                  </w:r>
                </w:p>
              </w:tc>
              <w:tc>
                <w:tcPr>
                  <w:tcW w:w="682" w:type="dxa"/>
                  <w:tcBorders>
                    <w:top w:val="single" w:color="auto" w:sz="4" w:space="0"/>
                  </w:tcBorders>
                  <w:vAlign w:val="center"/>
                </w:tcPr>
                <w:p w14:paraId="7326039D">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5</w:t>
                  </w:r>
                </w:p>
              </w:tc>
              <w:tc>
                <w:tcPr>
                  <w:tcW w:w="633" w:type="dxa"/>
                  <w:tcBorders>
                    <w:top w:val="single" w:color="auto" w:sz="4" w:space="0"/>
                  </w:tcBorders>
                  <w:vAlign w:val="center"/>
                </w:tcPr>
                <w:p w14:paraId="52805075">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3</w:t>
                  </w:r>
                </w:p>
              </w:tc>
              <w:tc>
                <w:tcPr>
                  <w:tcW w:w="718" w:type="dxa"/>
                  <w:tcBorders>
                    <w:top w:val="single" w:color="auto" w:sz="4" w:space="0"/>
                  </w:tcBorders>
                  <w:vAlign w:val="center"/>
                </w:tcPr>
                <w:p w14:paraId="4B7B87D6">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10</w:t>
                  </w:r>
                </w:p>
              </w:tc>
              <w:tc>
                <w:tcPr>
                  <w:tcW w:w="744" w:type="dxa"/>
                  <w:vAlign w:val="center"/>
                </w:tcPr>
                <w:p w14:paraId="7E545159">
                  <w:pPr>
                    <w:spacing w:line="240" w:lineRule="auto"/>
                    <w:ind w:firstLine="0" w:firstLineChars="0"/>
                    <w:contextualSpacing/>
                    <w:jc w:val="center"/>
                    <w:textAlignment w:val="baseline"/>
                    <w:rPr>
                      <w:rFonts w:hint="default"/>
                      <w:sz w:val="21"/>
                      <w:szCs w:val="21"/>
                      <w:u w:val="none" w:color="auto"/>
                      <w:lang w:val="en-US" w:eastAsia="zh-CN"/>
                    </w:rPr>
                  </w:pPr>
                  <w:r>
                    <w:rPr>
                      <w:rFonts w:hint="eastAsia"/>
                      <w:sz w:val="21"/>
                      <w:szCs w:val="21"/>
                      <w:u w:val="none" w:color="auto"/>
                      <w:lang w:val="en-US" w:eastAsia="zh-CN"/>
                    </w:rPr>
                    <w:t>/</w:t>
                  </w:r>
                </w:p>
              </w:tc>
              <w:tc>
                <w:tcPr>
                  <w:tcW w:w="523" w:type="dxa"/>
                  <w:vAlign w:val="center"/>
                </w:tcPr>
                <w:p w14:paraId="5EBE9FC0">
                  <w:pPr>
                    <w:spacing w:line="240" w:lineRule="auto"/>
                    <w:ind w:firstLine="0" w:firstLineChars="0"/>
                    <w:contextualSpacing/>
                    <w:jc w:val="center"/>
                    <w:textAlignment w:val="baseline"/>
                    <w:rPr>
                      <w:rFonts w:hint="eastAsia"/>
                      <w:sz w:val="21"/>
                      <w:szCs w:val="21"/>
                      <w:u w:val="none" w:color="auto"/>
                      <w:lang w:val="en-US" w:eastAsia="zh-CN"/>
                    </w:rPr>
                  </w:pPr>
                  <w:r>
                    <w:rPr>
                      <w:rFonts w:hint="eastAsia"/>
                      <w:sz w:val="21"/>
                      <w:szCs w:val="21"/>
                      <w:u w:val="none" w:color="auto"/>
                      <w:lang w:val="en-US" w:eastAsia="zh-CN"/>
                    </w:rPr>
                    <w:t>/</w:t>
                  </w:r>
                </w:p>
              </w:tc>
              <w:tc>
                <w:tcPr>
                  <w:tcW w:w="527" w:type="dxa"/>
                  <w:vAlign w:val="center"/>
                </w:tcPr>
                <w:p w14:paraId="4825F166">
                  <w:pPr>
                    <w:spacing w:line="240" w:lineRule="auto"/>
                    <w:ind w:firstLine="0" w:firstLineChars="0"/>
                    <w:contextualSpacing/>
                    <w:jc w:val="center"/>
                    <w:textAlignment w:val="baseline"/>
                    <w:rPr>
                      <w:rFonts w:hint="eastAsia"/>
                      <w:sz w:val="21"/>
                      <w:szCs w:val="21"/>
                      <w:u w:val="none" w:color="auto"/>
                      <w:lang w:val="en-US" w:eastAsia="zh-CN"/>
                    </w:rPr>
                  </w:pPr>
                  <w:r>
                    <w:rPr>
                      <w:rFonts w:hint="eastAsia"/>
                      <w:sz w:val="21"/>
                      <w:szCs w:val="21"/>
                      <w:u w:val="none" w:color="auto"/>
                      <w:lang w:val="en-US" w:eastAsia="zh-CN"/>
                    </w:rPr>
                    <w:t>/</w:t>
                  </w:r>
                </w:p>
              </w:tc>
              <w:tc>
                <w:tcPr>
                  <w:tcW w:w="523" w:type="dxa"/>
                  <w:vMerge w:val="continue"/>
                  <w:vAlign w:val="center"/>
                </w:tcPr>
                <w:p w14:paraId="1D10C0AD">
                  <w:pPr>
                    <w:spacing w:line="240" w:lineRule="auto"/>
                    <w:ind w:firstLine="0" w:firstLineChars="0"/>
                    <w:contextualSpacing/>
                    <w:jc w:val="center"/>
                    <w:textAlignment w:val="baseline"/>
                    <w:rPr>
                      <w:rFonts w:hint="eastAsia"/>
                      <w:bCs/>
                      <w:sz w:val="21"/>
                      <w:szCs w:val="21"/>
                      <w:u w:val="none" w:color="auto"/>
                    </w:rPr>
                  </w:pPr>
                </w:p>
              </w:tc>
            </w:tr>
            <w:tr w14:paraId="126F3D2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129" w:type="dxa"/>
                  <w:vAlign w:val="center"/>
                </w:tcPr>
                <w:p w14:paraId="1374E9F8">
                  <w:pPr>
                    <w:spacing w:line="240" w:lineRule="auto"/>
                    <w:ind w:firstLine="0" w:firstLineChars="0"/>
                    <w:contextualSpacing/>
                    <w:jc w:val="center"/>
                    <w:textAlignment w:val="baseline"/>
                    <w:rPr>
                      <w:bCs/>
                      <w:sz w:val="21"/>
                      <w:szCs w:val="21"/>
                      <w:u w:val="none" w:color="auto"/>
                    </w:rPr>
                  </w:pPr>
                  <w:r>
                    <w:rPr>
                      <w:rFonts w:hint="eastAsia"/>
                      <w:bCs/>
                      <w:sz w:val="21"/>
                      <w:szCs w:val="21"/>
                      <w:u w:val="none" w:color="auto"/>
                    </w:rPr>
                    <w:t>入厂区污水处理站水质</w:t>
                  </w:r>
                </w:p>
              </w:tc>
              <w:tc>
                <w:tcPr>
                  <w:tcW w:w="695" w:type="dxa"/>
                  <w:vAlign w:val="center"/>
                </w:tcPr>
                <w:p w14:paraId="76C68A05">
                  <w:pPr>
                    <w:spacing w:line="240" w:lineRule="auto"/>
                    <w:ind w:firstLine="0" w:firstLineChars="0"/>
                    <w:contextualSpacing/>
                    <w:jc w:val="center"/>
                    <w:textAlignment w:val="baseline"/>
                    <w:rPr>
                      <w:rFonts w:hint="default" w:eastAsia="宋体"/>
                      <w:sz w:val="21"/>
                      <w:szCs w:val="21"/>
                      <w:u w:val="none" w:color="auto"/>
                      <w:lang w:val="en-US" w:eastAsia="zh-CN"/>
                    </w:rPr>
                  </w:pPr>
                  <w:r>
                    <w:rPr>
                      <w:rFonts w:hint="eastAsia"/>
                      <w:sz w:val="21"/>
                      <w:szCs w:val="21"/>
                      <w:u w:val="none" w:color="auto"/>
                      <w:lang w:val="en-US" w:eastAsia="zh-CN"/>
                    </w:rPr>
                    <w:t>86.87</w:t>
                  </w:r>
                </w:p>
              </w:tc>
              <w:tc>
                <w:tcPr>
                  <w:tcW w:w="818" w:type="dxa"/>
                  <w:vAlign w:val="center"/>
                </w:tcPr>
                <w:p w14:paraId="4367C273">
                  <w:pPr>
                    <w:keepNext w:val="0"/>
                    <w:keepLines w:val="0"/>
                    <w:widowControl/>
                    <w:suppressLineNumbers w:val="0"/>
                    <w:jc w:val="center"/>
                    <w:textAlignment w:val="center"/>
                    <w:rPr>
                      <w:rFonts w:hint="default" w:eastAsia="宋体"/>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162.74</w:t>
                  </w:r>
                </w:p>
              </w:tc>
              <w:tc>
                <w:tcPr>
                  <w:tcW w:w="905" w:type="dxa"/>
                  <w:vAlign w:val="center"/>
                </w:tcPr>
                <w:p w14:paraId="60AAD490">
                  <w:pPr>
                    <w:keepNext w:val="0"/>
                    <w:keepLines w:val="0"/>
                    <w:widowControl/>
                    <w:suppressLineNumbers w:val="0"/>
                    <w:jc w:val="center"/>
                    <w:textAlignment w:val="center"/>
                    <w:rPr>
                      <w:rFonts w:hint="default" w:eastAsia="宋体"/>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174.23</w:t>
                  </w:r>
                </w:p>
              </w:tc>
              <w:tc>
                <w:tcPr>
                  <w:tcW w:w="682" w:type="dxa"/>
                  <w:vAlign w:val="center"/>
                </w:tcPr>
                <w:p w14:paraId="23763674">
                  <w:pPr>
                    <w:keepNext w:val="0"/>
                    <w:keepLines w:val="0"/>
                    <w:widowControl/>
                    <w:suppressLineNumbers w:val="0"/>
                    <w:jc w:val="center"/>
                    <w:textAlignment w:val="center"/>
                    <w:rPr>
                      <w:rFonts w:hint="default" w:eastAsia="宋体"/>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1.93</w:t>
                  </w:r>
                </w:p>
              </w:tc>
              <w:tc>
                <w:tcPr>
                  <w:tcW w:w="633" w:type="dxa"/>
                  <w:vAlign w:val="center"/>
                </w:tcPr>
                <w:p w14:paraId="402F44E3">
                  <w:pPr>
                    <w:keepNext w:val="0"/>
                    <w:keepLines w:val="0"/>
                    <w:widowControl/>
                    <w:suppressLineNumbers w:val="0"/>
                    <w:jc w:val="center"/>
                    <w:textAlignment w:val="center"/>
                    <w:rPr>
                      <w:rFonts w:hint="default" w:eastAsia="宋体"/>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1.16 </w:t>
                  </w:r>
                </w:p>
              </w:tc>
              <w:tc>
                <w:tcPr>
                  <w:tcW w:w="718" w:type="dxa"/>
                  <w:vAlign w:val="center"/>
                </w:tcPr>
                <w:p w14:paraId="4C638573">
                  <w:pPr>
                    <w:keepNext w:val="0"/>
                    <w:keepLines w:val="0"/>
                    <w:widowControl/>
                    <w:suppressLineNumbers w:val="0"/>
                    <w:jc w:val="center"/>
                    <w:textAlignment w:val="center"/>
                    <w:rPr>
                      <w:rFonts w:hint="default" w:eastAsia="宋体"/>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5.61</w:t>
                  </w:r>
                </w:p>
              </w:tc>
              <w:tc>
                <w:tcPr>
                  <w:tcW w:w="744" w:type="dxa"/>
                  <w:vAlign w:val="center"/>
                </w:tcPr>
                <w:p w14:paraId="1C9C33AA">
                  <w:pPr>
                    <w:keepNext w:val="0"/>
                    <w:keepLines w:val="0"/>
                    <w:widowControl/>
                    <w:suppressLineNumbers w:val="0"/>
                    <w:jc w:val="center"/>
                    <w:textAlignment w:val="center"/>
                    <w:rPr>
                      <w:rFonts w:hint="default" w:eastAsia="宋体"/>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0.0012</w:t>
                  </w:r>
                </w:p>
              </w:tc>
              <w:tc>
                <w:tcPr>
                  <w:tcW w:w="523" w:type="dxa"/>
                  <w:vAlign w:val="center"/>
                </w:tcPr>
                <w:p w14:paraId="23142C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0.0008</w:t>
                  </w:r>
                </w:p>
              </w:tc>
              <w:tc>
                <w:tcPr>
                  <w:tcW w:w="527" w:type="dxa"/>
                  <w:vAlign w:val="center"/>
                </w:tcPr>
                <w:p w14:paraId="24BBD4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0.0006</w:t>
                  </w:r>
                </w:p>
              </w:tc>
              <w:tc>
                <w:tcPr>
                  <w:tcW w:w="523" w:type="dxa"/>
                  <w:vMerge w:val="continue"/>
                  <w:vAlign w:val="center"/>
                </w:tcPr>
                <w:p w14:paraId="6D504C84">
                  <w:pPr>
                    <w:spacing w:line="240" w:lineRule="auto"/>
                    <w:ind w:firstLine="0" w:firstLineChars="0"/>
                    <w:contextualSpacing/>
                    <w:jc w:val="center"/>
                    <w:textAlignment w:val="baseline"/>
                    <w:rPr>
                      <w:bCs/>
                      <w:sz w:val="21"/>
                      <w:szCs w:val="21"/>
                      <w:u w:val="none" w:color="auto"/>
                    </w:rPr>
                  </w:pPr>
                </w:p>
              </w:tc>
            </w:tr>
          </w:tbl>
          <w:p w14:paraId="06AE013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Times New Roman" w:hAnsi="Times New Roman" w:eastAsia="宋体" w:cs="Times New Roman"/>
                <w:b/>
                <w:bCs/>
                <w:kern w:val="0"/>
                <w:sz w:val="24"/>
                <w:szCs w:val="20"/>
                <w:u w:val="none" w:color="auto"/>
                <w:lang w:val="en-US" w:eastAsia="zh-CN" w:bidi="ar-SA"/>
              </w:rPr>
            </w:pPr>
            <w:r>
              <w:rPr>
                <w:rFonts w:hint="eastAsia" w:ascii="Times New Roman" w:hAnsi="Times New Roman" w:eastAsia="宋体" w:cs="Times New Roman"/>
                <w:b/>
                <w:bCs/>
                <w:kern w:val="0"/>
                <w:sz w:val="24"/>
                <w:szCs w:val="20"/>
                <w:u w:val="none" w:color="auto"/>
                <w:lang w:val="en-US" w:eastAsia="zh-CN" w:bidi="ar-SA"/>
              </w:rPr>
              <w:t>（二）废水治理情况</w:t>
            </w:r>
          </w:p>
          <w:p w14:paraId="1CD18035">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jc w:val="both"/>
              <w:textAlignment w:val="auto"/>
              <w:rPr>
                <w:rFonts w:hint="eastAsia" w:ascii="Times New Roman" w:hAnsi="Times New Roman" w:eastAsia="宋体" w:cs="Times New Roman"/>
                <w:b w:val="0"/>
                <w:bCs/>
                <w:color w:val="000000"/>
                <w:kern w:val="2"/>
                <w:sz w:val="24"/>
                <w:szCs w:val="24"/>
                <w:u w:val="none" w:color="auto"/>
                <w:lang w:val="en-US" w:eastAsia="zh-CN" w:bidi="ar-SA"/>
              </w:rPr>
            </w:pPr>
            <w:r>
              <w:rPr>
                <w:rFonts w:hint="default" w:ascii="Times New Roman" w:hAnsi="Times New Roman" w:eastAsia="宋体" w:cs="Times New Roman"/>
                <w:b w:val="0"/>
                <w:bCs/>
                <w:color w:val="000000"/>
                <w:sz w:val="24"/>
                <w:u w:val="none" w:color="auto"/>
                <w:lang w:val="en-US" w:eastAsia="zh-CN"/>
              </w:rPr>
              <w:t>为满足现行环保要求，评价要求项目在厂区建设污水处理设施</w:t>
            </w:r>
            <w:r>
              <w:rPr>
                <w:rFonts w:hint="default" w:ascii="Times New Roman" w:hAnsi="Times New Roman" w:eastAsia="宋体" w:cs="Times New Roman"/>
                <w:b w:val="0"/>
                <w:bCs/>
                <w:color w:val="000000" w:themeColor="text1"/>
                <w:sz w:val="24"/>
                <w:u w:val="none" w:color="auto"/>
                <w:lang w:val="en-US" w:eastAsia="zh-CN"/>
                <w14:textFill>
                  <w14:solidFill>
                    <w14:schemeClr w14:val="tx1"/>
                  </w14:solidFill>
                </w14:textFill>
              </w:rPr>
              <w:t>（处理工艺：“混凝沉淀+水解酸化+AO 工艺”），</w:t>
            </w:r>
            <w:r>
              <w:rPr>
                <w:rFonts w:hint="default" w:ascii="Times New Roman" w:hAnsi="Times New Roman" w:eastAsia="宋体" w:cs="Times New Roman"/>
                <w:b w:val="0"/>
                <w:bCs/>
                <w:color w:val="000000"/>
                <w:sz w:val="24"/>
                <w:u w:val="none" w:color="auto"/>
                <w:lang w:val="en-US" w:eastAsia="zh-CN"/>
              </w:rPr>
              <w:t>处理能力为</w:t>
            </w:r>
            <w:r>
              <w:rPr>
                <w:rFonts w:hint="eastAsia" w:ascii="Times New Roman" w:hAnsi="Times New Roman" w:eastAsia="宋体" w:cs="Times New Roman"/>
                <w:b w:val="0"/>
                <w:bCs/>
                <w:color w:val="000000"/>
                <w:sz w:val="24"/>
                <w:u w:val="none" w:color="auto"/>
                <w:lang w:val="en-US" w:eastAsia="zh-CN"/>
              </w:rPr>
              <w:t>800</w:t>
            </w:r>
            <w:r>
              <w:rPr>
                <w:rFonts w:hint="default" w:ascii="Times New Roman" w:hAnsi="Times New Roman" w:eastAsia="宋体" w:cs="Times New Roman"/>
                <w:b w:val="0"/>
                <w:bCs/>
                <w:color w:val="000000"/>
                <w:sz w:val="24"/>
                <w:u w:val="none" w:color="auto"/>
                <w:lang w:val="en-US" w:eastAsia="zh-CN"/>
              </w:rPr>
              <w:t>t/d</w:t>
            </w:r>
            <w:r>
              <w:rPr>
                <w:rFonts w:hint="eastAsia" w:cs="Times New Roman"/>
                <w:b w:val="0"/>
                <w:bCs/>
                <w:color w:val="000000"/>
                <w:sz w:val="24"/>
                <w:u w:val="none" w:color="auto"/>
                <w:lang w:val="en-US" w:eastAsia="zh-CN"/>
              </w:rPr>
              <w:t>（本项目现阶段生产废水产生量86.87t/d，为适配企业中长期产能扩建规划，新建设计处理规模 800t/d 综合污水处理站，采用模块化分区设计，本期仅启用90t/d 处理单元，剩余处理容量预留用于后期扩产废水处理）</w:t>
            </w:r>
            <w:r>
              <w:rPr>
                <w:rFonts w:hint="default" w:ascii="Times New Roman" w:hAnsi="Times New Roman" w:eastAsia="宋体" w:cs="Times New Roman"/>
                <w:b w:val="0"/>
                <w:bCs/>
                <w:color w:val="000000"/>
                <w:sz w:val="24"/>
                <w:u w:val="none" w:color="auto"/>
                <w:lang w:val="en-US" w:eastAsia="zh-CN"/>
              </w:rPr>
              <w:t>。</w:t>
            </w:r>
            <w:r>
              <w:rPr>
                <w:rFonts w:hint="eastAsia" w:ascii="Times New Roman" w:hAnsi="Times New Roman" w:eastAsia="宋体" w:cs="Times New Roman"/>
                <w:b w:val="0"/>
                <w:bCs/>
                <w:color w:val="000000"/>
                <w:kern w:val="2"/>
                <w:sz w:val="24"/>
                <w:szCs w:val="24"/>
                <w:u w:val="none" w:color="auto"/>
                <w:lang w:val="en-US" w:eastAsia="zh-CN" w:bidi="ar-SA"/>
              </w:rPr>
              <w:t>废水经收集后首先进入混凝沉淀工段，通过投加混凝剂、助凝剂，使水中悬浮物、胶体及部分污染物絮凝沉淀，去除大部分悬浮污染物、色度及部分有机污染物，上清液自流进入水解酸化池；在</w:t>
            </w:r>
            <w:r>
              <w:rPr>
                <w:rFonts w:hint="eastAsia" w:cs="Times New Roman"/>
                <w:b w:val="0"/>
                <w:bCs/>
                <w:color w:val="000000"/>
                <w:kern w:val="2"/>
                <w:sz w:val="24"/>
                <w:szCs w:val="24"/>
                <w:u w:val="none" w:color="auto"/>
                <w:lang w:val="en-US" w:eastAsia="zh-CN" w:bidi="ar-SA"/>
              </w:rPr>
              <w:t>厌</w:t>
            </w:r>
            <w:r>
              <w:rPr>
                <w:rFonts w:hint="eastAsia" w:ascii="Times New Roman" w:hAnsi="Times New Roman" w:eastAsia="宋体" w:cs="Times New Roman"/>
                <w:b w:val="0"/>
                <w:bCs/>
                <w:color w:val="000000"/>
                <w:kern w:val="2"/>
                <w:sz w:val="24"/>
                <w:szCs w:val="24"/>
                <w:u w:val="none" w:color="auto"/>
                <w:lang w:val="en-US" w:eastAsia="zh-CN" w:bidi="ar-SA"/>
              </w:rPr>
              <w:t>氧环境下，微生物将大分子难降解有机物水解酸化，转化为小分子易降解物质，提升废水可生化性，同时降解部分 COD；经水解酸化调理后的废水进入A/O生化处理系统，完成有机物降解与生物脱氮。缺氧A段利用污水自身有机碳源，对好氧段回流的硝态氮进行反硝化反应，将硝态氮还原为氮气逸出，实现总氮去除；好氧O段通过曝气充氧，异养微生物降解水体中COD、BOD等有机污染物，硝化细菌完成氨氮硝化反应，将氨氮转化为硝态氮，通过硝化液回流持续实现系统脱氮，保证出水有机物、氨氮及总氮稳定达标</w:t>
            </w:r>
            <w:r>
              <w:rPr>
                <w:rFonts w:hint="eastAsia" w:cs="Times New Roman"/>
                <w:b w:val="0"/>
                <w:bCs/>
                <w:color w:val="000000"/>
                <w:kern w:val="2"/>
                <w:sz w:val="24"/>
                <w:szCs w:val="24"/>
                <w:u w:val="none" w:color="auto"/>
                <w:lang w:val="en-US" w:eastAsia="zh-CN" w:bidi="ar-SA"/>
              </w:rPr>
              <w:t>，</w:t>
            </w:r>
            <w:r>
              <w:rPr>
                <w:rFonts w:hint="eastAsia" w:ascii="Times New Roman" w:hAnsi="Times New Roman" w:eastAsia="宋体" w:cs="Times New Roman"/>
                <w:b w:val="0"/>
                <w:bCs/>
                <w:color w:val="000000"/>
                <w:kern w:val="2"/>
                <w:sz w:val="24"/>
                <w:szCs w:val="24"/>
                <w:u w:val="none" w:color="auto"/>
                <w:lang w:val="en-US" w:eastAsia="zh-CN" w:bidi="ar-SA"/>
              </w:rPr>
              <w:t>最终出水经沉淀澄清后达标排放。</w:t>
            </w:r>
          </w:p>
          <w:p w14:paraId="612C34EE">
            <w:pPr>
              <w:pStyle w:val="98"/>
              <w:bidi w:val="0"/>
              <w:jc w:val="center"/>
              <w:rPr>
                <w:rFonts w:hint="default"/>
                <w:b/>
                <w:bCs/>
                <w:sz w:val="24"/>
                <w:szCs w:val="24"/>
                <w:u w:val="none" w:color="auto"/>
                <w:lang w:val="en-US" w:eastAsia="zh-CN"/>
              </w:rPr>
            </w:pPr>
            <w:r>
              <w:rPr>
                <w:rFonts w:hint="default"/>
                <w:b/>
                <w:bCs/>
                <w:sz w:val="24"/>
                <w:szCs w:val="24"/>
                <w:u w:val="none" w:color="auto"/>
                <w:lang w:val="en-US" w:eastAsia="zh-CN"/>
              </w:rPr>
              <w:t>表</w:t>
            </w:r>
            <w:r>
              <w:rPr>
                <w:rFonts w:hint="eastAsia"/>
                <w:b/>
                <w:bCs/>
                <w:sz w:val="24"/>
                <w:szCs w:val="24"/>
                <w:u w:val="none" w:color="auto"/>
                <w:lang w:val="en-US" w:eastAsia="zh-CN"/>
              </w:rPr>
              <w:t xml:space="preserve">4-14 </w:t>
            </w:r>
            <w:r>
              <w:rPr>
                <w:rFonts w:hint="default"/>
                <w:b/>
                <w:bCs/>
                <w:sz w:val="24"/>
                <w:szCs w:val="24"/>
                <w:u w:val="none" w:color="auto"/>
                <w:lang w:val="en-US" w:eastAsia="zh-CN"/>
              </w:rPr>
              <w:t xml:space="preserve"> </w:t>
            </w:r>
            <w:r>
              <w:rPr>
                <w:rFonts w:hint="eastAsia"/>
                <w:b/>
                <w:bCs/>
                <w:sz w:val="24"/>
                <w:szCs w:val="24"/>
                <w:u w:val="none" w:color="auto"/>
                <w:lang w:val="en-US" w:eastAsia="zh-CN"/>
              </w:rPr>
              <w:t xml:space="preserve">  </w:t>
            </w:r>
            <w:r>
              <w:rPr>
                <w:rFonts w:hint="default"/>
                <w:b/>
                <w:bCs/>
                <w:sz w:val="24"/>
                <w:szCs w:val="24"/>
                <w:u w:val="none" w:color="auto"/>
                <w:lang w:val="en-US" w:eastAsia="zh-CN"/>
              </w:rPr>
              <w:t>项目</w:t>
            </w:r>
            <w:r>
              <w:rPr>
                <w:rFonts w:hint="eastAsia"/>
                <w:b/>
                <w:bCs/>
                <w:sz w:val="24"/>
                <w:szCs w:val="24"/>
                <w:u w:val="none" w:color="auto"/>
                <w:lang w:val="en-US" w:eastAsia="zh-CN"/>
              </w:rPr>
              <w:t>生产</w:t>
            </w:r>
            <w:r>
              <w:rPr>
                <w:rFonts w:hint="default"/>
                <w:b/>
                <w:bCs/>
                <w:sz w:val="24"/>
                <w:szCs w:val="24"/>
                <w:u w:val="none" w:color="auto"/>
                <w:lang w:val="en-US" w:eastAsia="zh-CN"/>
              </w:rPr>
              <w:t>废水</w:t>
            </w:r>
            <w:r>
              <w:rPr>
                <w:rFonts w:hint="eastAsia"/>
                <w:b/>
                <w:bCs/>
                <w:sz w:val="24"/>
                <w:szCs w:val="24"/>
                <w:u w:val="none" w:color="auto"/>
                <w:lang w:val="en-US" w:eastAsia="zh-CN"/>
              </w:rPr>
              <w:t>达标分析一览表</w:t>
            </w:r>
            <w:r>
              <w:rPr>
                <w:rFonts w:hint="default"/>
                <w:b/>
                <w:bCs/>
                <w:sz w:val="24"/>
                <w:szCs w:val="24"/>
                <w:u w:val="none" w:color="auto"/>
                <w:lang w:val="en-US" w:eastAsia="zh-CN"/>
              </w:rPr>
              <w:t>（mg/</w:t>
            </w:r>
            <w:r>
              <w:rPr>
                <w:rFonts w:hint="eastAsia"/>
                <w:b/>
                <w:bCs/>
                <w:sz w:val="24"/>
                <w:szCs w:val="24"/>
                <w:u w:val="none" w:color="auto"/>
                <w:lang w:val="en-US" w:eastAsia="zh-CN"/>
              </w:rPr>
              <w:t>L</w:t>
            </w:r>
            <w:r>
              <w:rPr>
                <w:rFonts w:hint="default"/>
                <w:b/>
                <w:bCs/>
                <w:sz w:val="24"/>
                <w:szCs w:val="24"/>
                <w:u w:val="none" w:color="auto"/>
                <w:lang w:val="en-US" w:eastAsia="zh-CN"/>
              </w:rPr>
              <w:t>）</w:t>
            </w:r>
          </w:p>
          <w:tbl>
            <w:tblPr>
              <w:tblStyle w:val="33"/>
              <w:tblW w:w="7974"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881"/>
              <w:gridCol w:w="830"/>
              <w:gridCol w:w="632"/>
              <w:gridCol w:w="881"/>
              <w:gridCol w:w="755"/>
              <w:gridCol w:w="665"/>
              <w:gridCol w:w="721"/>
              <w:gridCol w:w="721"/>
              <w:gridCol w:w="721"/>
            </w:tblGrid>
            <w:tr w14:paraId="7F14B76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31" w:type="pct"/>
                  <w:tcBorders>
                    <w:top w:val="single" w:color="auto" w:sz="8" w:space="0"/>
                    <w:bottom w:val="single" w:color="auto" w:sz="8" w:space="0"/>
                  </w:tcBorders>
                  <w:vAlign w:val="center"/>
                </w:tcPr>
                <w:p w14:paraId="117E1B7B">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bCs/>
                      <w:color w:val="000000" w:themeColor="text1"/>
                      <w:sz w:val="21"/>
                      <w:szCs w:val="21"/>
                      <w:u w:val="none" w:color="auto"/>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处理单元</w:t>
                  </w:r>
                </w:p>
              </w:tc>
              <w:tc>
                <w:tcPr>
                  <w:tcW w:w="552" w:type="pct"/>
                  <w:tcBorders>
                    <w:top w:val="single" w:color="auto" w:sz="8" w:space="0"/>
                    <w:bottom w:val="single" w:color="auto" w:sz="8" w:space="0"/>
                  </w:tcBorders>
                  <w:vAlign w:val="center"/>
                </w:tcPr>
                <w:p w14:paraId="7A5C30C8">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bCs/>
                      <w:color w:val="000000" w:themeColor="text1"/>
                      <w:sz w:val="21"/>
                      <w:szCs w:val="21"/>
                      <w:u w:val="none" w:color="auto"/>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指标</w:t>
                  </w:r>
                </w:p>
              </w:tc>
              <w:tc>
                <w:tcPr>
                  <w:tcW w:w="520" w:type="pct"/>
                  <w:tcBorders>
                    <w:top w:val="single" w:color="auto" w:sz="8" w:space="0"/>
                    <w:bottom w:val="single" w:color="auto" w:sz="8" w:space="0"/>
                  </w:tcBorders>
                  <w:vAlign w:val="center"/>
                </w:tcPr>
                <w:p w14:paraId="75A3B28C">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bCs/>
                      <w:color w:val="000000" w:themeColor="text1"/>
                      <w:sz w:val="21"/>
                      <w:szCs w:val="21"/>
                      <w:u w:val="none" w:color="auto"/>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COD</w:t>
                  </w:r>
                </w:p>
              </w:tc>
              <w:tc>
                <w:tcPr>
                  <w:tcW w:w="396" w:type="pct"/>
                  <w:tcBorders>
                    <w:top w:val="single" w:color="auto" w:sz="8" w:space="0"/>
                    <w:bottom w:val="single" w:color="auto" w:sz="8" w:space="0"/>
                  </w:tcBorders>
                  <w:vAlign w:val="center"/>
                </w:tcPr>
                <w:p w14:paraId="16620682">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bCs/>
                      <w:color w:val="000000" w:themeColor="text1"/>
                      <w:sz w:val="21"/>
                      <w:szCs w:val="21"/>
                      <w:u w:val="none" w:color="auto"/>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SS</w:t>
                  </w:r>
                </w:p>
              </w:tc>
              <w:tc>
                <w:tcPr>
                  <w:tcW w:w="552" w:type="pct"/>
                  <w:tcBorders>
                    <w:top w:val="single" w:color="auto" w:sz="8" w:space="0"/>
                    <w:bottom w:val="single" w:color="auto" w:sz="8" w:space="0"/>
                  </w:tcBorders>
                  <w:vAlign w:val="center"/>
                </w:tcPr>
                <w:p w14:paraId="63491A31">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bCs/>
                      <w:color w:val="000000" w:themeColor="text1"/>
                      <w:sz w:val="21"/>
                      <w:szCs w:val="21"/>
                      <w:u w:val="none" w:color="auto"/>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NH</w:t>
                  </w:r>
                  <w:r>
                    <w:rPr>
                      <w:rFonts w:hint="default" w:ascii="Times New Roman" w:hAnsi="Times New Roman" w:eastAsia="宋体" w:cs="Times New Roman"/>
                      <w:b/>
                      <w:bCs/>
                      <w:color w:val="000000" w:themeColor="text1"/>
                      <w:sz w:val="21"/>
                      <w:szCs w:val="21"/>
                      <w:u w:val="none" w:color="auto"/>
                      <w:vertAlign w:val="subscript"/>
                      <w14:textFill>
                        <w14:solidFill>
                          <w14:schemeClr w14:val="tx1"/>
                        </w14:solidFill>
                      </w14:textFill>
                    </w:rPr>
                    <w:t>3</w:t>
                  </w: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-N</w:t>
                  </w:r>
                </w:p>
              </w:tc>
              <w:tc>
                <w:tcPr>
                  <w:tcW w:w="473" w:type="pct"/>
                  <w:tcBorders>
                    <w:top w:val="single" w:color="auto" w:sz="8" w:space="0"/>
                    <w:bottom w:val="single" w:color="auto" w:sz="8" w:space="0"/>
                  </w:tcBorders>
                  <w:vAlign w:val="center"/>
                </w:tcPr>
                <w:p w14:paraId="1668172B">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bCs/>
                      <w:color w:val="000000" w:themeColor="text1"/>
                      <w:sz w:val="21"/>
                      <w:szCs w:val="21"/>
                      <w:u w:val="none" w:color="auto"/>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TP</w:t>
                  </w:r>
                </w:p>
              </w:tc>
              <w:tc>
                <w:tcPr>
                  <w:tcW w:w="416" w:type="pct"/>
                  <w:tcBorders>
                    <w:top w:val="single" w:color="auto" w:sz="8" w:space="0"/>
                    <w:bottom w:val="single" w:color="auto" w:sz="8" w:space="0"/>
                  </w:tcBorders>
                  <w:vAlign w:val="center"/>
                </w:tcPr>
                <w:p w14:paraId="11F4437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baseline"/>
                    <w:rPr>
                      <w:rFonts w:hint="default" w:ascii="Times New Roman" w:hAnsi="Times New Roman" w:eastAsia="宋体" w:cs="Times New Roman"/>
                      <w:b/>
                      <w:bCs/>
                      <w:color w:val="000000" w:themeColor="text1"/>
                      <w:sz w:val="21"/>
                      <w:szCs w:val="21"/>
                      <w:u w:val="none" w:color="auto"/>
                      <w14:textFill>
                        <w14:solidFill>
                          <w14:schemeClr w14:val="tx1"/>
                        </w14:solidFill>
                      </w14:textFill>
                    </w:rPr>
                  </w:pPr>
                  <w:r>
                    <w:rPr>
                      <w:rFonts w:hint="eastAsia" w:ascii="Times New Roman" w:hAnsi="Times New Roman" w:eastAsia="宋体" w:cs="Times New Roman"/>
                      <w:b/>
                      <w:bCs w:val="0"/>
                      <w:color w:val="000000" w:themeColor="text1"/>
                      <w:kern w:val="0"/>
                      <w:sz w:val="21"/>
                      <w:szCs w:val="21"/>
                      <w:u w:val="none" w:color="auto"/>
                      <w:lang w:val="en-US" w:eastAsia="zh-CN" w:bidi="ar-SA"/>
                      <w14:textFill>
                        <w14:solidFill>
                          <w14:schemeClr w14:val="tx1"/>
                        </w14:solidFill>
                      </w14:textFill>
                    </w:rPr>
                    <w:t>TN</w:t>
                  </w:r>
                </w:p>
              </w:tc>
              <w:tc>
                <w:tcPr>
                  <w:tcW w:w="452" w:type="pct"/>
                  <w:tcBorders>
                    <w:top w:val="single" w:color="auto" w:sz="8" w:space="0"/>
                    <w:bottom w:val="single" w:color="auto" w:sz="8" w:space="0"/>
                  </w:tcBorders>
                  <w:vAlign w:val="center"/>
                </w:tcPr>
                <w:p w14:paraId="68DF8782">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hAnsi="Times New Roman" w:eastAsia="宋体" w:cs="Times New Roman"/>
                      <w:b/>
                      <w:bCs w:val="0"/>
                      <w:color w:val="000000" w:themeColor="text1"/>
                      <w:kern w:val="0"/>
                      <w:sz w:val="21"/>
                      <w:szCs w:val="21"/>
                      <w:u w:val="none" w:color="auto"/>
                      <w:lang w:val="en-US" w:eastAsia="zh-CN" w:bidi="ar-SA"/>
                      <w14:textFill>
                        <w14:solidFill>
                          <w14:schemeClr w14:val="tx1"/>
                        </w14:solidFill>
                      </w14:textFill>
                    </w:rPr>
                  </w:pPr>
                  <w:r>
                    <w:rPr>
                      <w:rFonts w:hint="eastAsia" w:ascii="Times New Roman" w:cs="Times New Roman"/>
                      <w:b/>
                      <w:bCs/>
                      <w:color w:val="000000" w:themeColor="text1"/>
                      <w:sz w:val="21"/>
                      <w:szCs w:val="21"/>
                      <w:u w:val="none" w:color="auto"/>
                      <w:lang w:val="en-US" w:eastAsia="zh-CN"/>
                      <w14:textFill>
                        <w14:solidFill>
                          <w14:schemeClr w14:val="tx1"/>
                        </w14:solidFill>
                      </w14:textFill>
                    </w:rPr>
                    <w:t>总锰</w:t>
                  </w:r>
                </w:p>
              </w:tc>
              <w:tc>
                <w:tcPr>
                  <w:tcW w:w="452" w:type="pct"/>
                  <w:tcBorders>
                    <w:top w:val="single" w:color="auto" w:sz="8" w:space="0"/>
                    <w:bottom w:val="single" w:color="auto" w:sz="8" w:space="0"/>
                  </w:tcBorders>
                  <w:vAlign w:val="center"/>
                </w:tcPr>
                <w:p w14:paraId="54D2EAA2">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cs="Times New Roman"/>
                      <w:b/>
                      <w:bCs/>
                      <w:color w:val="000000" w:themeColor="text1"/>
                      <w:sz w:val="21"/>
                      <w:szCs w:val="21"/>
                      <w:u w:val="none" w:color="auto"/>
                      <w:lang w:val="en-US" w:eastAsia="zh-CN"/>
                      <w14:textFill>
                        <w14:solidFill>
                          <w14:schemeClr w14:val="tx1"/>
                        </w14:solidFill>
                      </w14:textFill>
                    </w:rPr>
                  </w:pPr>
                  <w:r>
                    <w:rPr>
                      <w:rFonts w:hint="eastAsia" w:ascii="Times New Roman" w:cs="Times New Roman"/>
                      <w:b/>
                      <w:bCs/>
                      <w:color w:val="000000" w:themeColor="text1"/>
                      <w:sz w:val="21"/>
                      <w:szCs w:val="21"/>
                      <w:u w:val="none" w:color="auto"/>
                      <w:lang w:val="en-US" w:eastAsia="zh-CN"/>
                      <w14:textFill>
                        <w14:solidFill>
                          <w14:schemeClr w14:val="tx1"/>
                        </w14:solidFill>
                      </w14:textFill>
                    </w:rPr>
                    <w:t>总镍</w:t>
                  </w:r>
                </w:p>
              </w:tc>
              <w:tc>
                <w:tcPr>
                  <w:tcW w:w="452" w:type="pct"/>
                  <w:tcBorders>
                    <w:top w:val="single" w:color="auto" w:sz="8" w:space="0"/>
                    <w:bottom w:val="single" w:color="auto" w:sz="8" w:space="0"/>
                  </w:tcBorders>
                  <w:vAlign w:val="center"/>
                </w:tcPr>
                <w:p w14:paraId="7D2DE3EE">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cs="Times New Roman"/>
                      <w:b/>
                      <w:bCs/>
                      <w:color w:val="000000" w:themeColor="text1"/>
                      <w:sz w:val="21"/>
                      <w:szCs w:val="21"/>
                      <w:u w:val="none" w:color="auto"/>
                      <w:lang w:val="en-US" w:eastAsia="zh-CN"/>
                      <w14:textFill>
                        <w14:solidFill>
                          <w14:schemeClr w14:val="tx1"/>
                        </w14:solidFill>
                      </w14:textFill>
                    </w:rPr>
                  </w:pPr>
                  <w:r>
                    <w:rPr>
                      <w:rFonts w:hint="eastAsia" w:ascii="Times New Roman" w:cs="Times New Roman"/>
                      <w:b/>
                      <w:bCs/>
                      <w:color w:val="000000" w:themeColor="text1"/>
                      <w:sz w:val="21"/>
                      <w:szCs w:val="21"/>
                      <w:u w:val="none" w:color="auto"/>
                      <w:lang w:val="en-US" w:eastAsia="zh-CN"/>
                      <w14:textFill>
                        <w14:solidFill>
                          <w14:schemeClr w14:val="tx1"/>
                        </w14:solidFill>
                      </w14:textFill>
                    </w:rPr>
                    <w:t>总钴</w:t>
                  </w:r>
                </w:p>
              </w:tc>
            </w:tr>
            <w:tr w14:paraId="2C86561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731" w:type="pct"/>
                  <w:tcBorders>
                    <w:top w:val="single" w:color="auto" w:sz="8" w:space="0"/>
                  </w:tcBorders>
                  <w:vAlign w:val="center"/>
                </w:tcPr>
                <w:p w14:paraId="365A433E">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hAnsi="Times New Roman" w:eastAsia="宋体" w:cs="Times New Roman"/>
                      <w:b w:val="0"/>
                      <w:bCs w:val="0"/>
                      <w:color w:val="000000" w:themeColor="text1"/>
                      <w:sz w:val="21"/>
                      <w:szCs w:val="21"/>
                      <w:u w:val="none" w:color="auto"/>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污水处理站进口</w:t>
                  </w:r>
                  <w:r>
                    <w:rPr>
                      <w:rFonts w:hint="eastAsia" w:ascii="Times New Roman" w:cs="Times New Roman"/>
                      <w:b w:val="0"/>
                      <w:bCs w:val="0"/>
                      <w:color w:val="000000" w:themeColor="text1"/>
                      <w:sz w:val="21"/>
                      <w:szCs w:val="21"/>
                      <w:u w:val="none" w:color="auto"/>
                      <w:lang w:eastAsia="zh-CN"/>
                      <w14:textFill>
                        <w14:solidFill>
                          <w14:schemeClr w14:val="tx1"/>
                        </w14:solidFill>
                      </w14:textFill>
                    </w:rPr>
                    <w:t>（86.87</w:t>
                  </w: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t/d</w:t>
                  </w:r>
                  <w:r>
                    <w:rPr>
                      <w:rFonts w:hint="eastAsia" w:ascii="Times New Roman" w:cs="Times New Roman"/>
                      <w:b w:val="0"/>
                      <w:bCs w:val="0"/>
                      <w:color w:val="000000" w:themeColor="text1"/>
                      <w:sz w:val="21"/>
                      <w:szCs w:val="21"/>
                      <w:u w:val="none" w:color="auto"/>
                      <w:lang w:eastAsia="zh-CN"/>
                      <w14:textFill>
                        <w14:solidFill>
                          <w14:schemeClr w14:val="tx1"/>
                        </w14:solidFill>
                      </w14:textFill>
                    </w:rPr>
                    <w:t>）</w:t>
                  </w:r>
                </w:p>
              </w:tc>
              <w:tc>
                <w:tcPr>
                  <w:tcW w:w="552" w:type="pct"/>
                  <w:tcBorders>
                    <w:top w:val="single" w:color="auto" w:sz="8" w:space="0"/>
                  </w:tcBorders>
                  <w:vAlign w:val="center"/>
                </w:tcPr>
                <w:p w14:paraId="436B7ED5">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进水（mg/L）</w:t>
                  </w:r>
                </w:p>
              </w:tc>
              <w:tc>
                <w:tcPr>
                  <w:tcW w:w="830" w:type="dxa"/>
                  <w:tcBorders>
                    <w:top w:val="single" w:color="auto" w:sz="8" w:space="0"/>
                  </w:tcBorders>
                  <w:vAlign w:val="center"/>
                </w:tcPr>
                <w:p w14:paraId="30FEA443">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162.74</w:t>
                  </w:r>
                </w:p>
              </w:tc>
              <w:tc>
                <w:tcPr>
                  <w:tcW w:w="632" w:type="dxa"/>
                  <w:tcBorders>
                    <w:top w:val="single" w:color="auto" w:sz="8" w:space="0"/>
                  </w:tcBorders>
                  <w:vAlign w:val="center"/>
                </w:tcPr>
                <w:p w14:paraId="03791521">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174.23</w:t>
                  </w:r>
                </w:p>
              </w:tc>
              <w:tc>
                <w:tcPr>
                  <w:tcW w:w="881" w:type="dxa"/>
                  <w:tcBorders>
                    <w:top w:val="single" w:color="auto" w:sz="8" w:space="0"/>
                  </w:tcBorders>
                  <w:shd w:val="clear" w:color="auto" w:fill="auto"/>
                  <w:vAlign w:val="center"/>
                </w:tcPr>
                <w:p w14:paraId="29F1309E">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1.93</w:t>
                  </w:r>
                </w:p>
              </w:tc>
              <w:tc>
                <w:tcPr>
                  <w:tcW w:w="755" w:type="dxa"/>
                  <w:tcBorders>
                    <w:top w:val="single" w:color="auto" w:sz="8" w:space="0"/>
                  </w:tcBorders>
                  <w:shd w:val="clear" w:color="auto" w:fill="auto"/>
                  <w:vAlign w:val="center"/>
                </w:tcPr>
                <w:p w14:paraId="26A892A8">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 xml:space="preserve">1.16 </w:t>
                  </w:r>
                </w:p>
              </w:tc>
              <w:tc>
                <w:tcPr>
                  <w:tcW w:w="665" w:type="dxa"/>
                  <w:tcBorders>
                    <w:top w:val="single" w:color="auto" w:sz="8" w:space="0"/>
                  </w:tcBorders>
                  <w:vAlign w:val="center"/>
                </w:tcPr>
                <w:p w14:paraId="74473F6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5.61</w:t>
                  </w:r>
                </w:p>
              </w:tc>
              <w:tc>
                <w:tcPr>
                  <w:tcW w:w="721" w:type="dxa"/>
                  <w:tcBorders>
                    <w:top w:val="single" w:color="auto" w:sz="8" w:space="0"/>
                  </w:tcBorders>
                  <w:vAlign w:val="center"/>
                </w:tcPr>
                <w:p w14:paraId="2AE8B146">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0.0012</w:t>
                  </w:r>
                </w:p>
              </w:tc>
              <w:tc>
                <w:tcPr>
                  <w:tcW w:w="721" w:type="dxa"/>
                  <w:tcBorders>
                    <w:top w:val="single" w:color="auto" w:sz="8" w:space="0"/>
                  </w:tcBorders>
                  <w:vAlign w:val="center"/>
                </w:tcPr>
                <w:p w14:paraId="3AEDE9D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0.0008</w:t>
                  </w:r>
                </w:p>
              </w:tc>
              <w:tc>
                <w:tcPr>
                  <w:tcW w:w="721" w:type="dxa"/>
                  <w:tcBorders>
                    <w:top w:val="single" w:color="auto" w:sz="8" w:space="0"/>
                  </w:tcBorders>
                  <w:vAlign w:val="center"/>
                </w:tcPr>
                <w:p w14:paraId="08B97E0C">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0.0006</w:t>
                  </w:r>
                </w:p>
              </w:tc>
            </w:tr>
            <w:tr w14:paraId="5498DE7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1" w:type="pct"/>
                  <w:vMerge w:val="restart"/>
                  <w:vAlign w:val="center"/>
                </w:tcPr>
                <w:p w14:paraId="2B71941A">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pt-BR"/>
                      <w14:textFill>
                        <w14:solidFill>
                          <w14:schemeClr w14:val="tx1"/>
                        </w14:solidFill>
                      </w14:textFill>
                    </w:rPr>
                    <w:t>混凝沉淀</w:t>
                  </w: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+水解酸化</w:t>
                  </w:r>
                </w:p>
              </w:tc>
              <w:tc>
                <w:tcPr>
                  <w:tcW w:w="552" w:type="pct"/>
                  <w:vAlign w:val="center"/>
                </w:tcPr>
                <w:p w14:paraId="54CED58B">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去除率%</w:t>
                  </w:r>
                </w:p>
              </w:tc>
              <w:tc>
                <w:tcPr>
                  <w:tcW w:w="520" w:type="pct"/>
                  <w:vAlign w:val="center"/>
                </w:tcPr>
                <w:p w14:paraId="674BBCE4">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30</w:t>
                  </w:r>
                </w:p>
              </w:tc>
              <w:tc>
                <w:tcPr>
                  <w:tcW w:w="396" w:type="pct"/>
                  <w:vAlign w:val="center"/>
                </w:tcPr>
                <w:p w14:paraId="56D8F1B9">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40</w:t>
                  </w:r>
                </w:p>
              </w:tc>
              <w:tc>
                <w:tcPr>
                  <w:tcW w:w="552" w:type="pct"/>
                  <w:vAlign w:val="center"/>
                </w:tcPr>
                <w:p w14:paraId="1C9ADD93">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15</w:t>
                  </w:r>
                </w:p>
              </w:tc>
              <w:tc>
                <w:tcPr>
                  <w:tcW w:w="473" w:type="pct"/>
                  <w:vAlign w:val="center"/>
                </w:tcPr>
                <w:p w14:paraId="68F45031">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10</w:t>
                  </w:r>
                </w:p>
              </w:tc>
              <w:tc>
                <w:tcPr>
                  <w:tcW w:w="416" w:type="pct"/>
                  <w:vAlign w:val="center"/>
                </w:tcPr>
                <w:p w14:paraId="3415FDF5">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10</w:t>
                  </w:r>
                </w:p>
              </w:tc>
              <w:tc>
                <w:tcPr>
                  <w:tcW w:w="452" w:type="pct"/>
                  <w:vAlign w:val="center"/>
                </w:tcPr>
                <w:p w14:paraId="6454C4AB">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w:t>
                  </w:r>
                </w:p>
              </w:tc>
              <w:tc>
                <w:tcPr>
                  <w:tcW w:w="452" w:type="pct"/>
                  <w:vAlign w:val="center"/>
                </w:tcPr>
                <w:p w14:paraId="4F1F8B98">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w:t>
                  </w:r>
                </w:p>
              </w:tc>
              <w:tc>
                <w:tcPr>
                  <w:tcW w:w="452" w:type="pct"/>
                  <w:vAlign w:val="center"/>
                </w:tcPr>
                <w:p w14:paraId="48173231">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w:t>
                  </w:r>
                </w:p>
              </w:tc>
            </w:tr>
            <w:tr w14:paraId="7C964BF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31" w:type="pct"/>
                  <w:vMerge w:val="continue"/>
                  <w:vAlign w:val="center"/>
                </w:tcPr>
                <w:p w14:paraId="407232CA">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p>
              </w:tc>
              <w:tc>
                <w:tcPr>
                  <w:tcW w:w="552" w:type="pct"/>
                  <w:vAlign w:val="center"/>
                </w:tcPr>
                <w:p w14:paraId="0DF01133">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出水（mg/L）</w:t>
                  </w:r>
                </w:p>
              </w:tc>
              <w:tc>
                <w:tcPr>
                  <w:tcW w:w="520" w:type="pct"/>
                  <w:vAlign w:val="center"/>
                </w:tcPr>
                <w:p w14:paraId="60C65425">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113.92</w:t>
                  </w:r>
                </w:p>
              </w:tc>
              <w:tc>
                <w:tcPr>
                  <w:tcW w:w="396" w:type="pct"/>
                  <w:vAlign w:val="center"/>
                </w:tcPr>
                <w:p w14:paraId="3CC0342A">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104.54</w:t>
                  </w:r>
                </w:p>
              </w:tc>
              <w:tc>
                <w:tcPr>
                  <w:tcW w:w="552" w:type="pct"/>
                  <w:vAlign w:val="center"/>
                </w:tcPr>
                <w:p w14:paraId="54794D43">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1.64</w:t>
                  </w:r>
                </w:p>
              </w:tc>
              <w:tc>
                <w:tcPr>
                  <w:tcW w:w="473" w:type="pct"/>
                  <w:vAlign w:val="center"/>
                </w:tcPr>
                <w:p w14:paraId="30D3C14F">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1.04</w:t>
                  </w:r>
                </w:p>
              </w:tc>
              <w:tc>
                <w:tcPr>
                  <w:tcW w:w="416" w:type="pct"/>
                  <w:vAlign w:val="center"/>
                </w:tcPr>
                <w:p w14:paraId="0AE6D77F">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5.05</w:t>
                  </w:r>
                </w:p>
              </w:tc>
              <w:tc>
                <w:tcPr>
                  <w:tcW w:w="721" w:type="dxa"/>
                  <w:shd w:val="clear" w:color="auto" w:fill="auto"/>
                  <w:vAlign w:val="center"/>
                </w:tcPr>
                <w:p w14:paraId="73497819">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0.0012</w:t>
                  </w:r>
                </w:p>
              </w:tc>
              <w:tc>
                <w:tcPr>
                  <w:tcW w:w="721" w:type="dxa"/>
                  <w:shd w:val="clear" w:color="auto" w:fill="auto"/>
                  <w:vAlign w:val="center"/>
                </w:tcPr>
                <w:p w14:paraId="3C12EF2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0.0008</w:t>
                  </w:r>
                </w:p>
              </w:tc>
              <w:tc>
                <w:tcPr>
                  <w:tcW w:w="721" w:type="dxa"/>
                  <w:shd w:val="clear" w:color="auto" w:fill="auto"/>
                  <w:vAlign w:val="center"/>
                </w:tcPr>
                <w:p w14:paraId="3FC3192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0.0006</w:t>
                  </w:r>
                </w:p>
              </w:tc>
            </w:tr>
            <w:tr w14:paraId="46C706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31" w:type="pct"/>
                  <w:vMerge w:val="restart"/>
                  <w:vAlign w:val="center"/>
                </w:tcPr>
                <w:p w14:paraId="589BCBE8">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AO工艺处理</w:t>
                  </w:r>
                </w:p>
              </w:tc>
              <w:tc>
                <w:tcPr>
                  <w:tcW w:w="552" w:type="pct"/>
                  <w:vAlign w:val="center"/>
                </w:tcPr>
                <w:p w14:paraId="12A7A8FE">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去除率%</w:t>
                  </w:r>
                </w:p>
              </w:tc>
              <w:tc>
                <w:tcPr>
                  <w:tcW w:w="520" w:type="pct"/>
                  <w:vAlign w:val="center"/>
                </w:tcPr>
                <w:p w14:paraId="654F7D90">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60</w:t>
                  </w:r>
                </w:p>
              </w:tc>
              <w:tc>
                <w:tcPr>
                  <w:tcW w:w="396" w:type="pct"/>
                  <w:vAlign w:val="center"/>
                </w:tcPr>
                <w:p w14:paraId="702F26E1">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60</w:t>
                  </w:r>
                </w:p>
              </w:tc>
              <w:tc>
                <w:tcPr>
                  <w:tcW w:w="552" w:type="pct"/>
                  <w:vAlign w:val="center"/>
                </w:tcPr>
                <w:p w14:paraId="5F107A4D">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50</w:t>
                  </w:r>
                </w:p>
              </w:tc>
              <w:tc>
                <w:tcPr>
                  <w:tcW w:w="473" w:type="pct"/>
                  <w:vAlign w:val="center"/>
                </w:tcPr>
                <w:p w14:paraId="7473F9D0">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50</w:t>
                  </w:r>
                </w:p>
              </w:tc>
              <w:tc>
                <w:tcPr>
                  <w:tcW w:w="416" w:type="pct"/>
                  <w:vAlign w:val="center"/>
                </w:tcPr>
                <w:p w14:paraId="7F249111">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50</w:t>
                  </w:r>
                </w:p>
              </w:tc>
              <w:tc>
                <w:tcPr>
                  <w:tcW w:w="452" w:type="pct"/>
                  <w:vAlign w:val="center"/>
                </w:tcPr>
                <w:p w14:paraId="5B9E0D2F">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c>
                <w:tcPr>
                  <w:tcW w:w="452" w:type="pct"/>
                  <w:vAlign w:val="center"/>
                </w:tcPr>
                <w:p w14:paraId="70C0E113">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c>
                <w:tcPr>
                  <w:tcW w:w="452" w:type="pct"/>
                  <w:vAlign w:val="center"/>
                </w:tcPr>
                <w:p w14:paraId="6DD3DADA">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r>
            <w:tr w14:paraId="358F0A2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731" w:type="pct"/>
                  <w:vMerge w:val="continue"/>
                  <w:vAlign w:val="center"/>
                </w:tcPr>
                <w:p w14:paraId="4E3A4DCB">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p>
              </w:tc>
              <w:tc>
                <w:tcPr>
                  <w:tcW w:w="552" w:type="pct"/>
                  <w:vAlign w:val="center"/>
                </w:tcPr>
                <w:p w14:paraId="4AD9CE08">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出水（mg/L）</w:t>
                  </w:r>
                </w:p>
              </w:tc>
              <w:tc>
                <w:tcPr>
                  <w:tcW w:w="520" w:type="pct"/>
                  <w:vAlign w:val="center"/>
                </w:tcPr>
                <w:p w14:paraId="16621EEA">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45.57</w:t>
                  </w:r>
                </w:p>
              </w:tc>
              <w:tc>
                <w:tcPr>
                  <w:tcW w:w="396" w:type="pct"/>
                  <w:vAlign w:val="center"/>
                </w:tcPr>
                <w:p w14:paraId="52B92F68">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41.82</w:t>
                  </w:r>
                </w:p>
              </w:tc>
              <w:tc>
                <w:tcPr>
                  <w:tcW w:w="552" w:type="pct"/>
                  <w:vAlign w:val="center"/>
                </w:tcPr>
                <w:p w14:paraId="0ABAAE28">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0.82</w:t>
                  </w:r>
                </w:p>
              </w:tc>
              <w:tc>
                <w:tcPr>
                  <w:tcW w:w="473" w:type="pct"/>
                  <w:vAlign w:val="center"/>
                </w:tcPr>
                <w:p w14:paraId="3F6B26BD">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0.58</w:t>
                  </w:r>
                </w:p>
              </w:tc>
              <w:tc>
                <w:tcPr>
                  <w:tcW w:w="416" w:type="pct"/>
                  <w:vAlign w:val="center"/>
                </w:tcPr>
                <w:p w14:paraId="34DA7832">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2.53</w:t>
                  </w:r>
                </w:p>
              </w:tc>
              <w:tc>
                <w:tcPr>
                  <w:tcW w:w="721" w:type="dxa"/>
                  <w:shd w:val="clear" w:color="auto" w:fill="auto"/>
                  <w:vAlign w:val="center"/>
                </w:tcPr>
                <w:p w14:paraId="17567064">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0.0012</w:t>
                  </w:r>
                </w:p>
              </w:tc>
              <w:tc>
                <w:tcPr>
                  <w:tcW w:w="721" w:type="dxa"/>
                  <w:shd w:val="clear" w:color="auto" w:fill="auto"/>
                  <w:vAlign w:val="center"/>
                </w:tcPr>
                <w:p w14:paraId="794AD637">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0.0008</w:t>
                  </w:r>
                </w:p>
              </w:tc>
              <w:tc>
                <w:tcPr>
                  <w:tcW w:w="721" w:type="dxa"/>
                  <w:shd w:val="clear" w:color="auto" w:fill="auto"/>
                  <w:vAlign w:val="center"/>
                </w:tcPr>
                <w:p w14:paraId="4FD221A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0.0006</w:t>
                  </w:r>
                </w:p>
              </w:tc>
            </w:tr>
            <w:tr w14:paraId="5BD52ED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284" w:type="pct"/>
                  <w:gridSpan w:val="2"/>
                  <w:vAlign w:val="center"/>
                </w:tcPr>
                <w:p w14:paraId="271DB2A6">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pt-BR"/>
                      <w14:textFill>
                        <w14:solidFill>
                          <w14:schemeClr w14:val="tx1"/>
                        </w14:solidFill>
                      </w14:textFill>
                    </w:rPr>
                    <w:t>《电池工业污染物排放标准》（GB30484-2013）表2</w:t>
                  </w:r>
                </w:p>
              </w:tc>
              <w:tc>
                <w:tcPr>
                  <w:tcW w:w="520" w:type="pct"/>
                  <w:vAlign w:val="center"/>
                </w:tcPr>
                <w:p w14:paraId="0D8040F8">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150</w:t>
                  </w:r>
                </w:p>
              </w:tc>
              <w:tc>
                <w:tcPr>
                  <w:tcW w:w="396" w:type="pct"/>
                  <w:vAlign w:val="center"/>
                </w:tcPr>
                <w:p w14:paraId="5481E742">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140</w:t>
                  </w:r>
                </w:p>
              </w:tc>
              <w:tc>
                <w:tcPr>
                  <w:tcW w:w="552" w:type="pct"/>
                  <w:vAlign w:val="center"/>
                </w:tcPr>
                <w:p w14:paraId="17EBB668">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30</w:t>
                  </w:r>
                </w:p>
              </w:tc>
              <w:tc>
                <w:tcPr>
                  <w:tcW w:w="473" w:type="pct"/>
                  <w:vAlign w:val="center"/>
                </w:tcPr>
                <w:p w14:paraId="7CD83220">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2.0</w:t>
                  </w:r>
                </w:p>
              </w:tc>
              <w:tc>
                <w:tcPr>
                  <w:tcW w:w="416" w:type="pct"/>
                  <w:vAlign w:val="center"/>
                </w:tcPr>
                <w:p w14:paraId="237DBF0F">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40</w:t>
                  </w:r>
                </w:p>
              </w:tc>
              <w:tc>
                <w:tcPr>
                  <w:tcW w:w="452" w:type="pct"/>
                  <w:vAlign w:val="center"/>
                </w:tcPr>
                <w:p w14:paraId="025C4B51">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1.5</w:t>
                  </w:r>
                </w:p>
              </w:tc>
              <w:tc>
                <w:tcPr>
                  <w:tcW w:w="452" w:type="pct"/>
                  <w:vAlign w:val="center"/>
                </w:tcPr>
                <w:p w14:paraId="36BAD1FE">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c>
                <w:tcPr>
                  <w:tcW w:w="452" w:type="pct"/>
                  <w:vAlign w:val="center"/>
                </w:tcPr>
                <w:p w14:paraId="7F610D89">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r>
            <w:tr w14:paraId="10C80D0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84" w:type="pct"/>
                  <w:gridSpan w:val="2"/>
                  <w:vAlign w:val="center"/>
                </w:tcPr>
                <w:p w14:paraId="59073CD0">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新乡市贾屯污水处理厂</w:t>
                  </w:r>
                  <w:r>
                    <w:rPr>
                      <w:rFonts w:hint="default" w:ascii="Times New Roman" w:hAnsi="Times New Roman" w:eastAsia="宋体" w:cs="Times New Roman"/>
                      <w:b w:val="0"/>
                      <w:bCs w:val="0"/>
                      <w:color w:val="000000" w:themeColor="text1"/>
                      <w:sz w:val="21"/>
                      <w:szCs w:val="21"/>
                      <w:u w:val="none" w:color="auto"/>
                      <w:lang w:val="pt-BR"/>
                      <w14:textFill>
                        <w14:solidFill>
                          <w14:schemeClr w14:val="tx1"/>
                        </w14:solidFill>
                      </w14:textFill>
                    </w:rPr>
                    <w:t>收水标准</w:t>
                  </w:r>
                </w:p>
              </w:tc>
              <w:tc>
                <w:tcPr>
                  <w:tcW w:w="520" w:type="pct"/>
                  <w:vAlign w:val="center"/>
                </w:tcPr>
                <w:p w14:paraId="1365A16C">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450</w:t>
                  </w:r>
                </w:p>
              </w:tc>
              <w:tc>
                <w:tcPr>
                  <w:tcW w:w="396" w:type="pct"/>
                  <w:vAlign w:val="center"/>
                </w:tcPr>
                <w:p w14:paraId="3B3AFEDA">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350</w:t>
                  </w:r>
                </w:p>
              </w:tc>
              <w:tc>
                <w:tcPr>
                  <w:tcW w:w="552" w:type="pct"/>
                  <w:vAlign w:val="center"/>
                </w:tcPr>
                <w:p w14:paraId="06999A77">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35</w:t>
                  </w:r>
                </w:p>
              </w:tc>
              <w:tc>
                <w:tcPr>
                  <w:tcW w:w="473" w:type="pct"/>
                  <w:vAlign w:val="center"/>
                </w:tcPr>
                <w:p w14:paraId="1B3BCCE9">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6</w:t>
                  </w:r>
                </w:p>
              </w:tc>
              <w:tc>
                <w:tcPr>
                  <w:tcW w:w="416" w:type="pct"/>
                  <w:vAlign w:val="center"/>
                </w:tcPr>
                <w:p w14:paraId="4072278A">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45</w:t>
                  </w:r>
                </w:p>
              </w:tc>
              <w:tc>
                <w:tcPr>
                  <w:tcW w:w="452" w:type="pct"/>
                  <w:vAlign w:val="center"/>
                </w:tcPr>
                <w:p w14:paraId="782DE10A">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c>
                <w:tcPr>
                  <w:tcW w:w="452" w:type="pct"/>
                  <w:vAlign w:val="center"/>
                </w:tcPr>
                <w:p w14:paraId="0DB78DDA">
                  <w:pPr>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c>
                <w:tcPr>
                  <w:tcW w:w="452" w:type="pct"/>
                  <w:vAlign w:val="center"/>
                </w:tcPr>
                <w:p w14:paraId="587D9A95">
                  <w:pPr>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eastAsia" w:ascii="Times New Roman"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b w:val="0"/>
                      <w:bCs w:val="0"/>
                      <w:color w:val="000000" w:themeColor="text1"/>
                      <w:sz w:val="21"/>
                      <w:szCs w:val="21"/>
                      <w:u w:val="none" w:color="auto"/>
                      <w:lang w:val="en-US" w:eastAsia="zh-CN"/>
                      <w14:textFill>
                        <w14:solidFill>
                          <w14:schemeClr w14:val="tx1"/>
                        </w14:solidFill>
                      </w14:textFill>
                    </w:rPr>
                    <w:t>/</w:t>
                  </w:r>
                </w:p>
              </w:tc>
            </w:tr>
            <w:tr w14:paraId="62B84C4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284" w:type="pct"/>
                  <w:gridSpan w:val="2"/>
                  <w:vAlign w:val="center"/>
                </w:tcPr>
                <w:p w14:paraId="4D8B8691">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达标分析</w:t>
                  </w:r>
                </w:p>
              </w:tc>
              <w:tc>
                <w:tcPr>
                  <w:tcW w:w="520" w:type="pct"/>
                  <w:vAlign w:val="center"/>
                </w:tcPr>
                <w:p w14:paraId="5829A1F5">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c>
                <w:tcPr>
                  <w:tcW w:w="396" w:type="pct"/>
                  <w:vAlign w:val="center"/>
                </w:tcPr>
                <w:p w14:paraId="703BB40B">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c>
                <w:tcPr>
                  <w:tcW w:w="552" w:type="pct"/>
                  <w:vAlign w:val="center"/>
                </w:tcPr>
                <w:p w14:paraId="0F7465F0">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c>
                <w:tcPr>
                  <w:tcW w:w="473" w:type="pct"/>
                  <w:vAlign w:val="center"/>
                </w:tcPr>
                <w:p w14:paraId="4DFA9BAD">
                  <w:pPr>
                    <w:pStyle w:val="51"/>
                    <w:keepNext w:val="0"/>
                    <w:keepLines w:val="0"/>
                    <w:pageBreakBefore w:val="0"/>
                    <w:widowControl w:val="0"/>
                    <w:kinsoku/>
                    <w:wordWrap/>
                    <w:overflowPunct/>
                    <w:topLinePunct w:val="0"/>
                    <w:autoSpaceDE/>
                    <w:autoSpaceDN/>
                    <w:bidi w:val="0"/>
                    <w:spacing w:beforeLines="0" w:afterLines="0"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c>
                <w:tcPr>
                  <w:tcW w:w="416" w:type="pct"/>
                  <w:vAlign w:val="center"/>
                </w:tcPr>
                <w:p w14:paraId="67FAC7CE">
                  <w:pPr>
                    <w:keepNext w:val="0"/>
                    <w:keepLines w:val="0"/>
                    <w:pageBreakBefore w:val="0"/>
                    <w:widowControl w:val="0"/>
                    <w:kinsoku/>
                    <w:wordWrap/>
                    <w:overflowPunct/>
                    <w:topLinePunct w:val="0"/>
                    <w:autoSpaceDE/>
                    <w:autoSpaceDN/>
                    <w:bidi w:val="0"/>
                    <w:spacing w:line="240" w:lineRule="auto"/>
                    <w:ind w:firstLine="0" w:firstLineChars="0"/>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c>
                <w:tcPr>
                  <w:tcW w:w="452" w:type="pct"/>
                  <w:vAlign w:val="center"/>
                </w:tcPr>
                <w:p w14:paraId="027DA789">
                  <w:pPr>
                    <w:keepNext w:val="0"/>
                    <w:keepLines w:val="0"/>
                    <w:pageBreakBefore w:val="0"/>
                    <w:widowControl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c>
                <w:tcPr>
                  <w:tcW w:w="452" w:type="pct"/>
                  <w:vAlign w:val="center"/>
                </w:tcPr>
                <w:p w14:paraId="3F48FB03">
                  <w:pPr>
                    <w:keepNext w:val="0"/>
                    <w:keepLines w:val="0"/>
                    <w:pageBreakBefore w:val="0"/>
                    <w:widowControl w:val="0"/>
                    <w:kinsoku/>
                    <w:wordWrap/>
                    <w:overflowPunct/>
                    <w:topLinePunct w:val="0"/>
                    <w:autoSpaceDE/>
                    <w:autoSpaceDN/>
                    <w:bidi w:val="0"/>
                    <w:spacing w:line="240" w:lineRule="auto"/>
                    <w:ind w:firstLine="0" w:firstLineChars="0"/>
                    <w:jc w:val="center"/>
                    <w:rPr>
                      <w:rFonts w:hint="eastAsia"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c>
                <w:tcPr>
                  <w:tcW w:w="452" w:type="pct"/>
                  <w:vAlign w:val="center"/>
                </w:tcPr>
                <w:p w14:paraId="6FDCDCEA">
                  <w:pPr>
                    <w:keepNext w:val="0"/>
                    <w:keepLines w:val="0"/>
                    <w:pageBreakBefore w:val="0"/>
                    <w:widowControl w:val="0"/>
                    <w:kinsoku/>
                    <w:wordWrap/>
                    <w:overflowPunct/>
                    <w:topLinePunct w:val="0"/>
                    <w:autoSpaceDE/>
                    <w:autoSpaceDN/>
                    <w:bidi w:val="0"/>
                    <w:spacing w:line="240" w:lineRule="auto"/>
                    <w:ind w:firstLine="0" w:firstLineChars="0"/>
                    <w:jc w:val="center"/>
                    <w:rPr>
                      <w:rFonts w:hint="eastAsia"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bl>
          <w:p w14:paraId="52123826">
            <w:pPr>
              <w:pStyle w:val="118"/>
              <w:keepNext w:val="0"/>
              <w:keepLines w:val="0"/>
              <w:pageBreakBefore w:val="0"/>
              <w:widowControl w:val="0"/>
              <w:kinsoku/>
              <w:wordWrap/>
              <w:overflowPunct/>
              <w:topLinePunct w:val="0"/>
              <w:autoSpaceDE/>
              <w:autoSpaceDN/>
              <w:bidi w:val="0"/>
              <w:spacing w:line="440" w:lineRule="exact"/>
              <w:jc w:val="both"/>
              <w:textAlignment w:val="auto"/>
              <w:rPr>
                <w:rFonts w:hint="eastAsia" w:cs="Times New Roman"/>
                <w:b w:val="0"/>
                <w:bCs w:val="0"/>
                <w:color w:val="000000" w:themeColor="text1"/>
                <w:u w:val="none" w:color="auto"/>
                <w:lang w:val="en-US" w:eastAsia="zh-CN"/>
                <w14:textFill>
                  <w14:solidFill>
                    <w14:schemeClr w14:val="tx1"/>
                  </w14:solidFill>
                </w14:textFill>
              </w:rPr>
            </w:pPr>
            <w:r>
              <w:rPr>
                <w:rFonts w:hint="eastAsia" w:cs="Times New Roman"/>
                <w:b w:val="0"/>
                <w:bCs w:val="0"/>
                <w:color w:val="000000" w:themeColor="text1"/>
                <w:u w:val="none" w:color="auto"/>
                <w:lang w:val="en-US" w:eastAsia="zh-CN"/>
                <w14:textFill>
                  <w14:solidFill>
                    <w14:schemeClr w14:val="tx1"/>
                  </w14:solidFill>
                </w14:textFill>
              </w:rPr>
              <w:t>综上</w:t>
            </w:r>
            <w:r>
              <w:rPr>
                <w:rFonts w:hint="eastAsia" w:ascii="Times New Roman" w:hAnsi="Times New Roman" w:eastAsia="宋体" w:cs="Times New Roman"/>
                <w:b w:val="0"/>
                <w:bCs w:val="0"/>
                <w:color w:val="000000" w:themeColor="text1"/>
                <w:u w:val="none" w:color="auto"/>
                <w:lang w:val="en-US" w:eastAsia="zh-CN"/>
                <w14:textFill>
                  <w14:solidFill>
                    <w14:schemeClr w14:val="tx1"/>
                  </w14:solidFill>
                </w14:textFill>
              </w:rPr>
              <w:t>，</w:t>
            </w:r>
            <w:r>
              <w:rPr>
                <w:rFonts w:hint="default" w:ascii="Times New Roman" w:hAnsi="Times New Roman" w:eastAsia="宋体" w:cs="Times New Roman"/>
                <w:highlight w:val="none"/>
                <w:u w:val="none" w:color="auto"/>
                <w:lang w:val="en-US" w:eastAsia="zh-CN"/>
              </w:rPr>
              <w:t>本项目设备</w:t>
            </w:r>
            <w:r>
              <w:rPr>
                <w:rFonts w:hint="eastAsia" w:cs="Times New Roman"/>
                <w:highlight w:val="none"/>
                <w:u w:val="none" w:color="auto"/>
                <w:lang w:val="en-US" w:eastAsia="zh-CN"/>
              </w:rPr>
              <w:t>、地面</w:t>
            </w:r>
            <w:r>
              <w:rPr>
                <w:rFonts w:hint="default" w:ascii="Times New Roman" w:hAnsi="Times New Roman" w:eastAsia="宋体" w:cs="Times New Roman"/>
                <w:highlight w:val="none"/>
                <w:u w:val="none" w:color="auto"/>
                <w:lang w:val="en-US" w:eastAsia="zh-CN"/>
              </w:rPr>
              <w:t>清洗废水经</w:t>
            </w:r>
            <w:r>
              <w:rPr>
                <w:rFonts w:hint="eastAsia" w:cs="Times New Roman"/>
                <w:highlight w:val="none"/>
                <w:u w:val="none" w:color="auto"/>
                <w:lang w:val="en-US" w:eastAsia="zh-CN"/>
              </w:rPr>
              <w:t>化学混凝沉淀预处理后废水可</w:t>
            </w:r>
            <w:r>
              <w:rPr>
                <w:rFonts w:hint="default" w:ascii="Times New Roman" w:hAnsi="Times New Roman" w:eastAsia="宋体" w:cs="Times New Roman"/>
                <w:highlight w:val="none"/>
                <w:u w:val="none" w:color="auto"/>
                <w:lang w:val="en-US" w:eastAsia="zh-CN"/>
              </w:rPr>
              <w:t>达到</w:t>
            </w:r>
            <w:r>
              <w:rPr>
                <w:rFonts w:hint="eastAsia" w:cs="Times New Roman"/>
                <w:highlight w:val="none"/>
                <w:u w:val="none" w:color="auto"/>
                <w:lang w:val="en-US" w:eastAsia="zh-CN"/>
              </w:rPr>
              <w:t>《电池工业污染物排放标准》（GB30484-2013）表2车间处理设施排口（DW003）排放限值要求（总钴0.1</w:t>
            </w:r>
            <w:r>
              <w:rPr>
                <w:rFonts w:hint="default" w:ascii="Times New Roman" w:hAnsi="Times New Roman" w:eastAsia="宋体" w:cs="Times New Roman"/>
                <w:highlight w:val="none"/>
                <w:u w:val="none" w:color="auto"/>
                <w:lang w:val="en-US" w:eastAsia="zh-CN"/>
              </w:rPr>
              <w:t>mg/L</w:t>
            </w:r>
            <w:r>
              <w:rPr>
                <w:rFonts w:hint="eastAsia" w:eastAsia="宋体" w:cs="Times New Roman"/>
                <w:highlight w:val="none"/>
                <w:u w:val="none" w:color="auto"/>
                <w:lang w:val="en-US" w:eastAsia="zh-CN"/>
              </w:rPr>
              <w:t>、总镍0.5</w:t>
            </w:r>
            <w:r>
              <w:rPr>
                <w:rFonts w:hint="default" w:ascii="Times New Roman" w:hAnsi="Times New Roman" w:eastAsia="宋体" w:cs="Times New Roman"/>
                <w:highlight w:val="none"/>
                <w:u w:val="none" w:color="auto"/>
                <w:lang w:val="en-US" w:eastAsia="zh-CN"/>
              </w:rPr>
              <w:t>mg/L</w:t>
            </w:r>
            <w:r>
              <w:rPr>
                <w:rFonts w:hint="eastAsia" w:cs="Times New Roman"/>
                <w:highlight w:val="none"/>
                <w:u w:val="none" w:color="auto"/>
                <w:lang w:val="en-US" w:eastAsia="zh-CN"/>
              </w:rPr>
              <w:t>）。</w:t>
            </w:r>
            <w:r>
              <w:rPr>
                <w:rFonts w:hint="eastAsia" w:ascii="Times New Roman" w:hAnsi="Times New Roman" w:eastAsia="宋体" w:cs="Times New Roman"/>
                <w:b w:val="0"/>
                <w:bCs w:val="0"/>
                <w:color w:val="000000" w:themeColor="text1"/>
                <w:u w:val="none" w:color="auto"/>
                <w:lang w:val="en-US" w:eastAsia="zh-CN"/>
                <w14:textFill>
                  <w14:solidFill>
                    <w14:schemeClr w14:val="tx1"/>
                  </w14:solidFill>
                </w14:textFill>
              </w:rPr>
              <w:t>本项目</w:t>
            </w:r>
            <w:r>
              <w:rPr>
                <w:rFonts w:hint="eastAsia" w:cs="Times New Roman"/>
                <w:b w:val="0"/>
                <w:bCs w:val="0"/>
                <w:color w:val="000000" w:themeColor="text1"/>
                <w:u w:val="none" w:color="auto"/>
                <w:lang w:val="en-US" w:eastAsia="zh-CN"/>
                <w14:textFill>
                  <w14:solidFill>
                    <w14:schemeClr w14:val="tx1"/>
                  </w14:solidFill>
                </w14:textFill>
              </w:rPr>
              <w:t>生产</w:t>
            </w:r>
            <w:r>
              <w:rPr>
                <w:rFonts w:hint="eastAsia" w:ascii="Times New Roman" w:hAnsi="Times New Roman" w:eastAsia="宋体" w:cs="Times New Roman"/>
                <w:b w:val="0"/>
                <w:bCs w:val="0"/>
                <w:color w:val="000000" w:themeColor="text1"/>
                <w:u w:val="none" w:color="auto"/>
                <w:lang w:val="en-US" w:eastAsia="zh-CN"/>
                <w14:textFill>
                  <w14:solidFill>
                    <w14:schemeClr w14:val="tx1"/>
                  </w14:solidFill>
                </w14:textFill>
              </w:rPr>
              <w:t>废水</w:t>
            </w:r>
            <w:r>
              <w:rPr>
                <w:rFonts w:hint="eastAsia" w:cs="Times New Roman"/>
                <w:b w:val="0"/>
                <w:bCs w:val="0"/>
                <w:color w:val="000000" w:themeColor="text1"/>
                <w:u w:val="none" w:color="auto"/>
                <w:lang w:val="en-US" w:eastAsia="zh-CN"/>
                <w14:textFill>
                  <w14:solidFill>
                    <w14:schemeClr w14:val="tx1"/>
                  </w14:solidFill>
                </w14:textFill>
              </w:rPr>
              <w:t>经厂区污水处理站处理后</w:t>
            </w:r>
            <w:r>
              <w:rPr>
                <w:rFonts w:hint="eastAsia" w:ascii="Times New Roman" w:hAnsi="Times New Roman" w:eastAsia="宋体" w:cs="Times New Roman"/>
                <w:b w:val="0"/>
                <w:bCs w:val="0"/>
                <w:color w:val="000000" w:themeColor="text1"/>
                <w:u w:val="none" w:color="auto"/>
                <w:lang w:val="en-US" w:eastAsia="zh-CN"/>
                <w14:textFill>
                  <w14:solidFill>
                    <w14:schemeClr w14:val="tx1"/>
                  </w14:solidFill>
                </w14:textFill>
              </w:rPr>
              <w:t>能够满足《电池工业污染物排放标准》（GB30484-2013）表2规定排放限值，同时满足</w:t>
            </w:r>
            <w:r>
              <w:rPr>
                <w:rFonts w:hint="eastAsia" w:cs="Times New Roman"/>
                <w:b w:val="0"/>
                <w:bCs w:val="0"/>
                <w:color w:val="000000" w:themeColor="text1"/>
                <w:u w:val="none" w:color="auto"/>
                <w:lang w:val="en-US" w:eastAsia="zh-CN"/>
                <w14:textFill>
                  <w14:solidFill>
                    <w14:schemeClr w14:val="tx1"/>
                  </w14:solidFill>
                </w14:textFill>
              </w:rPr>
              <w:t>新乡市贾屯</w:t>
            </w:r>
            <w:r>
              <w:rPr>
                <w:rFonts w:hint="eastAsia" w:ascii="Times New Roman" w:hAnsi="Times New Roman" w:eastAsia="宋体" w:cs="Times New Roman"/>
                <w:b w:val="0"/>
                <w:bCs w:val="0"/>
                <w:color w:val="000000" w:themeColor="text1"/>
                <w:u w:val="none" w:color="auto"/>
                <w:lang w:val="en-US" w:eastAsia="zh-CN"/>
                <w14:textFill>
                  <w14:solidFill>
                    <w14:schemeClr w14:val="tx1"/>
                  </w14:solidFill>
                </w14:textFill>
              </w:rPr>
              <w:t>污水处理厂收水水质标准</w:t>
            </w:r>
            <w:r>
              <w:rPr>
                <w:rFonts w:hint="eastAsia" w:cs="Times New Roman"/>
                <w:b w:val="0"/>
                <w:bCs w:val="0"/>
                <w:color w:val="000000" w:themeColor="text1"/>
                <w:u w:val="none" w:color="auto"/>
                <w:lang w:val="en-US" w:eastAsia="zh-CN"/>
                <w14:textFill>
                  <w14:solidFill>
                    <w14:schemeClr w14:val="tx1"/>
                  </w14:solidFill>
                </w14:textFill>
              </w:rPr>
              <w:t>。</w:t>
            </w:r>
          </w:p>
          <w:p w14:paraId="170D6FB8">
            <w:pPr>
              <w:pStyle w:val="118"/>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eastAsia="宋体" w:cs="Times New Roman"/>
                <w:b w:val="0"/>
                <w:bCs w:val="0"/>
                <w:color w:val="000000" w:themeColor="text1"/>
                <w:u w:val="none" w:color="auto"/>
                <w:lang w:val="en-US" w:eastAsia="zh-CN"/>
                <w14:textFill>
                  <w14:solidFill>
                    <w14:schemeClr w14:val="tx1"/>
                  </w14:solidFill>
                </w14:textFill>
              </w:rPr>
            </w:pPr>
            <w:r>
              <w:rPr>
                <w:rFonts w:hint="eastAsia" w:cs="Times New Roman"/>
                <w:b w:val="0"/>
                <w:bCs w:val="0"/>
                <w:color w:val="000000" w:themeColor="text1"/>
                <w:u w:val="none" w:color="auto"/>
                <w:lang w:val="en-US" w:eastAsia="zh-CN"/>
                <w14:textFill>
                  <w14:solidFill>
                    <w14:schemeClr w14:val="tx1"/>
                  </w14:solidFill>
                </w14:textFill>
              </w:rPr>
              <w:t>本项目废水包含生活污水以及生产废水，</w:t>
            </w:r>
            <w:r>
              <w:rPr>
                <w:rFonts w:hint="eastAsia" w:ascii="Times New Roman" w:hAnsi="Times New Roman" w:eastAsia="宋体" w:cs="Times New Roman"/>
                <w:b w:val="0"/>
                <w:bCs w:val="0"/>
                <w:color w:val="000000" w:themeColor="text1"/>
                <w:u w:val="none" w:color="auto"/>
                <w:lang w:val="en-US" w:eastAsia="zh-CN"/>
                <w14:textFill>
                  <w14:solidFill>
                    <w14:schemeClr w14:val="tx1"/>
                  </w14:solidFill>
                </w14:textFill>
              </w:rPr>
              <w:t>污水总量为</w:t>
            </w:r>
            <w:r>
              <w:rPr>
                <w:rFonts w:hint="eastAsia" w:cs="Times New Roman"/>
                <w:b w:val="0"/>
                <w:bCs w:val="0"/>
                <w:color w:val="000000" w:themeColor="text1"/>
                <w:u w:val="none" w:color="auto"/>
                <w:lang w:val="en-US" w:eastAsia="zh-CN"/>
                <w14:textFill>
                  <w14:solidFill>
                    <w14:schemeClr w14:val="tx1"/>
                  </w14:solidFill>
                </w14:textFill>
              </w:rPr>
              <w:t>90.47</w:t>
            </w:r>
            <w:r>
              <w:rPr>
                <w:rFonts w:hint="eastAsia" w:ascii="Times New Roman" w:hAnsi="Times New Roman" w:eastAsia="宋体" w:cs="Times New Roman"/>
                <w:b w:val="0"/>
                <w:bCs w:val="0"/>
                <w:color w:val="000000" w:themeColor="text1"/>
                <w:u w:val="none" w:color="auto"/>
                <w:lang w:val="en-US" w:eastAsia="zh-CN"/>
                <w14:textFill>
                  <w14:solidFill>
                    <w14:schemeClr w14:val="tx1"/>
                  </w14:solidFill>
                </w14:textFill>
              </w:rPr>
              <w:t>t/d（</w:t>
            </w:r>
            <w:r>
              <w:rPr>
                <w:rFonts w:hint="eastAsia" w:cs="Times New Roman"/>
                <w:b w:val="0"/>
                <w:bCs w:val="0"/>
                <w:color w:val="000000" w:themeColor="text1"/>
                <w:u w:val="none" w:color="auto"/>
                <w:lang w:val="en-US" w:eastAsia="zh-CN"/>
                <w14:textFill>
                  <w14:solidFill>
                    <w14:schemeClr w14:val="tx1"/>
                  </w14:solidFill>
                </w14:textFill>
              </w:rPr>
              <w:t>29855.1</w:t>
            </w:r>
            <w:r>
              <w:rPr>
                <w:rFonts w:hint="eastAsia" w:ascii="Times New Roman" w:hAnsi="Times New Roman" w:eastAsia="宋体" w:cs="Times New Roman"/>
                <w:b w:val="0"/>
                <w:bCs w:val="0"/>
                <w:color w:val="000000" w:themeColor="text1"/>
                <w:u w:val="none" w:color="auto"/>
                <w:lang w:val="en-US" w:eastAsia="zh-CN"/>
                <w14:textFill>
                  <w14:solidFill>
                    <w14:schemeClr w14:val="tx1"/>
                  </w14:solidFill>
                </w14:textFill>
              </w:rPr>
              <w:t>t/a）</w:t>
            </w:r>
            <w:r>
              <w:rPr>
                <w:rFonts w:hint="eastAsia" w:cs="Times New Roman"/>
                <w:b w:val="0"/>
                <w:bCs w:val="0"/>
                <w:color w:val="000000" w:themeColor="text1"/>
                <w:u w:val="none" w:color="auto"/>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u w:val="none" w:color="auto"/>
                <w:lang w:val="en-US" w:eastAsia="zh-CN"/>
                <w14:textFill>
                  <w14:solidFill>
                    <w14:schemeClr w14:val="tx1"/>
                  </w14:solidFill>
                </w14:textFill>
              </w:rPr>
              <w:t>能够满足《电池工业污染物排放标准》（GB30484-2013）表2规定排放量0.8 m</w:t>
            </w:r>
            <w:r>
              <w:rPr>
                <w:rFonts w:hint="eastAsia" w:ascii="Times New Roman" w:hAnsi="Times New Roman" w:eastAsia="宋体" w:cs="Times New Roman"/>
                <w:b w:val="0"/>
                <w:bCs w:val="0"/>
                <w:color w:val="000000" w:themeColor="text1"/>
                <w:u w:val="none" w:color="auto"/>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u w:val="none" w:color="auto"/>
                <w:lang w:val="en-US" w:eastAsia="zh-CN"/>
                <w14:textFill>
                  <w14:solidFill>
                    <w14:schemeClr w14:val="tx1"/>
                  </w14:solidFill>
                </w14:textFill>
              </w:rPr>
              <w:t>/万只的要求（即</w:t>
            </w:r>
            <w:r>
              <w:rPr>
                <w:rFonts w:hint="eastAsia" w:cs="Times New Roman"/>
                <w:b w:val="0"/>
                <w:bCs w:val="0"/>
                <w:color w:val="000000" w:themeColor="text1"/>
                <w:u w:val="none" w:color="auto"/>
                <w:lang w:val="en-US" w:eastAsia="zh-CN"/>
                <w14:textFill>
                  <w14:solidFill>
                    <w14:schemeClr w14:val="tx1"/>
                  </w14:solidFill>
                </w14:textFill>
              </w:rPr>
              <w:t>48000</w:t>
            </w:r>
            <w:r>
              <w:rPr>
                <w:rFonts w:hint="eastAsia" w:ascii="Times New Roman" w:hAnsi="Times New Roman" w:eastAsia="宋体" w:cs="Times New Roman"/>
                <w:b w:val="0"/>
                <w:bCs w:val="0"/>
                <w:color w:val="000000" w:themeColor="text1"/>
                <w:u w:val="none" w:color="auto"/>
                <w:lang w:val="en-US" w:eastAsia="zh-CN"/>
                <w14:textFill>
                  <w14:solidFill>
                    <w14:schemeClr w14:val="tx1"/>
                  </w14:solidFill>
                </w14:textFill>
              </w:rPr>
              <w:t>t/a）。</w:t>
            </w:r>
          </w:p>
          <w:p w14:paraId="7C2B36FE">
            <w:pPr>
              <w:pStyle w:val="118"/>
              <w:keepNext w:val="0"/>
              <w:keepLines w:val="0"/>
              <w:pageBreakBefore w:val="0"/>
              <w:widowControl w:val="0"/>
              <w:kinsoku/>
              <w:wordWrap/>
              <w:overflowPunct/>
              <w:topLinePunct w:val="0"/>
              <w:autoSpaceDE/>
              <w:autoSpaceDN/>
              <w:bidi w:val="0"/>
              <w:spacing w:line="440" w:lineRule="exact"/>
              <w:jc w:val="both"/>
              <w:textAlignment w:val="auto"/>
              <w:rPr>
                <w:rFonts w:hint="default" w:ascii="Times New Roman" w:hAnsi="Times New Roman" w:eastAsia="宋体" w:cs="Times New Roman"/>
                <w:b/>
                <w:bCs/>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b/>
                <w:bCs/>
                <w:color w:val="000000" w:themeColor="text1"/>
                <w:u w:val="none" w:color="auto"/>
                <w:lang w:val="en-US" w:eastAsia="zh-CN"/>
                <w14:textFill>
                  <w14:solidFill>
                    <w14:schemeClr w14:val="tx1"/>
                  </w14:solidFill>
                </w14:textFill>
              </w:rPr>
              <w:t>（</w:t>
            </w:r>
            <w:r>
              <w:rPr>
                <w:rFonts w:hint="eastAsia" w:cs="Times New Roman"/>
                <w:b/>
                <w:bCs/>
                <w:color w:val="000000" w:themeColor="text1"/>
                <w:u w:val="none" w:color="auto"/>
                <w:lang w:val="en-US" w:eastAsia="zh-CN"/>
                <w14:textFill>
                  <w14:solidFill>
                    <w14:schemeClr w14:val="tx1"/>
                  </w14:solidFill>
                </w14:textFill>
              </w:rPr>
              <w:t>二</w:t>
            </w:r>
            <w:r>
              <w:rPr>
                <w:rFonts w:hint="eastAsia" w:ascii="Times New Roman" w:hAnsi="Times New Roman" w:eastAsia="宋体" w:cs="Times New Roman"/>
                <w:b/>
                <w:bCs/>
                <w:color w:val="000000" w:themeColor="text1"/>
                <w:u w:val="none" w:color="auto"/>
                <w:lang w:val="en-US" w:eastAsia="zh-CN"/>
                <w14:textFill>
                  <w14:solidFill>
                    <w14:schemeClr w14:val="tx1"/>
                  </w14:solidFill>
                </w14:textFill>
              </w:rPr>
              <w:t>）</w:t>
            </w:r>
            <w:r>
              <w:rPr>
                <w:rFonts w:hint="eastAsia" w:cs="Times New Roman"/>
                <w:b/>
                <w:bCs/>
                <w:color w:val="000000" w:themeColor="text1"/>
                <w:u w:val="none" w:color="auto"/>
                <w:lang w:val="en-US" w:eastAsia="zh-CN"/>
                <w14:textFill>
                  <w14:solidFill>
                    <w14:schemeClr w14:val="tx1"/>
                  </w14:solidFill>
                </w14:textFill>
              </w:rPr>
              <w:t>废水进入</w:t>
            </w:r>
            <w:r>
              <w:rPr>
                <w:rFonts w:hint="eastAsia"/>
                <w:b/>
                <w:bCs/>
                <w:color w:val="000000"/>
                <w:sz w:val="24"/>
                <w:u w:val="none" w:color="auto"/>
                <w:lang w:val="en-US" w:eastAsia="zh-CN"/>
              </w:rPr>
              <w:t>新乡市贾屯</w:t>
            </w:r>
            <w:r>
              <w:rPr>
                <w:b/>
                <w:bCs/>
                <w:color w:val="000000"/>
                <w:sz w:val="24"/>
                <w:u w:val="none" w:color="auto"/>
              </w:rPr>
              <w:t>污水处理厂</w:t>
            </w:r>
            <w:r>
              <w:rPr>
                <w:rFonts w:hint="eastAsia" w:ascii="Times New Roman" w:hAnsi="Times New Roman" w:eastAsia="宋体" w:cs="Times New Roman"/>
                <w:b/>
                <w:bCs/>
                <w:color w:val="000000" w:themeColor="text1"/>
                <w:u w:val="none" w:color="auto"/>
                <w:lang w:val="en-US" w:eastAsia="zh-CN"/>
                <w14:textFill>
                  <w14:solidFill>
                    <w14:schemeClr w14:val="tx1"/>
                  </w14:solidFill>
                </w14:textFill>
              </w:rPr>
              <w:t>可行性分析</w:t>
            </w:r>
          </w:p>
          <w:p w14:paraId="372CD4F0">
            <w:pPr>
              <w:tabs>
                <w:tab w:val="left" w:pos="3620"/>
              </w:tabs>
              <w:adjustRightInd w:val="0"/>
              <w:snapToGrid w:val="0"/>
              <w:spacing w:line="440" w:lineRule="exact"/>
              <w:ind w:firstLine="480" w:firstLineChars="200"/>
              <w:jc w:val="both"/>
              <w:rPr>
                <w:sz w:val="24"/>
                <w:u w:val="none" w:color="auto"/>
              </w:rPr>
            </w:pPr>
            <w:r>
              <w:rPr>
                <w:rFonts w:hint="eastAsia"/>
                <w:sz w:val="24"/>
                <w:u w:val="none" w:color="auto"/>
              </w:rPr>
              <w:t>①污水水量接管可行</w:t>
            </w:r>
            <w:r>
              <w:rPr>
                <w:sz w:val="24"/>
                <w:u w:val="none" w:color="auto"/>
              </w:rPr>
              <w:t>性分析</w:t>
            </w:r>
          </w:p>
          <w:p w14:paraId="4D939593">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jc w:val="both"/>
              <w:textAlignment w:val="auto"/>
              <w:rPr>
                <w:rFonts w:hint="eastAsia" w:eastAsia="宋体"/>
                <w:sz w:val="24"/>
                <w:u w:val="none" w:color="auto"/>
                <w:lang w:eastAsia="zh-CN"/>
              </w:rPr>
            </w:pPr>
            <w:r>
              <w:rPr>
                <w:rFonts w:hint="eastAsia"/>
                <w:sz w:val="24"/>
                <w:u w:val="none" w:color="auto"/>
              </w:rPr>
              <w:t>新乡市贾屯污水处理厂位于河南省新乡市卫滨区贾屯村（新乡市和平路以西、东孟姜女河以北、规划静泉路以南、劳动街以东），设计处理规模为30万m</w:t>
            </w:r>
            <w:r>
              <w:rPr>
                <w:rFonts w:hint="eastAsia"/>
                <w:sz w:val="24"/>
                <w:u w:val="none" w:color="auto"/>
                <w:vertAlign w:val="superscript"/>
                <w:lang w:val="en-US" w:eastAsia="zh-CN"/>
              </w:rPr>
              <w:t>3</w:t>
            </w:r>
            <w:r>
              <w:rPr>
                <w:rFonts w:hint="eastAsia"/>
                <w:sz w:val="24"/>
                <w:u w:val="none" w:color="auto"/>
              </w:rPr>
              <w:t>/d，分两期建设。一期15万m</w:t>
            </w:r>
            <w:r>
              <w:rPr>
                <w:rFonts w:hint="eastAsia"/>
                <w:sz w:val="24"/>
                <w:u w:val="none" w:color="auto"/>
                <w:vertAlign w:val="superscript"/>
              </w:rPr>
              <w:t>3</w:t>
            </w:r>
            <w:r>
              <w:rPr>
                <w:rFonts w:hint="eastAsia"/>
                <w:sz w:val="24"/>
                <w:u w:val="none" w:color="auto"/>
              </w:rPr>
              <w:t>/d已建成运行，二期还未建设。新乡市贾屯污水处理厂的收水范围包括赵定排以南的新乡市高新技术开发区和东南区、新乡县中心城区、纸制品工业园区、朗公庙镇。本项目位于</w:t>
            </w:r>
            <w:r>
              <w:rPr>
                <w:rFonts w:hint="default" w:eastAsia="宋体"/>
                <w:sz w:val="24"/>
                <w:u w:val="none" w:color="auto"/>
                <w:lang w:val="en-US" w:eastAsia="zh-CN"/>
              </w:rPr>
              <w:t>新乡市新乡高新技术产业开发区新中大道与德源路交叉口西南角</w:t>
            </w:r>
            <w:r>
              <w:rPr>
                <w:rFonts w:hint="eastAsia"/>
                <w:sz w:val="24"/>
                <w:u w:val="none" w:color="auto"/>
              </w:rPr>
              <w:t>，属于新乡市贾屯污水处理厂的收水范围。经查阅新乡市贾屯污水处理厂在线数据可知，该污水处理厂实际收水量为13.38万m</w:t>
            </w:r>
            <w:r>
              <w:rPr>
                <w:rFonts w:hint="eastAsia"/>
                <w:sz w:val="24"/>
                <w:u w:val="none" w:color="auto"/>
                <w:vertAlign w:val="superscript"/>
              </w:rPr>
              <w:t>3</w:t>
            </w:r>
            <w:r>
              <w:rPr>
                <w:rFonts w:hint="eastAsia"/>
                <w:sz w:val="24"/>
                <w:u w:val="none" w:color="auto"/>
              </w:rPr>
              <w:t>/d，尚有1.62万m</w:t>
            </w:r>
            <w:r>
              <w:rPr>
                <w:rFonts w:hint="eastAsia"/>
                <w:sz w:val="24"/>
                <w:u w:val="none" w:color="auto"/>
                <w:vertAlign w:val="superscript"/>
              </w:rPr>
              <w:t>3</w:t>
            </w:r>
            <w:r>
              <w:rPr>
                <w:rFonts w:hint="eastAsia"/>
                <w:sz w:val="24"/>
                <w:u w:val="none" w:color="auto"/>
              </w:rPr>
              <w:t>/d的余量。本项目新增废水排放量</w:t>
            </w:r>
            <w:r>
              <w:rPr>
                <w:rFonts w:hint="eastAsia"/>
                <w:color w:val="000000" w:themeColor="text1"/>
                <w:sz w:val="24"/>
                <w:u w:val="none" w:color="auto"/>
                <w14:textFill>
                  <w14:solidFill>
                    <w14:schemeClr w14:val="tx1"/>
                  </w14:solidFill>
                </w14:textFill>
              </w:rPr>
              <w:t>为</w:t>
            </w:r>
            <w:r>
              <w:rPr>
                <w:rFonts w:hint="eastAsia"/>
                <w:color w:val="000000" w:themeColor="text1"/>
                <w:sz w:val="24"/>
                <w:u w:val="none" w:color="auto"/>
                <w:lang w:val="en-US" w:eastAsia="zh-CN"/>
                <w14:textFill>
                  <w14:solidFill>
                    <w14:schemeClr w14:val="tx1"/>
                  </w14:solidFill>
                </w14:textFill>
              </w:rPr>
              <w:t>90.47</w:t>
            </w:r>
            <w:r>
              <w:rPr>
                <w:rFonts w:hint="eastAsia"/>
                <w:color w:val="000000" w:themeColor="text1"/>
                <w:sz w:val="24"/>
                <w:u w:val="none" w:color="auto"/>
                <w14:textFill>
                  <w14:solidFill>
                    <w14:schemeClr w14:val="tx1"/>
                  </w14:solidFill>
                </w14:textFill>
              </w:rPr>
              <w:t>m</w:t>
            </w:r>
            <w:r>
              <w:rPr>
                <w:rFonts w:hint="eastAsia"/>
                <w:color w:val="000000" w:themeColor="text1"/>
                <w:sz w:val="24"/>
                <w:u w:val="none" w:color="auto"/>
                <w:vertAlign w:val="superscript"/>
                <w14:textFill>
                  <w14:solidFill>
                    <w14:schemeClr w14:val="tx1"/>
                  </w14:solidFill>
                </w14:textFill>
              </w:rPr>
              <w:t>3</w:t>
            </w:r>
            <w:r>
              <w:rPr>
                <w:rFonts w:hint="eastAsia"/>
                <w:color w:val="000000" w:themeColor="text1"/>
                <w:sz w:val="24"/>
                <w:u w:val="none" w:color="auto"/>
                <w14:textFill>
                  <w14:solidFill>
                    <w14:schemeClr w14:val="tx1"/>
                  </w14:solidFill>
                </w14:textFill>
              </w:rPr>
              <w:t>/d，仅占剩余处理能力的</w:t>
            </w:r>
            <w:r>
              <w:rPr>
                <w:rFonts w:hint="eastAsia"/>
                <w:color w:val="000000" w:themeColor="text1"/>
                <w:sz w:val="24"/>
                <w:u w:val="none" w:color="auto"/>
                <w:lang w:val="en-US" w:eastAsia="zh-CN"/>
                <w14:textFill>
                  <w14:solidFill>
                    <w14:schemeClr w14:val="tx1"/>
                  </w14:solidFill>
                </w14:textFill>
              </w:rPr>
              <w:t>0.6</w:t>
            </w:r>
            <w:r>
              <w:rPr>
                <w:rFonts w:hint="eastAsia"/>
                <w:color w:val="000000" w:themeColor="text1"/>
                <w:sz w:val="24"/>
                <w:u w:val="none" w:color="auto"/>
                <w14:textFill>
                  <w14:solidFill>
                    <w14:schemeClr w14:val="tx1"/>
                  </w14:solidFill>
                </w14:textFill>
              </w:rPr>
              <w:t>%，</w:t>
            </w:r>
            <w:r>
              <w:rPr>
                <w:color w:val="000000" w:themeColor="text1"/>
                <w:sz w:val="24"/>
                <w:u w:val="none" w:color="auto"/>
                <w14:textFill>
                  <w14:solidFill>
                    <w14:schemeClr w14:val="tx1"/>
                  </w14:solidFill>
                </w14:textFill>
              </w:rPr>
              <w:t>从水</w:t>
            </w:r>
            <w:r>
              <w:rPr>
                <w:sz w:val="24"/>
                <w:u w:val="none" w:color="auto"/>
              </w:rPr>
              <w:t>量接管量上讲，</w:t>
            </w:r>
            <w:r>
              <w:rPr>
                <w:rFonts w:hint="eastAsia"/>
                <w:sz w:val="24"/>
                <w:u w:val="none" w:color="auto"/>
              </w:rPr>
              <w:t>新乡市贾屯污水处理厂</w:t>
            </w:r>
            <w:r>
              <w:rPr>
                <w:sz w:val="24"/>
                <w:u w:val="none" w:color="auto"/>
              </w:rPr>
              <w:t>有能力接纳</w:t>
            </w:r>
            <w:r>
              <w:rPr>
                <w:rFonts w:hint="eastAsia"/>
                <w:sz w:val="24"/>
                <w:u w:val="none" w:color="auto"/>
              </w:rPr>
              <w:t>本</w:t>
            </w:r>
            <w:r>
              <w:rPr>
                <w:sz w:val="24"/>
                <w:u w:val="none" w:color="auto"/>
              </w:rPr>
              <w:t>项目的废水</w:t>
            </w:r>
            <w:r>
              <w:rPr>
                <w:rFonts w:hint="eastAsia"/>
                <w:sz w:val="24"/>
                <w:u w:val="none" w:color="auto"/>
                <w:lang w:eastAsia="zh-CN"/>
              </w:rPr>
              <w:t>，</w:t>
            </w:r>
            <w:r>
              <w:rPr>
                <w:sz w:val="24"/>
                <w:u w:val="none" w:color="auto"/>
              </w:rPr>
              <w:t>不会对污水处理厂产生冲击</w:t>
            </w:r>
            <w:r>
              <w:rPr>
                <w:rFonts w:hint="eastAsia"/>
                <w:sz w:val="24"/>
                <w:u w:val="none" w:color="auto"/>
                <w:lang w:eastAsia="zh-CN"/>
              </w:rPr>
              <w:t>。</w:t>
            </w:r>
          </w:p>
          <w:p w14:paraId="6113DCD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u w:val="none" w:color="auto"/>
              </w:rPr>
            </w:pPr>
            <w:r>
              <w:rPr>
                <w:rFonts w:hint="eastAsia"/>
                <w:sz w:val="24"/>
                <w:u w:val="none" w:color="auto"/>
              </w:rPr>
              <w:t>②污水水质接管可行</w:t>
            </w:r>
            <w:r>
              <w:rPr>
                <w:sz w:val="24"/>
                <w:u w:val="none" w:color="auto"/>
              </w:rPr>
              <w:t>性分析</w:t>
            </w:r>
          </w:p>
          <w:p w14:paraId="7E448119">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jc w:val="both"/>
              <w:textAlignment w:val="auto"/>
              <w:rPr>
                <w:sz w:val="24"/>
                <w:u w:val="none" w:color="auto"/>
              </w:rPr>
            </w:pPr>
            <w:r>
              <w:rPr>
                <w:bCs/>
                <w:sz w:val="24"/>
                <w:u w:val="none" w:color="auto"/>
              </w:rPr>
              <w:t>本项目</w:t>
            </w:r>
            <w:r>
              <w:rPr>
                <w:rFonts w:hint="eastAsia"/>
                <w:bCs/>
                <w:sz w:val="24"/>
                <w:u w:val="none" w:color="auto"/>
              </w:rPr>
              <w:t>外排废水中</w:t>
            </w:r>
            <w:r>
              <w:rPr>
                <w:bCs/>
                <w:sz w:val="24"/>
                <w:u w:val="none" w:color="auto"/>
              </w:rPr>
              <w:t>各污染物</w:t>
            </w:r>
            <w:r>
              <w:rPr>
                <w:rFonts w:hint="eastAsia"/>
                <w:bCs/>
                <w:sz w:val="24"/>
                <w:u w:val="none" w:color="auto"/>
              </w:rPr>
              <w:t>排放</w:t>
            </w:r>
            <w:r>
              <w:rPr>
                <w:bCs/>
                <w:sz w:val="24"/>
                <w:u w:val="none" w:color="auto"/>
              </w:rPr>
              <w:t>浓度</w:t>
            </w:r>
            <w:r>
              <w:rPr>
                <w:rFonts w:hint="eastAsia"/>
                <w:bCs/>
                <w:sz w:val="24"/>
                <w:u w:val="none" w:color="auto"/>
              </w:rPr>
              <w:t>，</w:t>
            </w:r>
            <w:r>
              <w:rPr>
                <w:rFonts w:hint="eastAsia"/>
                <w:sz w:val="24"/>
                <w:u w:val="none" w:color="auto"/>
              </w:rPr>
              <w:t>废水水质为废水水质为废水水质为COD：45.57 mg/L、SS：41.82mg/L、氨氮：0.82mg/L、TP：0.58mg/L、TN：2.53mg/L、总锰0.0012mg/L、总钴0.0006mg/L、总镍0.0008mg/L</w:t>
            </w:r>
            <w:r>
              <w:rPr>
                <w:rFonts w:hint="eastAsia"/>
                <w:color w:val="000000" w:themeColor="text1"/>
                <w:sz w:val="24"/>
                <w:u w:val="none" w:color="auto"/>
                <w14:textFill>
                  <w14:solidFill>
                    <w14:schemeClr w14:val="tx1"/>
                  </w14:solidFill>
                </w14:textFill>
              </w:rPr>
              <w:t>，</w:t>
            </w:r>
            <w:r>
              <w:rPr>
                <w:rFonts w:hint="eastAsia"/>
                <w:color w:val="000000"/>
                <w:sz w:val="24"/>
                <w:u w:val="none" w:color="auto"/>
              </w:rPr>
              <w:t>能够满足</w:t>
            </w:r>
            <w:r>
              <w:rPr>
                <w:rFonts w:hint="eastAsia"/>
                <w:color w:val="000000"/>
                <w:sz w:val="24"/>
                <w:u w:val="none" w:color="auto"/>
                <w:lang w:val="en-US" w:eastAsia="zh-CN"/>
              </w:rPr>
              <w:t>新乡市贾屯</w:t>
            </w:r>
            <w:r>
              <w:rPr>
                <w:color w:val="000000"/>
                <w:sz w:val="24"/>
                <w:u w:val="none" w:color="auto"/>
              </w:rPr>
              <w:t>污水处理厂</w:t>
            </w:r>
            <w:r>
              <w:rPr>
                <w:rFonts w:hint="eastAsia"/>
                <w:color w:val="000000"/>
                <w:sz w:val="24"/>
                <w:u w:val="none" w:color="auto"/>
              </w:rPr>
              <w:t>收水水质要求：</w:t>
            </w:r>
            <w:r>
              <w:rPr>
                <w:sz w:val="24"/>
                <w:u w:val="none" w:color="auto"/>
              </w:rPr>
              <w:t xml:space="preserve">COD </w:t>
            </w:r>
            <w:r>
              <w:rPr>
                <w:rFonts w:hint="eastAsia"/>
                <w:sz w:val="24"/>
                <w:u w:val="none" w:color="auto"/>
              </w:rPr>
              <w:t>45</w:t>
            </w:r>
            <w:r>
              <w:rPr>
                <w:sz w:val="24"/>
                <w:u w:val="none" w:color="auto"/>
              </w:rPr>
              <w:t>0mg/L</w:t>
            </w:r>
            <w:r>
              <w:rPr>
                <w:rFonts w:hint="eastAsia"/>
                <w:sz w:val="24"/>
                <w:u w:val="none" w:color="auto"/>
              </w:rPr>
              <w:t>、</w:t>
            </w:r>
            <w:r>
              <w:rPr>
                <w:rFonts w:hint="eastAsia"/>
                <w:bCs/>
                <w:sz w:val="24"/>
                <w:u w:val="none" w:color="auto"/>
              </w:rPr>
              <w:t>B</w:t>
            </w:r>
            <w:r>
              <w:rPr>
                <w:bCs/>
                <w:sz w:val="24"/>
                <w:u w:val="none" w:color="auto"/>
              </w:rPr>
              <w:t>OD</w:t>
            </w:r>
            <w:r>
              <w:rPr>
                <w:rFonts w:hint="eastAsia"/>
                <w:bCs/>
                <w:sz w:val="24"/>
                <w:u w:val="none" w:color="auto"/>
                <w:vertAlign w:val="subscript"/>
              </w:rPr>
              <w:t>5</w:t>
            </w:r>
            <w:r>
              <w:rPr>
                <w:bCs/>
                <w:sz w:val="24"/>
                <w:u w:val="none" w:color="auto"/>
              </w:rPr>
              <w:t xml:space="preserve"> </w:t>
            </w:r>
            <w:r>
              <w:rPr>
                <w:rFonts w:hint="eastAsia"/>
                <w:bCs/>
                <w:sz w:val="24"/>
                <w:u w:val="none" w:color="auto"/>
              </w:rPr>
              <w:t>180mg/L、</w:t>
            </w:r>
            <w:r>
              <w:rPr>
                <w:sz w:val="24"/>
                <w:u w:val="none" w:color="auto"/>
              </w:rPr>
              <w:t xml:space="preserve">SS </w:t>
            </w:r>
            <w:r>
              <w:rPr>
                <w:rFonts w:hint="eastAsia"/>
                <w:sz w:val="24"/>
                <w:u w:val="none" w:color="auto"/>
              </w:rPr>
              <w:t>350</w:t>
            </w:r>
            <w:r>
              <w:rPr>
                <w:sz w:val="24"/>
                <w:u w:val="none" w:color="auto"/>
              </w:rPr>
              <w:t>mg/L、NH</w:t>
            </w:r>
            <w:r>
              <w:rPr>
                <w:sz w:val="24"/>
                <w:u w:val="none" w:color="auto"/>
                <w:vertAlign w:val="subscript"/>
              </w:rPr>
              <w:t>3</w:t>
            </w:r>
            <w:r>
              <w:rPr>
                <w:sz w:val="24"/>
                <w:u w:val="none" w:color="auto"/>
              </w:rPr>
              <w:t xml:space="preserve">-N </w:t>
            </w:r>
            <w:r>
              <w:rPr>
                <w:rFonts w:hint="eastAsia"/>
                <w:sz w:val="24"/>
                <w:u w:val="none" w:color="auto"/>
              </w:rPr>
              <w:t>35</w:t>
            </w:r>
            <w:r>
              <w:rPr>
                <w:sz w:val="24"/>
                <w:u w:val="none" w:color="auto"/>
              </w:rPr>
              <w:t xml:space="preserve">mg/L、TP </w:t>
            </w:r>
            <w:r>
              <w:rPr>
                <w:rFonts w:hint="eastAsia"/>
                <w:sz w:val="24"/>
                <w:u w:val="none" w:color="auto"/>
              </w:rPr>
              <w:t>6</w:t>
            </w:r>
            <w:r>
              <w:rPr>
                <w:sz w:val="24"/>
                <w:u w:val="none" w:color="auto"/>
              </w:rPr>
              <w:t>mg/L、TN 4</w:t>
            </w:r>
            <w:r>
              <w:rPr>
                <w:rFonts w:hint="eastAsia"/>
                <w:sz w:val="24"/>
                <w:u w:val="none" w:color="auto"/>
              </w:rPr>
              <w:t>5</w:t>
            </w:r>
            <w:r>
              <w:rPr>
                <w:sz w:val="24"/>
                <w:u w:val="none" w:color="auto"/>
              </w:rPr>
              <w:t>mg/L</w:t>
            </w:r>
            <w:r>
              <w:rPr>
                <w:rFonts w:hint="eastAsia"/>
                <w:sz w:val="24"/>
                <w:u w:val="none" w:color="auto"/>
              </w:rPr>
              <w:t>，从水质上分析也是可行的。</w:t>
            </w:r>
          </w:p>
          <w:p w14:paraId="76307441">
            <w:pPr>
              <w:tabs>
                <w:tab w:val="left" w:pos="3620"/>
              </w:tabs>
              <w:adjustRightInd w:val="0"/>
              <w:snapToGrid w:val="0"/>
              <w:spacing w:line="440" w:lineRule="exact"/>
              <w:ind w:firstLine="480" w:firstLineChars="200"/>
              <w:jc w:val="both"/>
              <w:rPr>
                <w:rFonts w:hint="eastAsia"/>
                <w:sz w:val="24"/>
                <w:u w:val="none" w:color="auto"/>
              </w:rPr>
            </w:pPr>
            <w:r>
              <w:rPr>
                <w:rFonts w:hint="eastAsia"/>
                <w:sz w:val="24"/>
                <w:u w:val="none" w:color="auto"/>
              </w:rPr>
              <w:t>③处理后尾水达标排放</w:t>
            </w:r>
          </w:p>
          <w:p w14:paraId="4D2E2E86">
            <w:pPr>
              <w:tabs>
                <w:tab w:val="left" w:pos="3620"/>
              </w:tabs>
              <w:adjustRightInd w:val="0"/>
              <w:snapToGrid w:val="0"/>
              <w:spacing w:line="440" w:lineRule="exact"/>
              <w:ind w:firstLine="480" w:firstLineChars="200"/>
              <w:jc w:val="both"/>
              <w:rPr>
                <w:rFonts w:hint="default" w:ascii="Times New Roman" w:hAnsi="Times New Roman" w:eastAsia="宋体" w:cs="Times New Roman"/>
                <w:color w:val="000000"/>
                <w:sz w:val="24"/>
                <w:u w:val="none" w:color="auto"/>
                <w:lang w:eastAsia="zh-CN"/>
              </w:rPr>
            </w:pPr>
            <w:r>
              <w:rPr>
                <w:rFonts w:hint="default" w:ascii="Times New Roman" w:hAnsi="Times New Roman" w:eastAsia="宋体" w:cs="Times New Roman"/>
                <w:sz w:val="24"/>
                <w:u w:val="none" w:color="auto"/>
              </w:rPr>
              <w:t>新乡市贾屯污水处理厂采用</w:t>
            </w:r>
            <w:r>
              <w:rPr>
                <w:rFonts w:hint="default" w:ascii="Times New Roman" w:hAnsi="Times New Roman" w:eastAsia="宋体" w:cs="Times New Roman"/>
                <w:color w:val="000000"/>
                <w:sz w:val="24"/>
                <w:u w:val="none" w:color="auto"/>
              </w:rPr>
              <w:t>“粗格栅-细格栅-曝气沉砂池-水解酸化池-A</w:t>
            </w:r>
            <w:r>
              <w:rPr>
                <w:rFonts w:hint="default" w:ascii="Times New Roman" w:hAnsi="Times New Roman" w:eastAsia="宋体" w:cs="Times New Roman"/>
                <w:color w:val="000000"/>
                <w:sz w:val="24"/>
                <w:u w:val="none" w:color="auto"/>
                <w:vertAlign w:val="superscript"/>
              </w:rPr>
              <w:t>2</w:t>
            </w:r>
            <w:r>
              <w:rPr>
                <w:rFonts w:hint="default" w:ascii="Times New Roman" w:hAnsi="Times New Roman" w:eastAsia="宋体" w:cs="Times New Roman"/>
                <w:color w:val="000000"/>
                <w:sz w:val="24"/>
                <w:u w:val="none" w:color="auto"/>
              </w:rPr>
              <w:t>/O-二沉池-高效沉砂池-V型滤池-接触消毒池”处理工艺</w:t>
            </w:r>
            <w:r>
              <w:rPr>
                <w:rFonts w:hint="default" w:ascii="Times New Roman" w:hAnsi="Times New Roman" w:eastAsia="宋体" w:cs="Times New Roman"/>
                <w:color w:val="000000"/>
                <w:sz w:val="24"/>
                <w:u w:val="none" w:color="auto"/>
                <w:lang w:eastAsia="zh-CN"/>
              </w:rPr>
              <w:t>，出水水质为：COD 40mg/L、BOD</w:t>
            </w:r>
            <w:r>
              <w:rPr>
                <w:rFonts w:hint="default" w:ascii="Times New Roman" w:hAnsi="Times New Roman" w:eastAsia="宋体" w:cs="Times New Roman"/>
                <w:color w:val="000000"/>
                <w:sz w:val="24"/>
                <w:u w:val="none" w:color="auto"/>
                <w:vertAlign w:val="subscript"/>
                <w:lang w:eastAsia="zh-CN"/>
              </w:rPr>
              <w:t>5</w:t>
            </w:r>
            <w:r>
              <w:rPr>
                <w:rFonts w:hint="default" w:ascii="Times New Roman" w:hAnsi="Times New Roman" w:eastAsia="宋体" w:cs="Times New Roman"/>
                <w:color w:val="000000"/>
                <w:sz w:val="24"/>
                <w:u w:val="none" w:color="auto"/>
                <w:lang w:eastAsia="zh-CN"/>
              </w:rPr>
              <w:t xml:space="preserve"> 10mg/L、SS 10mg/L、NH</w:t>
            </w:r>
            <w:r>
              <w:rPr>
                <w:rFonts w:hint="default" w:ascii="Times New Roman" w:hAnsi="Times New Roman" w:eastAsia="宋体" w:cs="Times New Roman"/>
                <w:color w:val="000000"/>
                <w:sz w:val="24"/>
                <w:u w:val="none" w:color="auto"/>
                <w:vertAlign w:val="subscript"/>
                <w:lang w:eastAsia="zh-CN"/>
              </w:rPr>
              <w:t>3</w:t>
            </w:r>
            <w:r>
              <w:rPr>
                <w:rFonts w:hint="default" w:ascii="Times New Roman" w:hAnsi="Times New Roman" w:eastAsia="宋体" w:cs="Times New Roman"/>
                <w:color w:val="000000"/>
                <w:sz w:val="24"/>
                <w:u w:val="none" w:color="auto"/>
                <w:lang w:eastAsia="zh-CN"/>
              </w:rPr>
              <w:t>-N 2mg/L、TP 0.4mg/L、TN 15mg/L。COD、NH</w:t>
            </w:r>
            <w:r>
              <w:rPr>
                <w:rFonts w:hint="default" w:ascii="Times New Roman" w:hAnsi="Times New Roman" w:eastAsia="宋体" w:cs="Times New Roman"/>
                <w:color w:val="000000"/>
                <w:sz w:val="24"/>
                <w:u w:val="none" w:color="auto"/>
                <w:vertAlign w:val="subscript"/>
                <w:lang w:eastAsia="zh-CN"/>
              </w:rPr>
              <w:t>3</w:t>
            </w:r>
            <w:r>
              <w:rPr>
                <w:rFonts w:hint="default" w:ascii="Times New Roman" w:hAnsi="Times New Roman" w:eastAsia="宋体" w:cs="Times New Roman"/>
                <w:color w:val="000000"/>
                <w:sz w:val="24"/>
                <w:u w:val="none" w:color="auto"/>
                <w:lang w:eastAsia="zh-CN"/>
              </w:rPr>
              <w:t>-N、TP指标执行《地表水环境质量标准》（GB3838-2002）Ⅴ类标准，其中SS、TN指标执行《城镇污水处理厂污染物排放标准》（GB18918-2002）一级A标准。</w:t>
            </w:r>
          </w:p>
          <w:p w14:paraId="580D6E8D">
            <w:pPr>
              <w:tabs>
                <w:tab w:val="left" w:pos="3620"/>
              </w:tabs>
              <w:adjustRightInd w:val="0"/>
              <w:snapToGrid w:val="0"/>
              <w:spacing w:line="440" w:lineRule="exact"/>
              <w:ind w:firstLine="480" w:firstLineChars="200"/>
              <w:jc w:val="both"/>
              <w:rPr>
                <w:sz w:val="24"/>
                <w:u w:val="none" w:color="auto"/>
              </w:rPr>
            </w:pPr>
            <w:r>
              <w:rPr>
                <w:sz w:val="24"/>
                <w:u w:val="none" w:color="auto"/>
              </w:rPr>
              <w:t>综上</w:t>
            </w:r>
            <w:r>
              <w:rPr>
                <w:rFonts w:hint="eastAsia"/>
                <w:sz w:val="24"/>
                <w:u w:val="none" w:color="auto"/>
              </w:rPr>
              <w:t>，</w:t>
            </w:r>
            <w:r>
              <w:rPr>
                <w:sz w:val="24"/>
                <w:u w:val="none" w:color="auto"/>
              </w:rPr>
              <w:t>项目污水从进水水量、水质要求等方面分析，</w:t>
            </w:r>
            <w:r>
              <w:rPr>
                <w:rFonts w:hint="eastAsia"/>
                <w:sz w:val="24"/>
                <w:u w:val="none" w:color="auto"/>
              </w:rPr>
              <w:t>项目废水</w:t>
            </w:r>
            <w:r>
              <w:rPr>
                <w:sz w:val="24"/>
                <w:u w:val="none" w:color="auto"/>
              </w:rPr>
              <w:t>产生量较小，对</w:t>
            </w:r>
            <w:r>
              <w:rPr>
                <w:rFonts w:hint="eastAsia"/>
                <w:color w:val="000000"/>
                <w:sz w:val="24"/>
                <w:u w:val="none" w:color="auto"/>
                <w:lang w:val="en-US" w:eastAsia="zh-CN"/>
              </w:rPr>
              <w:t>新乡市贾屯</w:t>
            </w:r>
            <w:r>
              <w:rPr>
                <w:color w:val="000000"/>
                <w:sz w:val="24"/>
                <w:u w:val="none" w:color="auto"/>
              </w:rPr>
              <w:t>污水处理厂</w:t>
            </w:r>
            <w:r>
              <w:rPr>
                <w:sz w:val="24"/>
                <w:u w:val="none" w:color="auto"/>
              </w:rPr>
              <w:t>不会产生冲击负荷</w:t>
            </w:r>
            <w:r>
              <w:rPr>
                <w:rFonts w:hint="eastAsia"/>
                <w:sz w:val="24"/>
                <w:u w:val="none" w:color="auto"/>
              </w:rPr>
              <w:t>，废水经处理后可达标排放。因此，</w:t>
            </w:r>
            <w:r>
              <w:rPr>
                <w:sz w:val="24"/>
                <w:u w:val="none" w:color="auto"/>
              </w:rPr>
              <w:t>本项目废水</w:t>
            </w:r>
            <w:r>
              <w:rPr>
                <w:rFonts w:hint="eastAsia"/>
                <w:sz w:val="24"/>
                <w:u w:val="none" w:color="auto"/>
              </w:rPr>
              <w:t>接管</w:t>
            </w:r>
            <w:r>
              <w:rPr>
                <w:sz w:val="24"/>
                <w:u w:val="none" w:color="auto"/>
              </w:rPr>
              <w:t>进入</w:t>
            </w:r>
            <w:r>
              <w:rPr>
                <w:rFonts w:hint="eastAsia"/>
                <w:sz w:val="24"/>
                <w:u w:val="none" w:color="auto"/>
                <w:lang w:val="en-US" w:eastAsia="zh-CN"/>
              </w:rPr>
              <w:t>新乡市贾屯</w:t>
            </w:r>
            <w:r>
              <w:rPr>
                <w:color w:val="000000"/>
                <w:sz w:val="24"/>
                <w:u w:val="none" w:color="auto"/>
              </w:rPr>
              <w:t>污水处理厂</w:t>
            </w:r>
            <w:r>
              <w:rPr>
                <w:sz w:val="24"/>
                <w:u w:val="none" w:color="auto"/>
              </w:rPr>
              <w:t>是可行的</w:t>
            </w:r>
            <w:r>
              <w:rPr>
                <w:rFonts w:hint="eastAsia"/>
                <w:sz w:val="24"/>
                <w:u w:val="none" w:color="auto"/>
              </w:rPr>
              <w:t>，</w:t>
            </w:r>
            <w:r>
              <w:rPr>
                <w:sz w:val="24"/>
                <w:u w:val="none" w:color="auto"/>
              </w:rPr>
              <w:t>经处理后尾水可以实现稳定达标排放</w:t>
            </w:r>
            <w:r>
              <w:rPr>
                <w:rFonts w:hint="eastAsia"/>
                <w:sz w:val="24"/>
                <w:u w:val="none" w:color="auto"/>
              </w:rPr>
              <w:t>，</w:t>
            </w:r>
            <w:r>
              <w:rPr>
                <w:sz w:val="24"/>
                <w:u w:val="none" w:color="auto"/>
              </w:rPr>
              <w:t>地表水环境影响可接受。</w:t>
            </w:r>
          </w:p>
          <w:p w14:paraId="7F84E84D">
            <w:pPr>
              <w:tabs>
                <w:tab w:val="left" w:pos="3620"/>
              </w:tabs>
              <w:adjustRightInd w:val="0"/>
              <w:snapToGrid w:val="0"/>
              <w:spacing w:line="440" w:lineRule="exact"/>
              <w:ind w:firstLine="482" w:firstLineChars="200"/>
              <w:rPr>
                <w:rFonts w:hint="default" w:eastAsia="宋体"/>
                <w:b/>
                <w:bCs w:val="0"/>
                <w:sz w:val="24"/>
                <w:u w:val="none" w:color="auto"/>
                <w:lang w:val="en-US" w:eastAsia="zh-CN"/>
              </w:rPr>
            </w:pPr>
            <w:r>
              <w:rPr>
                <w:rFonts w:hint="eastAsia"/>
                <w:b/>
                <w:bCs w:val="0"/>
                <w:sz w:val="24"/>
                <w:u w:val="none" w:color="auto"/>
              </w:rPr>
              <w:t>（</w:t>
            </w:r>
            <w:r>
              <w:rPr>
                <w:rFonts w:hint="eastAsia"/>
                <w:b/>
                <w:bCs w:val="0"/>
                <w:sz w:val="24"/>
                <w:u w:val="none" w:color="auto"/>
                <w:lang w:val="en-US" w:eastAsia="zh-CN"/>
              </w:rPr>
              <w:t>三）废水污染物排放信息</w:t>
            </w:r>
          </w:p>
          <w:p w14:paraId="5AA0261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baseline"/>
              <w:rPr>
                <w:color w:val="000000"/>
                <w:kern w:val="0"/>
                <w:sz w:val="24"/>
                <w:szCs w:val="20"/>
                <w:u w:val="none" w:color="auto"/>
              </w:rPr>
            </w:pPr>
            <w:r>
              <w:rPr>
                <w:rFonts w:hint="eastAsia"/>
                <w:color w:val="000000"/>
                <w:kern w:val="0"/>
                <w:sz w:val="24"/>
                <w:szCs w:val="20"/>
                <w:u w:val="none" w:color="auto"/>
              </w:rPr>
              <w:t>（1）废水类别、污染物及污染治理设施信息表</w:t>
            </w:r>
          </w:p>
          <w:p w14:paraId="28B5E522">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2" w:firstLineChars="200"/>
              <w:jc w:val="center"/>
              <w:rPr>
                <w:rFonts w:hint="eastAsia"/>
                <w:bCs/>
                <w:sz w:val="24"/>
                <w:u w:val="none" w:color="auto"/>
              </w:rPr>
            </w:pPr>
            <w:r>
              <w:rPr>
                <w:rFonts w:hint="default" w:ascii="Times New Roman" w:hAnsi="Times New Roman" w:eastAsia="宋体" w:cs="Times New Roman"/>
                <w:b/>
                <w:color w:val="000000"/>
                <w:sz w:val="24"/>
                <w:u w:val="none" w:color="auto"/>
              </w:rPr>
              <w:t>表</w:t>
            </w:r>
            <w:r>
              <w:rPr>
                <w:rFonts w:hint="default" w:ascii="Times New Roman" w:hAnsi="Times New Roman" w:eastAsia="宋体" w:cs="Times New Roman"/>
                <w:b/>
                <w:color w:val="000000"/>
                <w:sz w:val="24"/>
                <w:u w:val="none" w:color="auto"/>
                <w:lang w:val="en-US" w:eastAsia="zh-CN"/>
              </w:rPr>
              <w:t>4-</w:t>
            </w:r>
            <w:r>
              <w:rPr>
                <w:rFonts w:hint="eastAsia" w:cs="Times New Roman"/>
                <w:b/>
                <w:color w:val="000000"/>
                <w:sz w:val="24"/>
                <w:u w:val="none" w:color="auto"/>
                <w:lang w:val="en-US" w:eastAsia="zh-CN"/>
              </w:rPr>
              <w:t>15</w:t>
            </w:r>
            <w:r>
              <w:rPr>
                <w:rFonts w:hint="default" w:ascii="Times New Roman" w:hAnsi="Times New Roman" w:eastAsia="宋体" w:cs="Times New Roman"/>
                <w:b/>
                <w:color w:val="000000"/>
                <w:sz w:val="24"/>
                <w:u w:val="none" w:color="auto"/>
              </w:rPr>
              <w:t xml:space="preserve">    废水类别、污染物及污染治理设施信息表</w:t>
            </w:r>
          </w:p>
          <w:tbl>
            <w:tblPr>
              <w:tblStyle w:val="32"/>
              <w:tblW w:w="4999"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547"/>
              <w:gridCol w:w="808"/>
              <w:gridCol w:w="537"/>
              <w:gridCol w:w="537"/>
              <w:gridCol w:w="673"/>
              <w:gridCol w:w="672"/>
              <w:gridCol w:w="1074"/>
              <w:gridCol w:w="673"/>
              <w:gridCol w:w="672"/>
              <w:gridCol w:w="1708"/>
            </w:tblGrid>
            <w:tr w14:paraId="63216C2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346" w:type="pct"/>
                  <w:vMerge w:val="restart"/>
                  <w:tcBorders>
                    <w:tl2br w:val="nil"/>
                    <w:tr2bl w:val="nil"/>
                  </w:tcBorders>
                  <w:noWrap/>
                  <w:tcMar>
                    <w:top w:w="0" w:type="dxa"/>
                    <w:left w:w="0" w:type="dxa"/>
                    <w:bottom w:w="0" w:type="dxa"/>
                    <w:right w:w="0" w:type="dxa"/>
                  </w:tcMar>
                  <w:vAlign w:val="center"/>
                </w:tcPr>
                <w:p w14:paraId="7C178EE7">
                  <w:pPr>
                    <w:jc w:val="center"/>
                    <w:rPr>
                      <w:rFonts w:cs="宋体"/>
                      <w:b/>
                      <w:color w:val="000000"/>
                      <w:szCs w:val="20"/>
                      <w:u w:val="none" w:color="auto"/>
                    </w:rPr>
                  </w:pPr>
                  <w:r>
                    <w:rPr>
                      <w:rFonts w:hint="eastAsia" w:cs="宋体"/>
                      <w:b/>
                      <w:color w:val="000000"/>
                      <w:szCs w:val="20"/>
                      <w:u w:val="none" w:color="auto"/>
                    </w:rPr>
                    <w:t>废水类别</w:t>
                  </w:r>
                </w:p>
              </w:tc>
              <w:tc>
                <w:tcPr>
                  <w:tcW w:w="511" w:type="pct"/>
                  <w:vMerge w:val="restart"/>
                  <w:tcBorders>
                    <w:tl2br w:val="nil"/>
                    <w:tr2bl w:val="nil"/>
                  </w:tcBorders>
                  <w:noWrap/>
                  <w:tcMar>
                    <w:top w:w="0" w:type="dxa"/>
                    <w:left w:w="0" w:type="dxa"/>
                    <w:bottom w:w="0" w:type="dxa"/>
                    <w:right w:w="0" w:type="dxa"/>
                  </w:tcMar>
                  <w:vAlign w:val="center"/>
                </w:tcPr>
                <w:p w14:paraId="6009A0A0">
                  <w:pPr>
                    <w:jc w:val="center"/>
                    <w:rPr>
                      <w:rFonts w:cs="宋体"/>
                      <w:b/>
                      <w:color w:val="000000"/>
                      <w:szCs w:val="20"/>
                      <w:u w:val="none" w:color="auto"/>
                    </w:rPr>
                  </w:pPr>
                  <w:r>
                    <w:rPr>
                      <w:rFonts w:hint="eastAsia" w:cs="宋体"/>
                      <w:b/>
                      <w:color w:val="000000"/>
                      <w:szCs w:val="20"/>
                      <w:u w:val="none" w:color="auto"/>
                    </w:rPr>
                    <w:t>污染物种类</w:t>
                  </w:r>
                </w:p>
              </w:tc>
              <w:tc>
                <w:tcPr>
                  <w:tcW w:w="339" w:type="pct"/>
                  <w:vMerge w:val="restart"/>
                  <w:tcBorders>
                    <w:tl2br w:val="nil"/>
                    <w:tr2bl w:val="nil"/>
                  </w:tcBorders>
                  <w:noWrap/>
                  <w:tcMar>
                    <w:top w:w="0" w:type="dxa"/>
                    <w:left w:w="0" w:type="dxa"/>
                    <w:bottom w:w="0" w:type="dxa"/>
                    <w:right w:w="0" w:type="dxa"/>
                  </w:tcMar>
                  <w:vAlign w:val="center"/>
                </w:tcPr>
                <w:p w14:paraId="6ACE0683">
                  <w:pPr>
                    <w:jc w:val="center"/>
                    <w:rPr>
                      <w:rFonts w:cs="宋体"/>
                      <w:b/>
                      <w:color w:val="000000"/>
                      <w:szCs w:val="20"/>
                      <w:u w:val="none" w:color="auto"/>
                    </w:rPr>
                  </w:pPr>
                  <w:r>
                    <w:rPr>
                      <w:rFonts w:hint="eastAsia" w:cs="宋体"/>
                      <w:b/>
                      <w:color w:val="000000"/>
                      <w:szCs w:val="20"/>
                      <w:u w:val="none" w:color="auto"/>
                    </w:rPr>
                    <w:t>排放去向</w:t>
                  </w:r>
                </w:p>
              </w:tc>
              <w:tc>
                <w:tcPr>
                  <w:tcW w:w="339" w:type="pct"/>
                  <w:vMerge w:val="restart"/>
                  <w:tcBorders>
                    <w:tl2br w:val="nil"/>
                    <w:tr2bl w:val="nil"/>
                  </w:tcBorders>
                  <w:noWrap/>
                  <w:tcMar>
                    <w:top w:w="0" w:type="dxa"/>
                    <w:left w:w="0" w:type="dxa"/>
                    <w:bottom w:w="0" w:type="dxa"/>
                    <w:right w:w="0" w:type="dxa"/>
                  </w:tcMar>
                  <w:vAlign w:val="center"/>
                </w:tcPr>
                <w:p w14:paraId="333F85DD">
                  <w:pPr>
                    <w:jc w:val="center"/>
                    <w:rPr>
                      <w:rFonts w:cs="宋体"/>
                      <w:b/>
                      <w:color w:val="000000"/>
                      <w:szCs w:val="20"/>
                      <w:u w:val="none" w:color="auto"/>
                    </w:rPr>
                  </w:pPr>
                  <w:r>
                    <w:rPr>
                      <w:rFonts w:hint="eastAsia" w:cs="宋体"/>
                      <w:b/>
                      <w:color w:val="000000"/>
                      <w:szCs w:val="20"/>
                      <w:u w:val="none" w:color="auto"/>
                    </w:rPr>
                    <w:t>排放规律</w:t>
                  </w:r>
                </w:p>
              </w:tc>
              <w:tc>
                <w:tcPr>
                  <w:tcW w:w="1530" w:type="pct"/>
                  <w:gridSpan w:val="3"/>
                  <w:tcBorders>
                    <w:tl2br w:val="nil"/>
                    <w:tr2bl w:val="nil"/>
                  </w:tcBorders>
                  <w:noWrap/>
                  <w:tcMar>
                    <w:top w:w="0" w:type="dxa"/>
                    <w:left w:w="0" w:type="dxa"/>
                    <w:bottom w:w="0" w:type="dxa"/>
                    <w:right w:w="0" w:type="dxa"/>
                  </w:tcMar>
                  <w:vAlign w:val="center"/>
                </w:tcPr>
                <w:p w14:paraId="2FD76F4F">
                  <w:pPr>
                    <w:jc w:val="center"/>
                    <w:rPr>
                      <w:rFonts w:cs="宋体"/>
                      <w:b/>
                      <w:color w:val="000000"/>
                      <w:szCs w:val="20"/>
                      <w:u w:val="none" w:color="auto"/>
                    </w:rPr>
                  </w:pPr>
                  <w:r>
                    <w:rPr>
                      <w:rFonts w:hint="eastAsia" w:cs="宋体"/>
                      <w:b/>
                      <w:color w:val="000000"/>
                      <w:szCs w:val="20"/>
                      <w:u w:val="none" w:color="auto"/>
                    </w:rPr>
                    <w:t>污染治理措施</w:t>
                  </w:r>
                </w:p>
              </w:tc>
              <w:tc>
                <w:tcPr>
                  <w:tcW w:w="425" w:type="pct"/>
                  <w:vMerge w:val="restart"/>
                  <w:tcBorders>
                    <w:tl2br w:val="nil"/>
                    <w:tr2bl w:val="nil"/>
                  </w:tcBorders>
                  <w:noWrap/>
                  <w:tcMar>
                    <w:top w:w="0" w:type="dxa"/>
                    <w:left w:w="0" w:type="dxa"/>
                    <w:bottom w:w="0" w:type="dxa"/>
                    <w:right w:w="0" w:type="dxa"/>
                  </w:tcMar>
                  <w:vAlign w:val="center"/>
                </w:tcPr>
                <w:p w14:paraId="0EA1B5CE">
                  <w:pPr>
                    <w:jc w:val="center"/>
                    <w:rPr>
                      <w:rFonts w:cs="宋体"/>
                      <w:b/>
                      <w:color w:val="000000"/>
                      <w:szCs w:val="20"/>
                      <w:u w:val="none" w:color="auto"/>
                    </w:rPr>
                  </w:pPr>
                  <w:r>
                    <w:rPr>
                      <w:rFonts w:hint="eastAsia" w:cs="宋体"/>
                      <w:b/>
                      <w:color w:val="000000"/>
                      <w:szCs w:val="20"/>
                      <w:u w:val="none" w:color="auto"/>
                    </w:rPr>
                    <w:t>排放口</w:t>
                  </w:r>
                </w:p>
                <w:p w14:paraId="28C941CC">
                  <w:pPr>
                    <w:jc w:val="center"/>
                    <w:rPr>
                      <w:rFonts w:cs="宋体"/>
                      <w:b/>
                      <w:color w:val="000000"/>
                      <w:szCs w:val="20"/>
                      <w:u w:val="none" w:color="auto"/>
                    </w:rPr>
                  </w:pPr>
                  <w:r>
                    <w:rPr>
                      <w:rFonts w:hint="eastAsia" w:cs="宋体"/>
                      <w:b/>
                      <w:color w:val="000000"/>
                      <w:szCs w:val="20"/>
                      <w:u w:val="none" w:color="auto"/>
                    </w:rPr>
                    <w:t>编号</w:t>
                  </w:r>
                </w:p>
              </w:tc>
              <w:tc>
                <w:tcPr>
                  <w:tcW w:w="425" w:type="pct"/>
                  <w:vMerge w:val="restart"/>
                  <w:tcBorders>
                    <w:tl2br w:val="nil"/>
                    <w:tr2bl w:val="nil"/>
                  </w:tcBorders>
                  <w:noWrap/>
                  <w:tcMar>
                    <w:top w:w="0" w:type="dxa"/>
                    <w:left w:w="0" w:type="dxa"/>
                    <w:bottom w:w="0" w:type="dxa"/>
                    <w:right w:w="0" w:type="dxa"/>
                  </w:tcMar>
                  <w:vAlign w:val="center"/>
                </w:tcPr>
                <w:p w14:paraId="26F50841">
                  <w:pPr>
                    <w:jc w:val="center"/>
                    <w:rPr>
                      <w:rFonts w:cs="宋体"/>
                      <w:b/>
                      <w:color w:val="000000"/>
                      <w:szCs w:val="20"/>
                      <w:u w:val="none" w:color="auto"/>
                    </w:rPr>
                  </w:pPr>
                  <w:r>
                    <w:rPr>
                      <w:rFonts w:hint="eastAsia" w:cs="宋体"/>
                      <w:b/>
                      <w:color w:val="000000"/>
                      <w:szCs w:val="20"/>
                      <w:u w:val="none" w:color="auto"/>
                    </w:rPr>
                    <w:t>排放口设置是否符合要求</w:t>
                  </w:r>
                </w:p>
              </w:tc>
              <w:tc>
                <w:tcPr>
                  <w:tcW w:w="1080" w:type="pct"/>
                  <w:vMerge w:val="restart"/>
                  <w:tcBorders>
                    <w:tl2br w:val="nil"/>
                    <w:tr2bl w:val="nil"/>
                  </w:tcBorders>
                  <w:noWrap/>
                  <w:tcMar>
                    <w:top w:w="0" w:type="dxa"/>
                    <w:left w:w="0" w:type="dxa"/>
                    <w:bottom w:w="0" w:type="dxa"/>
                    <w:right w:w="0" w:type="dxa"/>
                  </w:tcMar>
                  <w:vAlign w:val="center"/>
                </w:tcPr>
                <w:p w14:paraId="56AD37FA">
                  <w:pPr>
                    <w:jc w:val="center"/>
                    <w:rPr>
                      <w:rFonts w:cs="宋体"/>
                      <w:b/>
                      <w:color w:val="000000"/>
                      <w:szCs w:val="20"/>
                      <w:u w:val="none" w:color="auto"/>
                    </w:rPr>
                  </w:pPr>
                  <w:r>
                    <w:rPr>
                      <w:rFonts w:hint="eastAsia" w:cs="宋体"/>
                      <w:b/>
                      <w:color w:val="000000"/>
                      <w:szCs w:val="20"/>
                      <w:u w:val="none" w:color="auto"/>
                    </w:rPr>
                    <w:t>排放口类型</w:t>
                  </w:r>
                </w:p>
              </w:tc>
            </w:tr>
            <w:tr w14:paraId="1150CDD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346" w:type="pct"/>
                  <w:vMerge w:val="continue"/>
                  <w:tcBorders>
                    <w:tl2br w:val="nil"/>
                    <w:tr2bl w:val="nil"/>
                  </w:tcBorders>
                  <w:noWrap/>
                  <w:vAlign w:val="center"/>
                </w:tcPr>
                <w:p w14:paraId="154E6505">
                  <w:pPr>
                    <w:jc w:val="center"/>
                    <w:rPr>
                      <w:rFonts w:cs="宋体"/>
                      <w:b/>
                      <w:color w:val="000000"/>
                      <w:szCs w:val="20"/>
                      <w:u w:val="none" w:color="auto"/>
                    </w:rPr>
                  </w:pPr>
                </w:p>
              </w:tc>
              <w:tc>
                <w:tcPr>
                  <w:tcW w:w="511" w:type="pct"/>
                  <w:vMerge w:val="continue"/>
                  <w:tcBorders>
                    <w:tl2br w:val="nil"/>
                    <w:tr2bl w:val="nil"/>
                  </w:tcBorders>
                  <w:noWrap/>
                  <w:vAlign w:val="center"/>
                </w:tcPr>
                <w:p w14:paraId="4325B3CF">
                  <w:pPr>
                    <w:jc w:val="center"/>
                    <w:rPr>
                      <w:rFonts w:cs="宋体"/>
                      <w:b/>
                      <w:color w:val="000000"/>
                      <w:szCs w:val="20"/>
                      <w:u w:val="none" w:color="auto"/>
                    </w:rPr>
                  </w:pPr>
                </w:p>
              </w:tc>
              <w:tc>
                <w:tcPr>
                  <w:tcW w:w="339" w:type="pct"/>
                  <w:vMerge w:val="continue"/>
                  <w:tcBorders>
                    <w:tl2br w:val="nil"/>
                    <w:tr2bl w:val="nil"/>
                  </w:tcBorders>
                  <w:noWrap/>
                  <w:vAlign w:val="center"/>
                </w:tcPr>
                <w:p w14:paraId="3343F66D">
                  <w:pPr>
                    <w:jc w:val="center"/>
                    <w:rPr>
                      <w:rFonts w:cs="宋体"/>
                      <w:b/>
                      <w:color w:val="000000"/>
                      <w:szCs w:val="20"/>
                      <w:u w:val="none" w:color="auto"/>
                    </w:rPr>
                  </w:pPr>
                </w:p>
              </w:tc>
              <w:tc>
                <w:tcPr>
                  <w:tcW w:w="339" w:type="pct"/>
                  <w:vMerge w:val="continue"/>
                  <w:tcBorders>
                    <w:tl2br w:val="nil"/>
                    <w:tr2bl w:val="nil"/>
                  </w:tcBorders>
                  <w:noWrap/>
                  <w:vAlign w:val="center"/>
                </w:tcPr>
                <w:p w14:paraId="19D4FEB6">
                  <w:pPr>
                    <w:jc w:val="center"/>
                    <w:rPr>
                      <w:rFonts w:cs="宋体"/>
                      <w:b/>
                      <w:color w:val="000000"/>
                      <w:szCs w:val="20"/>
                      <w:u w:val="none" w:color="auto"/>
                    </w:rPr>
                  </w:pPr>
                </w:p>
              </w:tc>
              <w:tc>
                <w:tcPr>
                  <w:tcW w:w="425" w:type="pct"/>
                  <w:tcBorders>
                    <w:tl2br w:val="nil"/>
                    <w:tr2bl w:val="nil"/>
                  </w:tcBorders>
                  <w:noWrap/>
                  <w:tcMar>
                    <w:top w:w="0" w:type="dxa"/>
                    <w:left w:w="0" w:type="dxa"/>
                    <w:bottom w:w="0" w:type="dxa"/>
                    <w:right w:w="0" w:type="dxa"/>
                  </w:tcMar>
                  <w:vAlign w:val="center"/>
                </w:tcPr>
                <w:p w14:paraId="7D3EB2A1">
                  <w:pPr>
                    <w:jc w:val="center"/>
                    <w:rPr>
                      <w:rFonts w:cs="宋体"/>
                      <w:b/>
                      <w:color w:val="000000"/>
                      <w:szCs w:val="20"/>
                      <w:u w:val="none" w:color="auto"/>
                    </w:rPr>
                  </w:pPr>
                  <w:r>
                    <w:rPr>
                      <w:rFonts w:hint="eastAsia" w:cs="宋体"/>
                      <w:b/>
                      <w:color w:val="000000"/>
                      <w:szCs w:val="20"/>
                      <w:u w:val="none" w:color="auto"/>
                    </w:rPr>
                    <w:t>污染治理措施编号</w:t>
                  </w:r>
                </w:p>
              </w:tc>
              <w:tc>
                <w:tcPr>
                  <w:tcW w:w="425" w:type="pct"/>
                  <w:tcBorders>
                    <w:tl2br w:val="nil"/>
                    <w:tr2bl w:val="nil"/>
                  </w:tcBorders>
                  <w:noWrap/>
                  <w:tcMar>
                    <w:top w:w="0" w:type="dxa"/>
                    <w:left w:w="0" w:type="dxa"/>
                    <w:bottom w:w="0" w:type="dxa"/>
                    <w:right w:w="0" w:type="dxa"/>
                  </w:tcMar>
                  <w:vAlign w:val="center"/>
                </w:tcPr>
                <w:p w14:paraId="53425A73">
                  <w:pPr>
                    <w:jc w:val="center"/>
                    <w:rPr>
                      <w:rFonts w:cs="宋体"/>
                      <w:b/>
                      <w:color w:val="000000"/>
                      <w:szCs w:val="20"/>
                      <w:u w:val="none" w:color="auto"/>
                    </w:rPr>
                  </w:pPr>
                  <w:r>
                    <w:rPr>
                      <w:rFonts w:hint="eastAsia" w:cs="宋体"/>
                      <w:b/>
                      <w:color w:val="000000"/>
                      <w:szCs w:val="20"/>
                      <w:u w:val="none" w:color="auto"/>
                    </w:rPr>
                    <w:t>污染治理措施名称</w:t>
                  </w:r>
                </w:p>
              </w:tc>
              <w:tc>
                <w:tcPr>
                  <w:tcW w:w="679" w:type="pct"/>
                  <w:tcBorders>
                    <w:tl2br w:val="nil"/>
                    <w:tr2bl w:val="nil"/>
                  </w:tcBorders>
                  <w:noWrap/>
                  <w:tcMar>
                    <w:top w:w="0" w:type="dxa"/>
                    <w:left w:w="0" w:type="dxa"/>
                    <w:bottom w:w="0" w:type="dxa"/>
                    <w:right w:w="0" w:type="dxa"/>
                  </w:tcMar>
                  <w:vAlign w:val="center"/>
                </w:tcPr>
                <w:p w14:paraId="0ACA9469">
                  <w:pPr>
                    <w:jc w:val="center"/>
                    <w:rPr>
                      <w:rFonts w:cs="宋体"/>
                      <w:b/>
                      <w:color w:val="000000"/>
                      <w:szCs w:val="20"/>
                      <w:u w:val="none" w:color="auto"/>
                    </w:rPr>
                  </w:pPr>
                  <w:r>
                    <w:rPr>
                      <w:rFonts w:hint="eastAsia" w:cs="宋体"/>
                      <w:b/>
                      <w:color w:val="000000"/>
                      <w:szCs w:val="20"/>
                      <w:u w:val="none" w:color="auto"/>
                    </w:rPr>
                    <w:t>污染治理措施工艺</w:t>
                  </w:r>
                </w:p>
              </w:tc>
              <w:tc>
                <w:tcPr>
                  <w:tcW w:w="425" w:type="pct"/>
                  <w:vMerge w:val="continue"/>
                  <w:tcBorders>
                    <w:tl2br w:val="nil"/>
                    <w:tr2bl w:val="nil"/>
                  </w:tcBorders>
                  <w:noWrap/>
                  <w:vAlign w:val="center"/>
                </w:tcPr>
                <w:p w14:paraId="6E8B2E51">
                  <w:pPr>
                    <w:contextualSpacing/>
                    <w:jc w:val="center"/>
                    <w:textAlignment w:val="baseline"/>
                    <w:rPr>
                      <w:color w:val="000000"/>
                      <w:kern w:val="0"/>
                      <w:szCs w:val="21"/>
                      <w:u w:val="none" w:color="auto"/>
                    </w:rPr>
                  </w:pPr>
                </w:p>
              </w:tc>
              <w:tc>
                <w:tcPr>
                  <w:tcW w:w="425" w:type="pct"/>
                  <w:vMerge w:val="continue"/>
                  <w:tcBorders>
                    <w:tl2br w:val="nil"/>
                    <w:tr2bl w:val="nil"/>
                  </w:tcBorders>
                  <w:noWrap/>
                  <w:vAlign w:val="center"/>
                </w:tcPr>
                <w:p w14:paraId="1BC042C8">
                  <w:pPr>
                    <w:contextualSpacing/>
                    <w:jc w:val="center"/>
                    <w:textAlignment w:val="baseline"/>
                    <w:rPr>
                      <w:color w:val="000000"/>
                      <w:kern w:val="0"/>
                      <w:szCs w:val="21"/>
                      <w:u w:val="none" w:color="auto"/>
                    </w:rPr>
                  </w:pPr>
                </w:p>
              </w:tc>
              <w:tc>
                <w:tcPr>
                  <w:tcW w:w="1080" w:type="pct"/>
                  <w:vMerge w:val="continue"/>
                  <w:tcBorders>
                    <w:tl2br w:val="nil"/>
                    <w:tr2bl w:val="nil"/>
                  </w:tcBorders>
                  <w:noWrap/>
                  <w:vAlign w:val="center"/>
                </w:tcPr>
                <w:p w14:paraId="2AD4555F">
                  <w:pPr>
                    <w:contextualSpacing/>
                    <w:jc w:val="center"/>
                    <w:textAlignment w:val="baseline"/>
                    <w:rPr>
                      <w:color w:val="000000"/>
                      <w:kern w:val="0"/>
                      <w:szCs w:val="21"/>
                      <w:u w:val="none" w:color="auto"/>
                    </w:rPr>
                  </w:pPr>
                </w:p>
              </w:tc>
            </w:tr>
            <w:tr w14:paraId="6043A15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346" w:type="pct"/>
                  <w:tcBorders>
                    <w:tl2br w:val="nil"/>
                    <w:tr2bl w:val="nil"/>
                  </w:tcBorders>
                  <w:noWrap/>
                  <w:tcMar>
                    <w:top w:w="0" w:type="dxa"/>
                    <w:left w:w="0" w:type="dxa"/>
                    <w:bottom w:w="0" w:type="dxa"/>
                    <w:right w:w="0" w:type="dxa"/>
                  </w:tcMar>
                  <w:vAlign w:val="center"/>
                </w:tcPr>
                <w:p w14:paraId="1CD39DC4">
                  <w:pPr>
                    <w:contextualSpacing/>
                    <w:jc w:val="center"/>
                    <w:textAlignment w:val="baseline"/>
                    <w:rPr>
                      <w:rFonts w:hint="default" w:eastAsia="宋体"/>
                      <w:color w:val="000000"/>
                      <w:kern w:val="0"/>
                      <w:szCs w:val="21"/>
                      <w:u w:val="none" w:color="auto"/>
                      <w:lang w:val="en-US" w:eastAsia="zh-CN"/>
                    </w:rPr>
                  </w:pPr>
                  <w:r>
                    <w:rPr>
                      <w:rFonts w:hint="eastAsia"/>
                      <w:color w:val="000000"/>
                      <w:kern w:val="0"/>
                      <w:szCs w:val="21"/>
                      <w:u w:val="none" w:color="auto"/>
                      <w:lang w:val="en-US" w:eastAsia="zh-CN"/>
                    </w:rPr>
                    <w:t>设备、地面清洗废水</w:t>
                  </w:r>
                </w:p>
              </w:tc>
              <w:tc>
                <w:tcPr>
                  <w:tcW w:w="511" w:type="pct"/>
                  <w:tcBorders>
                    <w:tl2br w:val="nil"/>
                    <w:tr2bl w:val="nil"/>
                  </w:tcBorders>
                  <w:noWrap/>
                  <w:tcMar>
                    <w:top w:w="0" w:type="dxa"/>
                    <w:left w:w="0" w:type="dxa"/>
                    <w:bottom w:w="0" w:type="dxa"/>
                    <w:right w:w="0" w:type="dxa"/>
                  </w:tcMar>
                  <w:vAlign w:val="center"/>
                </w:tcPr>
                <w:p w14:paraId="096B6B1E">
                  <w:pPr>
                    <w:contextualSpacing/>
                    <w:jc w:val="center"/>
                    <w:textAlignment w:val="baseline"/>
                    <w:rPr>
                      <w:rFonts w:hint="default" w:eastAsia="宋体"/>
                      <w:color w:val="000000"/>
                      <w:kern w:val="0"/>
                      <w:szCs w:val="21"/>
                      <w:u w:val="none" w:color="auto"/>
                      <w:lang w:val="en-US" w:eastAsia="zh-CN"/>
                    </w:rPr>
                  </w:pPr>
                  <w:r>
                    <w:rPr>
                      <w:color w:val="000000"/>
                      <w:kern w:val="0"/>
                      <w:szCs w:val="21"/>
                      <w:u w:val="none" w:color="auto"/>
                    </w:rPr>
                    <w:t>COD、SS</w:t>
                  </w:r>
                  <w:r>
                    <w:rPr>
                      <w:rFonts w:hint="eastAsia"/>
                      <w:color w:val="000000"/>
                      <w:kern w:val="0"/>
                      <w:szCs w:val="21"/>
                      <w:u w:val="none" w:color="auto"/>
                    </w:rPr>
                    <w:t>、</w:t>
                  </w:r>
                  <w:r>
                    <w:rPr>
                      <w:rFonts w:hint="eastAsia"/>
                      <w:color w:val="000000"/>
                      <w:kern w:val="0"/>
                      <w:szCs w:val="21"/>
                      <w:u w:val="none" w:color="auto"/>
                      <w:lang w:val="en-US" w:eastAsia="zh-CN"/>
                    </w:rPr>
                    <w:t>总镍、总钴、总锰</w:t>
                  </w:r>
                </w:p>
              </w:tc>
              <w:tc>
                <w:tcPr>
                  <w:tcW w:w="339" w:type="pct"/>
                  <w:tcBorders>
                    <w:tl2br w:val="nil"/>
                    <w:tr2bl w:val="nil"/>
                  </w:tcBorders>
                  <w:noWrap/>
                  <w:tcMar>
                    <w:top w:w="0" w:type="dxa"/>
                    <w:left w:w="0" w:type="dxa"/>
                    <w:bottom w:w="0" w:type="dxa"/>
                    <w:right w:w="0" w:type="dxa"/>
                  </w:tcMar>
                  <w:vAlign w:val="center"/>
                </w:tcPr>
                <w:p w14:paraId="32D90CAC">
                  <w:pPr>
                    <w:contextualSpacing/>
                    <w:jc w:val="center"/>
                    <w:textAlignment w:val="baseline"/>
                    <w:rPr>
                      <w:rFonts w:hint="default" w:eastAsia="宋体"/>
                      <w:color w:val="000000"/>
                      <w:kern w:val="0"/>
                      <w:szCs w:val="21"/>
                      <w:u w:val="none" w:color="auto"/>
                      <w:lang w:val="en-US" w:eastAsia="zh-CN"/>
                    </w:rPr>
                  </w:pPr>
                  <w:r>
                    <w:rPr>
                      <w:rFonts w:hint="eastAsia"/>
                      <w:color w:val="000000"/>
                      <w:kern w:val="0"/>
                      <w:szCs w:val="21"/>
                      <w:u w:val="none" w:color="auto"/>
                      <w:lang w:val="en-US" w:eastAsia="zh-CN"/>
                    </w:rPr>
                    <w:t>厂区污水处理站</w:t>
                  </w:r>
                </w:p>
              </w:tc>
              <w:tc>
                <w:tcPr>
                  <w:tcW w:w="339" w:type="pct"/>
                  <w:tcBorders>
                    <w:tl2br w:val="nil"/>
                    <w:tr2bl w:val="nil"/>
                  </w:tcBorders>
                  <w:noWrap/>
                  <w:tcMar>
                    <w:top w:w="0" w:type="dxa"/>
                    <w:left w:w="0" w:type="dxa"/>
                    <w:bottom w:w="0" w:type="dxa"/>
                    <w:right w:w="0" w:type="dxa"/>
                  </w:tcMar>
                  <w:vAlign w:val="center"/>
                </w:tcPr>
                <w:p w14:paraId="739ED7F4">
                  <w:pPr>
                    <w:contextualSpacing/>
                    <w:jc w:val="center"/>
                    <w:textAlignment w:val="baseline"/>
                    <w:rPr>
                      <w:color w:val="000000"/>
                      <w:kern w:val="0"/>
                      <w:szCs w:val="21"/>
                      <w:u w:val="none" w:color="auto"/>
                    </w:rPr>
                  </w:pPr>
                  <w:r>
                    <w:rPr>
                      <w:u w:val="none" w:color="auto"/>
                    </w:rPr>
                    <w:t>连续排放，流量不稳定，但有周期性规律</w:t>
                  </w:r>
                </w:p>
              </w:tc>
              <w:tc>
                <w:tcPr>
                  <w:tcW w:w="425" w:type="pct"/>
                  <w:tcBorders>
                    <w:tl2br w:val="nil"/>
                    <w:tr2bl w:val="nil"/>
                  </w:tcBorders>
                  <w:noWrap/>
                  <w:tcMar>
                    <w:top w:w="0" w:type="dxa"/>
                    <w:left w:w="0" w:type="dxa"/>
                    <w:bottom w:w="0" w:type="dxa"/>
                    <w:right w:w="0" w:type="dxa"/>
                  </w:tcMar>
                  <w:vAlign w:val="center"/>
                </w:tcPr>
                <w:p w14:paraId="31C6EF64">
                  <w:pPr>
                    <w:contextualSpacing/>
                    <w:jc w:val="center"/>
                    <w:textAlignment w:val="baseline"/>
                    <w:rPr>
                      <w:rFonts w:hint="eastAsia" w:eastAsia="宋体"/>
                      <w:color w:val="000000"/>
                      <w:kern w:val="0"/>
                      <w:szCs w:val="21"/>
                      <w:u w:val="none" w:color="auto"/>
                      <w:lang w:val="en-US" w:eastAsia="zh-CN"/>
                    </w:rPr>
                  </w:pPr>
                  <w:r>
                    <w:rPr>
                      <w:color w:val="000000"/>
                      <w:kern w:val="0"/>
                      <w:szCs w:val="21"/>
                      <w:u w:val="none" w:color="auto"/>
                    </w:rPr>
                    <w:t>TW00</w:t>
                  </w:r>
                  <w:r>
                    <w:rPr>
                      <w:rFonts w:hint="eastAsia"/>
                      <w:color w:val="000000"/>
                      <w:kern w:val="0"/>
                      <w:szCs w:val="21"/>
                      <w:u w:val="none" w:color="auto"/>
                      <w:lang w:val="en-US" w:eastAsia="zh-CN"/>
                    </w:rPr>
                    <w:t>1</w:t>
                  </w:r>
                </w:p>
              </w:tc>
              <w:tc>
                <w:tcPr>
                  <w:tcW w:w="425" w:type="pct"/>
                  <w:tcBorders>
                    <w:tl2br w:val="nil"/>
                    <w:tr2bl w:val="nil"/>
                  </w:tcBorders>
                  <w:noWrap/>
                  <w:tcMar>
                    <w:top w:w="0" w:type="dxa"/>
                    <w:left w:w="0" w:type="dxa"/>
                    <w:bottom w:w="0" w:type="dxa"/>
                    <w:right w:w="0" w:type="dxa"/>
                  </w:tcMar>
                  <w:vAlign w:val="center"/>
                </w:tcPr>
                <w:p w14:paraId="0A995B90">
                  <w:pPr>
                    <w:contextualSpacing/>
                    <w:jc w:val="center"/>
                    <w:textAlignment w:val="baseline"/>
                    <w:rPr>
                      <w:rFonts w:hint="default" w:eastAsia="宋体"/>
                      <w:color w:val="000000"/>
                      <w:kern w:val="0"/>
                      <w:szCs w:val="21"/>
                      <w:u w:val="none" w:color="auto"/>
                      <w:lang w:val="en-US" w:eastAsia="zh-CN"/>
                    </w:rPr>
                  </w:pPr>
                  <w:r>
                    <w:rPr>
                      <w:rFonts w:hint="eastAsia"/>
                      <w:color w:val="000000"/>
                      <w:kern w:val="0"/>
                      <w:szCs w:val="21"/>
                      <w:u w:val="none" w:color="auto"/>
                      <w:lang w:val="en-US" w:eastAsia="zh-CN"/>
                    </w:rPr>
                    <w:t>化学混凝沉淀池</w:t>
                  </w:r>
                </w:p>
              </w:tc>
              <w:tc>
                <w:tcPr>
                  <w:tcW w:w="679" w:type="pct"/>
                  <w:tcBorders>
                    <w:tl2br w:val="nil"/>
                    <w:tr2bl w:val="nil"/>
                  </w:tcBorders>
                  <w:noWrap/>
                  <w:tcMar>
                    <w:top w:w="0" w:type="dxa"/>
                    <w:left w:w="0" w:type="dxa"/>
                    <w:bottom w:w="0" w:type="dxa"/>
                    <w:right w:w="0" w:type="dxa"/>
                  </w:tcMar>
                  <w:vAlign w:val="center"/>
                </w:tcPr>
                <w:p w14:paraId="18FDD520">
                  <w:pPr>
                    <w:contextualSpacing/>
                    <w:jc w:val="center"/>
                    <w:textAlignment w:val="baseline"/>
                    <w:rPr>
                      <w:rFonts w:hint="default" w:eastAsia="宋体"/>
                      <w:color w:val="000000"/>
                      <w:kern w:val="0"/>
                      <w:szCs w:val="21"/>
                      <w:u w:val="none" w:color="auto"/>
                      <w:lang w:val="en-US" w:eastAsia="zh-CN"/>
                    </w:rPr>
                  </w:pPr>
                  <w:r>
                    <w:rPr>
                      <w:rFonts w:hint="eastAsia"/>
                      <w:color w:val="000000"/>
                      <w:kern w:val="0"/>
                      <w:szCs w:val="21"/>
                      <w:u w:val="none" w:color="auto"/>
                      <w:lang w:val="en-US" w:eastAsia="zh-CN"/>
                    </w:rPr>
                    <w:t>化学混凝沉淀池</w:t>
                  </w:r>
                </w:p>
              </w:tc>
              <w:tc>
                <w:tcPr>
                  <w:tcW w:w="425" w:type="pct"/>
                  <w:tcBorders>
                    <w:tl2br w:val="nil"/>
                    <w:tr2bl w:val="nil"/>
                  </w:tcBorders>
                  <w:noWrap/>
                  <w:tcMar>
                    <w:top w:w="0" w:type="dxa"/>
                    <w:left w:w="0" w:type="dxa"/>
                    <w:bottom w:w="0" w:type="dxa"/>
                    <w:right w:w="0" w:type="dxa"/>
                  </w:tcMar>
                  <w:vAlign w:val="center"/>
                </w:tcPr>
                <w:p w14:paraId="3F20D91E">
                  <w:pPr>
                    <w:contextualSpacing/>
                    <w:jc w:val="center"/>
                    <w:textAlignment w:val="baseline"/>
                    <w:rPr>
                      <w:rFonts w:hint="eastAsia" w:eastAsia="宋体"/>
                      <w:color w:val="000000"/>
                      <w:kern w:val="0"/>
                      <w:szCs w:val="21"/>
                      <w:u w:val="none" w:color="auto"/>
                      <w:lang w:eastAsia="zh-CN"/>
                    </w:rPr>
                  </w:pPr>
                  <w:r>
                    <w:rPr>
                      <w:color w:val="000000"/>
                      <w:kern w:val="0"/>
                      <w:szCs w:val="21"/>
                      <w:u w:val="none" w:color="auto"/>
                    </w:rPr>
                    <w:t>DW00</w:t>
                  </w:r>
                  <w:r>
                    <w:rPr>
                      <w:rFonts w:hint="eastAsia"/>
                      <w:color w:val="000000"/>
                      <w:kern w:val="0"/>
                      <w:szCs w:val="21"/>
                      <w:u w:val="none" w:color="auto"/>
                      <w:lang w:val="en-US" w:eastAsia="zh-CN"/>
                    </w:rPr>
                    <w:t>3</w:t>
                  </w:r>
                </w:p>
              </w:tc>
              <w:tc>
                <w:tcPr>
                  <w:tcW w:w="425" w:type="pct"/>
                  <w:tcBorders>
                    <w:tl2br w:val="nil"/>
                    <w:tr2bl w:val="nil"/>
                  </w:tcBorders>
                  <w:noWrap/>
                  <w:tcMar>
                    <w:top w:w="0" w:type="dxa"/>
                    <w:left w:w="0" w:type="dxa"/>
                    <w:bottom w:w="0" w:type="dxa"/>
                    <w:right w:w="0" w:type="dxa"/>
                  </w:tcMar>
                  <w:vAlign w:val="center"/>
                </w:tcPr>
                <w:p w14:paraId="52D55B3A">
                  <w:pPr>
                    <w:contextualSpacing/>
                    <w:jc w:val="center"/>
                    <w:textAlignment w:val="baseline"/>
                    <w:rPr>
                      <w:color w:val="000000"/>
                      <w:kern w:val="0"/>
                      <w:szCs w:val="21"/>
                      <w:u w:val="none" w:color="auto"/>
                    </w:rPr>
                  </w:pPr>
                  <w:r>
                    <w:rPr>
                      <w:color w:val="000000"/>
                      <w:kern w:val="0"/>
                      <w:szCs w:val="21"/>
                      <w:u w:val="none" w:color="auto"/>
                    </w:rPr>
                    <w:sym w:font="Wingdings" w:char="00FE"/>
                  </w:r>
                  <w:r>
                    <w:rPr>
                      <w:rFonts w:hint="eastAsia"/>
                      <w:color w:val="000000"/>
                      <w:kern w:val="0"/>
                      <w:szCs w:val="21"/>
                      <w:u w:val="none" w:color="auto"/>
                    </w:rPr>
                    <w:t>是</w:t>
                  </w:r>
                </w:p>
                <w:p w14:paraId="555301AA">
                  <w:pPr>
                    <w:contextualSpacing/>
                    <w:jc w:val="center"/>
                    <w:textAlignment w:val="baseline"/>
                    <w:rPr>
                      <w:color w:val="000000"/>
                      <w:kern w:val="0"/>
                      <w:szCs w:val="21"/>
                      <w:u w:val="none" w:color="auto"/>
                    </w:rPr>
                  </w:pPr>
                  <w:r>
                    <w:rPr>
                      <w:rFonts w:hint="eastAsia"/>
                      <w:color w:val="000000"/>
                      <w:kern w:val="0"/>
                      <w:szCs w:val="21"/>
                      <w:u w:val="none" w:color="auto"/>
                    </w:rPr>
                    <w:t>□否</w:t>
                  </w:r>
                </w:p>
              </w:tc>
              <w:tc>
                <w:tcPr>
                  <w:tcW w:w="1080" w:type="pct"/>
                  <w:tcBorders>
                    <w:tl2br w:val="nil"/>
                    <w:tr2bl w:val="nil"/>
                  </w:tcBorders>
                  <w:noWrap/>
                  <w:tcMar>
                    <w:top w:w="0" w:type="dxa"/>
                    <w:left w:w="0" w:type="dxa"/>
                    <w:bottom w:w="0" w:type="dxa"/>
                    <w:right w:w="0" w:type="dxa"/>
                  </w:tcMar>
                  <w:vAlign w:val="center"/>
                </w:tcPr>
                <w:p w14:paraId="06ED921B">
                  <w:pPr>
                    <w:contextualSpacing/>
                    <w:textAlignment w:val="baseline"/>
                    <w:rPr>
                      <w:rFonts w:hint="eastAsia" w:eastAsia="宋体"/>
                      <w:color w:val="000000"/>
                      <w:kern w:val="0"/>
                      <w:szCs w:val="21"/>
                      <w:u w:val="none" w:color="auto"/>
                      <w:lang w:val="en-US" w:eastAsia="zh-CN"/>
                    </w:rPr>
                  </w:pPr>
                  <w:r>
                    <w:rPr>
                      <w:color w:val="000000"/>
                      <w:kern w:val="0"/>
                      <w:szCs w:val="21"/>
                      <w:u w:val="none" w:color="auto"/>
                    </w:rPr>
                    <w:sym w:font="Wingdings" w:char="00A8"/>
                  </w:r>
                  <w:r>
                    <w:rPr>
                      <w:rFonts w:hint="eastAsia"/>
                      <w:color w:val="000000"/>
                      <w:kern w:val="0"/>
                      <w:szCs w:val="21"/>
                      <w:u w:val="none" w:color="auto"/>
                    </w:rPr>
                    <w:t>企业总排</w:t>
                  </w:r>
                  <w:r>
                    <w:rPr>
                      <w:rFonts w:hint="eastAsia"/>
                      <w:color w:val="000000"/>
                      <w:kern w:val="0"/>
                      <w:szCs w:val="21"/>
                      <w:u w:val="none" w:color="auto"/>
                      <w:lang w:val="en-US" w:eastAsia="zh-CN"/>
                    </w:rPr>
                    <w:t>口</w:t>
                  </w:r>
                </w:p>
                <w:p w14:paraId="03DEEAE9">
                  <w:pPr>
                    <w:contextualSpacing/>
                    <w:textAlignment w:val="baseline"/>
                    <w:rPr>
                      <w:rFonts w:hint="eastAsia" w:eastAsia="宋体"/>
                      <w:color w:val="000000"/>
                      <w:kern w:val="0"/>
                      <w:szCs w:val="21"/>
                      <w:u w:val="none" w:color="auto"/>
                      <w:lang w:val="en-US" w:eastAsia="zh-CN"/>
                    </w:rPr>
                  </w:pPr>
                  <w:r>
                    <w:rPr>
                      <w:rFonts w:hint="eastAsia"/>
                      <w:color w:val="000000"/>
                      <w:kern w:val="0"/>
                      <w:szCs w:val="21"/>
                      <w:u w:val="none" w:color="auto"/>
                    </w:rPr>
                    <w:t>□雨水排放</w:t>
                  </w:r>
                  <w:r>
                    <w:rPr>
                      <w:rFonts w:hint="eastAsia"/>
                      <w:color w:val="000000"/>
                      <w:kern w:val="0"/>
                      <w:szCs w:val="21"/>
                      <w:u w:val="none" w:color="auto"/>
                      <w:lang w:val="en-US" w:eastAsia="zh-CN"/>
                    </w:rPr>
                    <w:t>口</w:t>
                  </w:r>
                </w:p>
                <w:p w14:paraId="7323B36A">
                  <w:pPr>
                    <w:contextualSpacing/>
                    <w:textAlignment w:val="baseline"/>
                    <w:rPr>
                      <w:rFonts w:hint="eastAsia" w:eastAsia="宋体"/>
                      <w:color w:val="000000"/>
                      <w:kern w:val="0"/>
                      <w:szCs w:val="21"/>
                      <w:u w:val="none" w:color="auto"/>
                      <w:lang w:val="en-US" w:eastAsia="zh-CN"/>
                    </w:rPr>
                  </w:pPr>
                  <w:r>
                    <w:rPr>
                      <w:rFonts w:hint="eastAsia"/>
                      <w:color w:val="000000"/>
                      <w:kern w:val="0"/>
                      <w:szCs w:val="21"/>
                      <w:u w:val="none" w:color="auto"/>
                    </w:rPr>
                    <w:t>□清净下水排放</w:t>
                  </w:r>
                  <w:r>
                    <w:rPr>
                      <w:rFonts w:hint="eastAsia"/>
                      <w:color w:val="000000"/>
                      <w:kern w:val="0"/>
                      <w:szCs w:val="21"/>
                      <w:u w:val="none" w:color="auto"/>
                      <w:lang w:val="en-US" w:eastAsia="zh-CN"/>
                    </w:rPr>
                    <w:t>口</w:t>
                  </w:r>
                </w:p>
                <w:p w14:paraId="4048BEA4">
                  <w:pPr>
                    <w:contextualSpacing/>
                    <w:textAlignment w:val="baseline"/>
                    <w:rPr>
                      <w:color w:val="000000"/>
                      <w:kern w:val="0"/>
                      <w:szCs w:val="21"/>
                      <w:u w:val="none" w:color="auto"/>
                    </w:rPr>
                  </w:pPr>
                  <w:r>
                    <w:rPr>
                      <w:rFonts w:hint="eastAsia"/>
                      <w:color w:val="000000"/>
                      <w:kern w:val="0"/>
                      <w:szCs w:val="21"/>
                      <w:u w:val="none" w:color="auto"/>
                    </w:rPr>
                    <w:t>□温排水排放</w:t>
                  </w:r>
                  <w:r>
                    <w:rPr>
                      <w:rFonts w:hint="eastAsia"/>
                      <w:color w:val="000000"/>
                      <w:kern w:val="0"/>
                      <w:szCs w:val="21"/>
                      <w:u w:val="none" w:color="auto"/>
                      <w:lang w:val="en-US" w:eastAsia="zh-CN"/>
                    </w:rPr>
                    <w:t>口</w:t>
                  </w:r>
                </w:p>
                <w:p w14:paraId="4497D63C">
                  <w:pPr>
                    <w:contextualSpacing/>
                    <w:textAlignment w:val="baseline"/>
                    <w:rPr>
                      <w:color w:val="000000"/>
                      <w:kern w:val="0"/>
                      <w:szCs w:val="21"/>
                      <w:u w:val="none" w:color="auto"/>
                    </w:rPr>
                  </w:pPr>
                  <w:r>
                    <w:rPr>
                      <w:rFonts w:hint="eastAsia"/>
                      <w:color w:val="000000"/>
                      <w:kern w:val="0"/>
                      <w:szCs w:val="21"/>
                      <w:u w:val="none" w:color="auto"/>
                      <w:lang w:eastAsia="zh-CN"/>
                    </w:rPr>
                    <w:t>☑</w:t>
                  </w:r>
                  <w:r>
                    <w:rPr>
                      <w:rFonts w:hint="eastAsia"/>
                      <w:color w:val="000000"/>
                      <w:kern w:val="0"/>
                      <w:szCs w:val="21"/>
                      <w:u w:val="none" w:color="auto"/>
                    </w:rPr>
                    <w:t>车间或车间处理设施排放口排放</w:t>
                  </w:r>
                </w:p>
              </w:tc>
            </w:tr>
            <w:tr w14:paraId="7547766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346" w:type="pct"/>
                  <w:tcBorders>
                    <w:tl2br w:val="nil"/>
                    <w:tr2bl w:val="nil"/>
                  </w:tcBorders>
                  <w:shd w:val="clear" w:color="auto" w:fill="auto"/>
                  <w:noWrap/>
                  <w:tcMar>
                    <w:top w:w="0" w:type="dxa"/>
                    <w:left w:w="0" w:type="dxa"/>
                    <w:bottom w:w="0" w:type="dxa"/>
                    <w:right w:w="0" w:type="dxa"/>
                  </w:tcMar>
                  <w:vAlign w:val="center"/>
                </w:tcPr>
                <w:p w14:paraId="19674FBE">
                  <w:pPr>
                    <w:contextualSpacing/>
                    <w:jc w:val="center"/>
                    <w:textAlignment w:val="baseline"/>
                    <w:rPr>
                      <w:rFonts w:hint="eastAsia" w:ascii="Times New Roman" w:hAnsi="Times New Roman" w:eastAsia="宋体" w:cs="Times New Roman"/>
                      <w:color w:val="000000"/>
                      <w:kern w:val="0"/>
                      <w:sz w:val="21"/>
                      <w:szCs w:val="21"/>
                      <w:u w:val="none" w:color="auto"/>
                      <w:lang w:val="en-US" w:eastAsia="zh-CN" w:bidi="ar-SA"/>
                    </w:rPr>
                  </w:pPr>
                  <w:r>
                    <w:rPr>
                      <w:rFonts w:hint="eastAsia"/>
                      <w:color w:val="000000"/>
                      <w:kern w:val="0"/>
                      <w:szCs w:val="21"/>
                      <w:u w:val="none" w:color="auto"/>
                      <w:lang w:val="en-US" w:eastAsia="zh-CN"/>
                    </w:rPr>
                    <w:t>生产废水</w:t>
                  </w:r>
                </w:p>
              </w:tc>
              <w:tc>
                <w:tcPr>
                  <w:tcW w:w="511" w:type="pct"/>
                  <w:tcBorders>
                    <w:tl2br w:val="nil"/>
                    <w:tr2bl w:val="nil"/>
                  </w:tcBorders>
                  <w:shd w:val="clear" w:color="auto" w:fill="auto"/>
                  <w:noWrap/>
                  <w:tcMar>
                    <w:top w:w="0" w:type="dxa"/>
                    <w:left w:w="0" w:type="dxa"/>
                    <w:bottom w:w="0" w:type="dxa"/>
                    <w:right w:w="0" w:type="dxa"/>
                  </w:tcMar>
                  <w:vAlign w:val="center"/>
                </w:tcPr>
                <w:p w14:paraId="770F0CBB">
                  <w:pPr>
                    <w:contextualSpacing/>
                    <w:jc w:val="center"/>
                    <w:textAlignment w:val="baseline"/>
                    <w:rPr>
                      <w:rFonts w:hint="default" w:ascii="Times New Roman" w:hAnsi="Times New Roman" w:eastAsia="宋体" w:cs="Times New Roman"/>
                      <w:color w:val="000000"/>
                      <w:kern w:val="0"/>
                      <w:sz w:val="21"/>
                      <w:szCs w:val="21"/>
                      <w:u w:val="none" w:color="auto"/>
                      <w:lang w:val="en-US" w:eastAsia="zh-CN" w:bidi="ar-SA"/>
                    </w:rPr>
                  </w:pPr>
                  <w:r>
                    <w:rPr>
                      <w:color w:val="000000"/>
                      <w:kern w:val="0"/>
                      <w:szCs w:val="21"/>
                      <w:u w:val="none" w:color="auto"/>
                    </w:rPr>
                    <w:t>COD、SS</w:t>
                  </w:r>
                  <w:r>
                    <w:rPr>
                      <w:rFonts w:hint="eastAsia"/>
                      <w:color w:val="000000"/>
                      <w:kern w:val="0"/>
                      <w:szCs w:val="21"/>
                      <w:u w:val="none" w:color="auto"/>
                    </w:rPr>
                    <w:t>、</w:t>
                  </w:r>
                  <w:r>
                    <w:rPr>
                      <w:color w:val="000000"/>
                      <w:kern w:val="0"/>
                      <w:szCs w:val="21"/>
                      <w:u w:val="none" w:color="auto"/>
                    </w:rPr>
                    <w:t>NH</w:t>
                  </w:r>
                  <w:r>
                    <w:rPr>
                      <w:color w:val="000000"/>
                      <w:kern w:val="0"/>
                      <w:szCs w:val="21"/>
                      <w:u w:val="none" w:color="auto"/>
                      <w:vertAlign w:val="subscript"/>
                    </w:rPr>
                    <w:t>3</w:t>
                  </w:r>
                  <w:r>
                    <w:rPr>
                      <w:color w:val="000000"/>
                      <w:kern w:val="0"/>
                      <w:szCs w:val="21"/>
                      <w:u w:val="none" w:color="auto"/>
                    </w:rPr>
                    <w:t>-N、</w:t>
                  </w:r>
                  <w:r>
                    <w:rPr>
                      <w:color w:val="000000" w:themeColor="text1"/>
                      <w:kern w:val="0"/>
                      <w:szCs w:val="21"/>
                      <w:u w:val="none" w:color="auto"/>
                      <w14:textFill>
                        <w14:solidFill>
                          <w14:schemeClr w14:val="tx1"/>
                        </w14:solidFill>
                      </w14:textFill>
                    </w:rPr>
                    <w:t>TP、TN</w:t>
                  </w:r>
                  <w:r>
                    <w:rPr>
                      <w:rFonts w:hint="eastAsia"/>
                      <w:color w:val="000000" w:themeColor="text1"/>
                      <w:kern w:val="0"/>
                      <w:szCs w:val="21"/>
                      <w:u w:val="none" w:color="auto"/>
                      <w:lang w:eastAsia="zh-CN"/>
                      <w14:textFill>
                        <w14:solidFill>
                          <w14:schemeClr w14:val="tx1"/>
                        </w14:solidFill>
                      </w14:textFill>
                    </w:rPr>
                    <w:t>、</w:t>
                  </w:r>
                  <w:r>
                    <w:rPr>
                      <w:rFonts w:hint="eastAsia"/>
                      <w:color w:val="000000" w:themeColor="text1"/>
                      <w:kern w:val="0"/>
                      <w:szCs w:val="21"/>
                      <w:u w:val="none" w:color="auto"/>
                      <w:lang w:val="en-US" w:eastAsia="zh-CN"/>
                      <w14:textFill>
                        <w14:solidFill>
                          <w14:schemeClr w14:val="tx1"/>
                        </w14:solidFill>
                      </w14:textFill>
                    </w:rPr>
                    <w:t>总锰、总镍、总钴</w:t>
                  </w:r>
                </w:p>
              </w:tc>
              <w:tc>
                <w:tcPr>
                  <w:tcW w:w="339" w:type="pct"/>
                  <w:tcBorders>
                    <w:tl2br w:val="nil"/>
                    <w:tr2bl w:val="nil"/>
                  </w:tcBorders>
                  <w:shd w:val="clear" w:color="auto" w:fill="auto"/>
                  <w:noWrap/>
                  <w:tcMar>
                    <w:top w:w="0" w:type="dxa"/>
                    <w:left w:w="0" w:type="dxa"/>
                    <w:bottom w:w="0" w:type="dxa"/>
                    <w:right w:w="0" w:type="dxa"/>
                  </w:tcMar>
                  <w:vAlign w:val="center"/>
                </w:tcPr>
                <w:p w14:paraId="554B814A">
                  <w:pPr>
                    <w:contextualSpacing/>
                    <w:jc w:val="center"/>
                    <w:textAlignment w:val="baseline"/>
                    <w:rPr>
                      <w:rFonts w:hint="eastAsia" w:ascii="Times New Roman" w:hAnsi="Times New Roman" w:eastAsia="宋体" w:cs="Times New Roman"/>
                      <w:color w:val="000000"/>
                      <w:kern w:val="0"/>
                      <w:sz w:val="21"/>
                      <w:szCs w:val="21"/>
                      <w:u w:val="none" w:color="auto"/>
                      <w:lang w:val="en-US" w:eastAsia="zh-CN" w:bidi="ar-SA"/>
                    </w:rPr>
                  </w:pPr>
                  <w:r>
                    <w:rPr>
                      <w:rFonts w:hint="eastAsia"/>
                      <w:color w:val="000000"/>
                      <w:kern w:val="0"/>
                      <w:szCs w:val="21"/>
                      <w:u w:val="none" w:color="auto"/>
                    </w:rPr>
                    <w:t>城镇</w:t>
                  </w:r>
                  <w:r>
                    <w:rPr>
                      <w:color w:val="000000"/>
                      <w:kern w:val="0"/>
                      <w:szCs w:val="21"/>
                      <w:u w:val="none" w:color="auto"/>
                    </w:rPr>
                    <w:t>污水处理厂</w:t>
                  </w:r>
                </w:p>
              </w:tc>
              <w:tc>
                <w:tcPr>
                  <w:tcW w:w="339" w:type="pct"/>
                  <w:tcBorders>
                    <w:tl2br w:val="nil"/>
                    <w:tr2bl w:val="nil"/>
                  </w:tcBorders>
                  <w:shd w:val="clear" w:color="auto" w:fill="auto"/>
                  <w:noWrap/>
                  <w:tcMar>
                    <w:top w:w="0" w:type="dxa"/>
                    <w:left w:w="0" w:type="dxa"/>
                    <w:bottom w:w="0" w:type="dxa"/>
                    <w:right w:w="0" w:type="dxa"/>
                  </w:tcMar>
                  <w:vAlign w:val="center"/>
                </w:tcPr>
                <w:p w14:paraId="255B8F5F">
                  <w:pPr>
                    <w:contextualSpacing/>
                    <w:jc w:val="center"/>
                    <w:textAlignment w:val="baseline"/>
                    <w:rPr>
                      <w:rFonts w:ascii="Times New Roman" w:hAnsi="Times New Roman" w:eastAsia="宋体" w:cs="Times New Roman"/>
                      <w:kern w:val="2"/>
                      <w:sz w:val="21"/>
                      <w:szCs w:val="24"/>
                      <w:u w:val="none" w:color="auto"/>
                      <w:lang w:val="en-US" w:eastAsia="zh-CN" w:bidi="ar-SA"/>
                    </w:rPr>
                  </w:pPr>
                  <w:r>
                    <w:rPr>
                      <w:u w:val="none" w:color="auto"/>
                    </w:rPr>
                    <w:t>连续排放，流量不稳定，但有周期性规律</w:t>
                  </w:r>
                </w:p>
              </w:tc>
              <w:tc>
                <w:tcPr>
                  <w:tcW w:w="425" w:type="pct"/>
                  <w:tcBorders>
                    <w:tl2br w:val="nil"/>
                    <w:tr2bl w:val="nil"/>
                  </w:tcBorders>
                  <w:shd w:val="clear" w:color="auto" w:fill="auto"/>
                  <w:noWrap/>
                  <w:tcMar>
                    <w:top w:w="0" w:type="dxa"/>
                    <w:left w:w="0" w:type="dxa"/>
                    <w:bottom w:w="0" w:type="dxa"/>
                    <w:right w:w="0" w:type="dxa"/>
                  </w:tcMar>
                  <w:vAlign w:val="center"/>
                </w:tcPr>
                <w:p w14:paraId="0B43C758">
                  <w:pPr>
                    <w:contextualSpacing/>
                    <w:jc w:val="center"/>
                    <w:textAlignment w:val="baseline"/>
                    <w:rPr>
                      <w:rFonts w:hint="eastAsia" w:ascii="Times New Roman" w:hAnsi="Times New Roman" w:eastAsia="宋体" w:cs="Times New Roman"/>
                      <w:color w:val="000000"/>
                      <w:kern w:val="0"/>
                      <w:sz w:val="21"/>
                      <w:szCs w:val="21"/>
                      <w:u w:val="none" w:color="auto"/>
                      <w:lang w:val="en-US" w:eastAsia="zh-CN" w:bidi="ar-SA"/>
                    </w:rPr>
                  </w:pPr>
                  <w:r>
                    <w:rPr>
                      <w:color w:val="000000"/>
                      <w:kern w:val="0"/>
                      <w:szCs w:val="21"/>
                      <w:u w:val="none" w:color="auto"/>
                    </w:rPr>
                    <w:t>TW00</w:t>
                  </w:r>
                  <w:r>
                    <w:rPr>
                      <w:rFonts w:hint="eastAsia"/>
                      <w:color w:val="000000"/>
                      <w:kern w:val="0"/>
                      <w:szCs w:val="21"/>
                      <w:u w:val="none" w:color="auto"/>
                      <w:lang w:val="en-US" w:eastAsia="zh-CN"/>
                    </w:rPr>
                    <w:t>2</w:t>
                  </w:r>
                </w:p>
              </w:tc>
              <w:tc>
                <w:tcPr>
                  <w:tcW w:w="425" w:type="pct"/>
                  <w:tcBorders>
                    <w:tl2br w:val="nil"/>
                    <w:tr2bl w:val="nil"/>
                  </w:tcBorders>
                  <w:shd w:val="clear" w:color="auto" w:fill="auto"/>
                  <w:noWrap/>
                  <w:tcMar>
                    <w:top w:w="0" w:type="dxa"/>
                    <w:left w:w="0" w:type="dxa"/>
                    <w:bottom w:w="0" w:type="dxa"/>
                    <w:right w:w="0" w:type="dxa"/>
                  </w:tcMar>
                  <w:vAlign w:val="center"/>
                </w:tcPr>
                <w:p w14:paraId="573663A1">
                  <w:pPr>
                    <w:contextualSpacing/>
                    <w:jc w:val="center"/>
                    <w:textAlignment w:val="baseline"/>
                    <w:rPr>
                      <w:rFonts w:hint="eastAsia" w:ascii="Times New Roman" w:hAnsi="Times New Roman" w:eastAsia="宋体" w:cs="Times New Roman"/>
                      <w:color w:val="000000"/>
                      <w:kern w:val="0"/>
                      <w:sz w:val="21"/>
                      <w:szCs w:val="21"/>
                      <w:u w:val="none" w:color="auto"/>
                      <w:lang w:val="en-US" w:eastAsia="zh-CN" w:bidi="ar-SA"/>
                    </w:rPr>
                  </w:pPr>
                  <w:r>
                    <w:rPr>
                      <w:rFonts w:hint="eastAsia"/>
                      <w:color w:val="000000"/>
                      <w:kern w:val="0"/>
                      <w:szCs w:val="21"/>
                      <w:u w:val="none" w:color="auto"/>
                      <w:lang w:val="en-US" w:eastAsia="zh-CN"/>
                    </w:rPr>
                    <w:t>生产废水处理系统</w:t>
                  </w:r>
                </w:p>
              </w:tc>
              <w:tc>
                <w:tcPr>
                  <w:tcW w:w="679" w:type="pct"/>
                  <w:tcBorders>
                    <w:tl2br w:val="nil"/>
                    <w:tr2bl w:val="nil"/>
                  </w:tcBorders>
                  <w:shd w:val="clear" w:color="auto" w:fill="auto"/>
                  <w:noWrap/>
                  <w:tcMar>
                    <w:top w:w="0" w:type="dxa"/>
                    <w:left w:w="0" w:type="dxa"/>
                    <w:bottom w:w="0" w:type="dxa"/>
                    <w:right w:w="0" w:type="dxa"/>
                  </w:tcMar>
                  <w:vAlign w:val="center"/>
                </w:tcPr>
                <w:p w14:paraId="5F4EC1D0">
                  <w:pPr>
                    <w:contextualSpacing/>
                    <w:jc w:val="center"/>
                    <w:textAlignment w:val="baseline"/>
                    <w:rPr>
                      <w:rFonts w:hint="eastAsia" w:ascii="Times New Roman" w:hAnsi="Times New Roman" w:eastAsia="宋体" w:cs="Times New Roman"/>
                      <w:bCs/>
                      <w:kern w:val="2"/>
                      <w:sz w:val="21"/>
                      <w:szCs w:val="21"/>
                      <w:u w:val="none" w:color="auto"/>
                      <w:lang w:val="en-US" w:eastAsia="zh-CN" w:bidi="ar-SA"/>
                    </w:rPr>
                  </w:pPr>
                  <w:r>
                    <w:rPr>
                      <w:rFonts w:hint="eastAsia"/>
                      <w:bCs/>
                      <w:szCs w:val="21"/>
                      <w:u w:val="none" w:color="auto"/>
                      <w:lang w:val="pt-BR"/>
                    </w:rPr>
                    <w:t>混凝沉淀</w:t>
                  </w:r>
                  <w:r>
                    <w:rPr>
                      <w:rFonts w:hint="eastAsia"/>
                      <w:bCs/>
                      <w:szCs w:val="21"/>
                      <w:u w:val="none" w:color="auto"/>
                    </w:rPr>
                    <w:t>+水解酸化+AO工艺处理</w:t>
                  </w:r>
                  <w:r>
                    <w:rPr>
                      <w:rFonts w:hint="eastAsia"/>
                      <w:bCs/>
                      <w:szCs w:val="21"/>
                      <w:u w:val="none" w:color="auto"/>
                      <w:lang w:val="en-US" w:eastAsia="zh-CN"/>
                    </w:rPr>
                    <w:t>+二沉池</w:t>
                  </w:r>
                </w:p>
              </w:tc>
              <w:tc>
                <w:tcPr>
                  <w:tcW w:w="425" w:type="pct"/>
                  <w:tcBorders>
                    <w:tl2br w:val="nil"/>
                    <w:tr2bl w:val="nil"/>
                  </w:tcBorders>
                  <w:shd w:val="clear" w:color="auto" w:fill="auto"/>
                  <w:noWrap/>
                  <w:tcMar>
                    <w:top w:w="0" w:type="dxa"/>
                    <w:left w:w="0" w:type="dxa"/>
                    <w:bottom w:w="0" w:type="dxa"/>
                    <w:right w:w="0" w:type="dxa"/>
                  </w:tcMar>
                  <w:vAlign w:val="center"/>
                </w:tcPr>
                <w:p w14:paraId="222BC189">
                  <w:pPr>
                    <w:contextualSpacing/>
                    <w:jc w:val="center"/>
                    <w:textAlignment w:val="baseline"/>
                    <w:rPr>
                      <w:rFonts w:hint="eastAsia" w:ascii="Times New Roman" w:hAnsi="Times New Roman" w:eastAsia="宋体" w:cs="Times New Roman"/>
                      <w:color w:val="000000"/>
                      <w:kern w:val="0"/>
                      <w:sz w:val="21"/>
                      <w:szCs w:val="21"/>
                      <w:u w:val="none" w:color="auto"/>
                      <w:lang w:val="en-US" w:eastAsia="zh-CN" w:bidi="ar-SA"/>
                    </w:rPr>
                  </w:pPr>
                  <w:r>
                    <w:rPr>
                      <w:color w:val="000000"/>
                      <w:kern w:val="0"/>
                      <w:szCs w:val="21"/>
                      <w:u w:val="none" w:color="auto"/>
                    </w:rPr>
                    <w:t>DW00</w:t>
                  </w:r>
                  <w:r>
                    <w:rPr>
                      <w:rFonts w:hint="eastAsia"/>
                      <w:color w:val="000000"/>
                      <w:kern w:val="0"/>
                      <w:szCs w:val="21"/>
                      <w:u w:val="none" w:color="auto"/>
                      <w:lang w:val="en-US" w:eastAsia="zh-CN"/>
                    </w:rPr>
                    <w:t>2</w:t>
                  </w:r>
                </w:p>
              </w:tc>
              <w:tc>
                <w:tcPr>
                  <w:tcW w:w="425" w:type="pct"/>
                  <w:tcBorders>
                    <w:tl2br w:val="nil"/>
                    <w:tr2bl w:val="nil"/>
                  </w:tcBorders>
                  <w:shd w:val="clear" w:color="auto" w:fill="auto"/>
                  <w:noWrap/>
                  <w:tcMar>
                    <w:top w:w="0" w:type="dxa"/>
                    <w:left w:w="0" w:type="dxa"/>
                    <w:bottom w:w="0" w:type="dxa"/>
                    <w:right w:w="0" w:type="dxa"/>
                  </w:tcMar>
                  <w:vAlign w:val="center"/>
                </w:tcPr>
                <w:p w14:paraId="27206820">
                  <w:pPr>
                    <w:contextualSpacing/>
                    <w:jc w:val="center"/>
                    <w:textAlignment w:val="baseline"/>
                    <w:rPr>
                      <w:color w:val="000000"/>
                      <w:kern w:val="0"/>
                      <w:szCs w:val="21"/>
                      <w:u w:val="none" w:color="auto"/>
                    </w:rPr>
                  </w:pPr>
                  <w:r>
                    <w:rPr>
                      <w:color w:val="000000"/>
                      <w:kern w:val="0"/>
                      <w:szCs w:val="21"/>
                      <w:u w:val="none" w:color="auto"/>
                    </w:rPr>
                    <w:sym w:font="Wingdings" w:char="00FE"/>
                  </w:r>
                  <w:r>
                    <w:rPr>
                      <w:rFonts w:hint="eastAsia"/>
                      <w:color w:val="000000"/>
                      <w:kern w:val="0"/>
                      <w:szCs w:val="21"/>
                      <w:u w:val="none" w:color="auto"/>
                    </w:rPr>
                    <w:t>是</w:t>
                  </w:r>
                </w:p>
                <w:p w14:paraId="74BDD66F">
                  <w:pPr>
                    <w:contextualSpacing/>
                    <w:jc w:val="center"/>
                    <w:textAlignment w:val="baseline"/>
                    <w:rPr>
                      <w:rFonts w:hint="eastAsia" w:ascii="Times New Roman" w:hAnsi="Times New Roman" w:eastAsia="宋体" w:cs="Times New Roman"/>
                      <w:color w:val="000000"/>
                      <w:kern w:val="0"/>
                      <w:sz w:val="21"/>
                      <w:szCs w:val="21"/>
                      <w:u w:val="none" w:color="auto"/>
                      <w:lang w:val="en-US" w:eastAsia="zh-CN" w:bidi="ar-SA"/>
                    </w:rPr>
                  </w:pPr>
                  <w:r>
                    <w:rPr>
                      <w:rFonts w:hint="eastAsia"/>
                      <w:color w:val="000000"/>
                      <w:kern w:val="0"/>
                      <w:szCs w:val="21"/>
                      <w:u w:val="none" w:color="auto"/>
                    </w:rPr>
                    <w:t>□否</w:t>
                  </w:r>
                </w:p>
              </w:tc>
              <w:tc>
                <w:tcPr>
                  <w:tcW w:w="1080" w:type="pct"/>
                  <w:tcBorders>
                    <w:tl2br w:val="nil"/>
                    <w:tr2bl w:val="nil"/>
                  </w:tcBorders>
                  <w:shd w:val="clear" w:color="auto" w:fill="auto"/>
                  <w:noWrap/>
                  <w:tcMar>
                    <w:top w:w="0" w:type="dxa"/>
                    <w:left w:w="0" w:type="dxa"/>
                    <w:bottom w:w="0" w:type="dxa"/>
                    <w:right w:w="0" w:type="dxa"/>
                  </w:tcMar>
                  <w:vAlign w:val="center"/>
                </w:tcPr>
                <w:p w14:paraId="2E3D66D4">
                  <w:pPr>
                    <w:contextualSpacing/>
                    <w:textAlignment w:val="baseline"/>
                    <w:rPr>
                      <w:rFonts w:hint="eastAsia" w:eastAsia="宋体"/>
                      <w:color w:val="000000"/>
                      <w:kern w:val="0"/>
                      <w:szCs w:val="21"/>
                      <w:u w:val="none" w:color="auto"/>
                      <w:lang w:val="en-US" w:eastAsia="zh-CN"/>
                    </w:rPr>
                  </w:pPr>
                  <w:r>
                    <w:rPr>
                      <w:color w:val="000000"/>
                      <w:kern w:val="0"/>
                      <w:szCs w:val="21"/>
                      <w:u w:val="none" w:color="auto"/>
                    </w:rPr>
                    <w:sym w:font="Wingdings" w:char="00FE"/>
                  </w:r>
                  <w:r>
                    <w:rPr>
                      <w:rFonts w:hint="eastAsia"/>
                      <w:color w:val="000000"/>
                      <w:kern w:val="0"/>
                      <w:szCs w:val="21"/>
                      <w:u w:val="none" w:color="auto"/>
                    </w:rPr>
                    <w:t>企业总排</w:t>
                  </w:r>
                  <w:r>
                    <w:rPr>
                      <w:rFonts w:hint="eastAsia"/>
                      <w:color w:val="000000"/>
                      <w:kern w:val="0"/>
                      <w:szCs w:val="21"/>
                      <w:u w:val="none" w:color="auto"/>
                      <w:lang w:val="en-US" w:eastAsia="zh-CN"/>
                    </w:rPr>
                    <w:t>口</w:t>
                  </w:r>
                </w:p>
                <w:p w14:paraId="67BB8ADB">
                  <w:pPr>
                    <w:contextualSpacing/>
                    <w:textAlignment w:val="baseline"/>
                    <w:rPr>
                      <w:rFonts w:hint="eastAsia" w:eastAsia="宋体"/>
                      <w:color w:val="000000"/>
                      <w:kern w:val="0"/>
                      <w:szCs w:val="21"/>
                      <w:u w:val="none" w:color="auto"/>
                      <w:lang w:val="en-US" w:eastAsia="zh-CN"/>
                    </w:rPr>
                  </w:pPr>
                  <w:r>
                    <w:rPr>
                      <w:rFonts w:hint="eastAsia"/>
                      <w:color w:val="000000"/>
                      <w:kern w:val="0"/>
                      <w:szCs w:val="21"/>
                      <w:u w:val="none" w:color="auto"/>
                    </w:rPr>
                    <w:t>□雨水排放</w:t>
                  </w:r>
                  <w:r>
                    <w:rPr>
                      <w:rFonts w:hint="eastAsia"/>
                      <w:color w:val="000000"/>
                      <w:kern w:val="0"/>
                      <w:szCs w:val="21"/>
                      <w:u w:val="none" w:color="auto"/>
                      <w:lang w:val="en-US" w:eastAsia="zh-CN"/>
                    </w:rPr>
                    <w:t>口</w:t>
                  </w:r>
                </w:p>
                <w:p w14:paraId="39726493">
                  <w:pPr>
                    <w:contextualSpacing/>
                    <w:textAlignment w:val="baseline"/>
                    <w:rPr>
                      <w:rFonts w:hint="eastAsia" w:eastAsia="宋体"/>
                      <w:color w:val="000000"/>
                      <w:kern w:val="0"/>
                      <w:szCs w:val="21"/>
                      <w:u w:val="none" w:color="auto"/>
                      <w:lang w:val="en-US" w:eastAsia="zh-CN"/>
                    </w:rPr>
                  </w:pPr>
                  <w:r>
                    <w:rPr>
                      <w:rFonts w:hint="eastAsia"/>
                      <w:color w:val="000000"/>
                      <w:kern w:val="0"/>
                      <w:szCs w:val="21"/>
                      <w:u w:val="none" w:color="auto"/>
                    </w:rPr>
                    <w:t>□清净下水排放</w:t>
                  </w:r>
                  <w:r>
                    <w:rPr>
                      <w:rFonts w:hint="eastAsia"/>
                      <w:color w:val="000000"/>
                      <w:kern w:val="0"/>
                      <w:szCs w:val="21"/>
                      <w:u w:val="none" w:color="auto"/>
                      <w:lang w:val="en-US" w:eastAsia="zh-CN"/>
                    </w:rPr>
                    <w:t>口</w:t>
                  </w:r>
                </w:p>
                <w:p w14:paraId="7A534079">
                  <w:pPr>
                    <w:contextualSpacing/>
                    <w:textAlignment w:val="baseline"/>
                    <w:rPr>
                      <w:color w:val="000000"/>
                      <w:kern w:val="0"/>
                      <w:szCs w:val="21"/>
                      <w:u w:val="none" w:color="auto"/>
                    </w:rPr>
                  </w:pPr>
                  <w:r>
                    <w:rPr>
                      <w:rFonts w:hint="eastAsia"/>
                      <w:color w:val="000000"/>
                      <w:kern w:val="0"/>
                      <w:szCs w:val="21"/>
                      <w:u w:val="none" w:color="auto"/>
                    </w:rPr>
                    <w:t>□温排水排放</w:t>
                  </w:r>
                  <w:r>
                    <w:rPr>
                      <w:rFonts w:hint="eastAsia"/>
                      <w:color w:val="000000"/>
                      <w:kern w:val="0"/>
                      <w:szCs w:val="21"/>
                      <w:u w:val="none" w:color="auto"/>
                      <w:lang w:val="en-US" w:eastAsia="zh-CN"/>
                    </w:rPr>
                    <w:t>口</w:t>
                  </w:r>
                </w:p>
                <w:p w14:paraId="58F0EC2A">
                  <w:pPr>
                    <w:contextualSpacing/>
                    <w:textAlignment w:val="baseline"/>
                    <w:rPr>
                      <w:rFonts w:hint="eastAsia" w:ascii="Times New Roman" w:hAnsi="Times New Roman" w:eastAsia="宋体" w:cs="Times New Roman"/>
                      <w:color w:val="000000"/>
                      <w:kern w:val="0"/>
                      <w:sz w:val="21"/>
                      <w:szCs w:val="21"/>
                      <w:u w:val="none" w:color="auto"/>
                      <w:lang w:val="en-US" w:eastAsia="zh-CN" w:bidi="ar-SA"/>
                    </w:rPr>
                  </w:pPr>
                  <w:r>
                    <w:rPr>
                      <w:rFonts w:hint="eastAsia"/>
                      <w:color w:val="000000"/>
                      <w:kern w:val="0"/>
                      <w:szCs w:val="21"/>
                      <w:u w:val="none" w:color="auto"/>
                    </w:rPr>
                    <w:t>□车间或车间处理设施排放口排放</w:t>
                  </w:r>
                </w:p>
              </w:tc>
            </w:tr>
            <w:tr w14:paraId="592C01D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346" w:type="pct"/>
                  <w:tcBorders>
                    <w:tl2br w:val="nil"/>
                    <w:tr2bl w:val="nil"/>
                  </w:tcBorders>
                  <w:shd w:val="clear" w:color="auto" w:fill="auto"/>
                  <w:noWrap/>
                  <w:tcMar>
                    <w:top w:w="0" w:type="dxa"/>
                    <w:left w:w="0" w:type="dxa"/>
                    <w:bottom w:w="0" w:type="dxa"/>
                    <w:right w:w="0" w:type="dxa"/>
                  </w:tcMar>
                  <w:vAlign w:val="center"/>
                </w:tcPr>
                <w:p w14:paraId="2FD6B11A">
                  <w:pPr>
                    <w:contextualSpacing/>
                    <w:jc w:val="center"/>
                    <w:textAlignment w:val="baseline"/>
                    <w:rPr>
                      <w:rFonts w:hint="default" w:ascii="Times New Roman" w:hAnsi="Times New Roman" w:eastAsia="宋体" w:cs="Times New Roman"/>
                      <w:color w:val="000000"/>
                      <w:kern w:val="0"/>
                      <w:sz w:val="21"/>
                      <w:szCs w:val="21"/>
                      <w:u w:val="none" w:color="auto"/>
                      <w:lang w:val="en-US" w:eastAsia="zh-CN" w:bidi="ar-SA"/>
                    </w:rPr>
                  </w:pPr>
                  <w:r>
                    <w:rPr>
                      <w:rFonts w:hint="eastAsia"/>
                      <w:color w:val="000000"/>
                      <w:kern w:val="0"/>
                      <w:szCs w:val="21"/>
                      <w:u w:val="none" w:color="auto"/>
                      <w:lang w:val="en-US" w:eastAsia="zh-CN"/>
                    </w:rPr>
                    <w:t>生活废水</w:t>
                  </w:r>
                </w:p>
              </w:tc>
              <w:tc>
                <w:tcPr>
                  <w:tcW w:w="511" w:type="pct"/>
                  <w:tcBorders>
                    <w:tl2br w:val="nil"/>
                    <w:tr2bl w:val="nil"/>
                  </w:tcBorders>
                  <w:shd w:val="clear" w:color="auto" w:fill="auto"/>
                  <w:noWrap/>
                  <w:tcMar>
                    <w:top w:w="0" w:type="dxa"/>
                    <w:left w:w="0" w:type="dxa"/>
                    <w:bottom w:w="0" w:type="dxa"/>
                    <w:right w:w="0" w:type="dxa"/>
                  </w:tcMar>
                  <w:vAlign w:val="center"/>
                </w:tcPr>
                <w:p w14:paraId="2B352799">
                  <w:pPr>
                    <w:contextualSpacing/>
                    <w:jc w:val="center"/>
                    <w:textAlignment w:val="baseline"/>
                    <w:rPr>
                      <w:rFonts w:hint="default" w:ascii="Times New Roman" w:hAnsi="Times New Roman" w:eastAsia="宋体" w:cs="Times New Roman"/>
                      <w:color w:val="000000"/>
                      <w:kern w:val="0"/>
                      <w:sz w:val="21"/>
                      <w:szCs w:val="21"/>
                      <w:u w:val="none" w:color="auto"/>
                      <w:lang w:val="en-US" w:eastAsia="zh-CN" w:bidi="ar-SA"/>
                    </w:rPr>
                  </w:pPr>
                  <w:r>
                    <w:rPr>
                      <w:color w:val="000000"/>
                      <w:kern w:val="0"/>
                      <w:szCs w:val="21"/>
                      <w:u w:val="none" w:color="auto"/>
                    </w:rPr>
                    <w:t>COD、SS</w:t>
                  </w:r>
                  <w:r>
                    <w:rPr>
                      <w:rFonts w:hint="eastAsia"/>
                      <w:color w:val="000000"/>
                      <w:kern w:val="0"/>
                      <w:szCs w:val="21"/>
                      <w:u w:val="none" w:color="auto"/>
                    </w:rPr>
                    <w:t>、</w:t>
                  </w:r>
                  <w:r>
                    <w:rPr>
                      <w:color w:val="000000"/>
                      <w:kern w:val="0"/>
                      <w:szCs w:val="21"/>
                      <w:u w:val="none" w:color="auto"/>
                    </w:rPr>
                    <w:t>NH</w:t>
                  </w:r>
                  <w:r>
                    <w:rPr>
                      <w:color w:val="000000"/>
                      <w:kern w:val="0"/>
                      <w:szCs w:val="21"/>
                      <w:u w:val="none" w:color="auto"/>
                      <w:vertAlign w:val="subscript"/>
                    </w:rPr>
                    <w:t>3</w:t>
                  </w:r>
                  <w:r>
                    <w:rPr>
                      <w:color w:val="000000"/>
                      <w:kern w:val="0"/>
                      <w:szCs w:val="21"/>
                      <w:u w:val="none" w:color="auto"/>
                    </w:rPr>
                    <w:t>-N、</w:t>
                  </w:r>
                  <w:r>
                    <w:rPr>
                      <w:color w:val="000000" w:themeColor="text1"/>
                      <w:kern w:val="0"/>
                      <w:szCs w:val="21"/>
                      <w:u w:val="none" w:color="auto"/>
                      <w14:textFill>
                        <w14:solidFill>
                          <w14:schemeClr w14:val="tx1"/>
                        </w14:solidFill>
                      </w14:textFill>
                    </w:rPr>
                    <w:t>TP、TN</w:t>
                  </w:r>
                </w:p>
              </w:tc>
              <w:tc>
                <w:tcPr>
                  <w:tcW w:w="339" w:type="pct"/>
                  <w:tcBorders>
                    <w:tl2br w:val="nil"/>
                    <w:tr2bl w:val="nil"/>
                  </w:tcBorders>
                  <w:shd w:val="clear" w:color="auto" w:fill="auto"/>
                  <w:noWrap/>
                  <w:tcMar>
                    <w:top w:w="0" w:type="dxa"/>
                    <w:left w:w="0" w:type="dxa"/>
                    <w:bottom w:w="0" w:type="dxa"/>
                    <w:right w:w="0" w:type="dxa"/>
                  </w:tcMar>
                  <w:vAlign w:val="center"/>
                </w:tcPr>
                <w:p w14:paraId="5D3E2ACC">
                  <w:pPr>
                    <w:contextualSpacing/>
                    <w:jc w:val="center"/>
                    <w:textAlignment w:val="baseline"/>
                    <w:rPr>
                      <w:rFonts w:hint="eastAsia" w:ascii="Times New Roman" w:hAnsi="Times New Roman" w:eastAsia="宋体" w:cs="Times New Roman"/>
                      <w:color w:val="000000"/>
                      <w:kern w:val="0"/>
                      <w:sz w:val="21"/>
                      <w:szCs w:val="21"/>
                      <w:u w:val="none" w:color="auto"/>
                      <w:lang w:val="en-US" w:eastAsia="zh-CN" w:bidi="ar-SA"/>
                    </w:rPr>
                  </w:pPr>
                  <w:r>
                    <w:rPr>
                      <w:rFonts w:hint="eastAsia"/>
                      <w:color w:val="000000"/>
                      <w:kern w:val="0"/>
                      <w:szCs w:val="21"/>
                      <w:u w:val="none" w:color="auto"/>
                    </w:rPr>
                    <w:t>城镇</w:t>
                  </w:r>
                  <w:r>
                    <w:rPr>
                      <w:color w:val="000000"/>
                      <w:kern w:val="0"/>
                      <w:szCs w:val="21"/>
                      <w:u w:val="none" w:color="auto"/>
                    </w:rPr>
                    <w:t>污水处理厂</w:t>
                  </w:r>
                </w:p>
              </w:tc>
              <w:tc>
                <w:tcPr>
                  <w:tcW w:w="339" w:type="pct"/>
                  <w:tcBorders>
                    <w:tl2br w:val="nil"/>
                    <w:tr2bl w:val="nil"/>
                  </w:tcBorders>
                  <w:shd w:val="clear" w:color="auto" w:fill="auto"/>
                  <w:noWrap/>
                  <w:tcMar>
                    <w:top w:w="0" w:type="dxa"/>
                    <w:left w:w="0" w:type="dxa"/>
                    <w:bottom w:w="0" w:type="dxa"/>
                    <w:right w:w="0" w:type="dxa"/>
                  </w:tcMar>
                  <w:vAlign w:val="center"/>
                </w:tcPr>
                <w:p w14:paraId="3E7831E3">
                  <w:pPr>
                    <w:contextualSpacing/>
                    <w:jc w:val="center"/>
                    <w:textAlignment w:val="baseline"/>
                    <w:rPr>
                      <w:rFonts w:ascii="Times New Roman" w:hAnsi="Times New Roman" w:eastAsia="宋体" w:cs="Times New Roman"/>
                      <w:kern w:val="2"/>
                      <w:sz w:val="21"/>
                      <w:szCs w:val="24"/>
                      <w:u w:val="none" w:color="auto"/>
                      <w:lang w:val="en-US" w:eastAsia="zh-CN" w:bidi="ar-SA"/>
                    </w:rPr>
                  </w:pPr>
                  <w:r>
                    <w:rPr>
                      <w:u w:val="none" w:color="auto"/>
                    </w:rPr>
                    <w:t>连续排放，流量不稳定，但有周期性规律</w:t>
                  </w:r>
                </w:p>
              </w:tc>
              <w:tc>
                <w:tcPr>
                  <w:tcW w:w="425" w:type="pct"/>
                  <w:tcBorders>
                    <w:tl2br w:val="nil"/>
                    <w:tr2bl w:val="nil"/>
                  </w:tcBorders>
                  <w:shd w:val="clear" w:color="auto" w:fill="auto"/>
                  <w:noWrap/>
                  <w:tcMar>
                    <w:top w:w="0" w:type="dxa"/>
                    <w:left w:w="0" w:type="dxa"/>
                    <w:bottom w:w="0" w:type="dxa"/>
                    <w:right w:w="0" w:type="dxa"/>
                  </w:tcMar>
                  <w:vAlign w:val="center"/>
                </w:tcPr>
                <w:p w14:paraId="606BAF9A">
                  <w:pPr>
                    <w:contextualSpacing/>
                    <w:jc w:val="center"/>
                    <w:textAlignment w:val="baseline"/>
                    <w:rPr>
                      <w:rFonts w:hint="eastAsia" w:ascii="Times New Roman" w:hAnsi="Times New Roman" w:eastAsia="宋体" w:cs="Times New Roman"/>
                      <w:color w:val="000000"/>
                      <w:kern w:val="0"/>
                      <w:sz w:val="21"/>
                      <w:szCs w:val="21"/>
                      <w:u w:val="none" w:color="auto"/>
                      <w:lang w:val="en-US" w:eastAsia="zh-CN" w:bidi="ar-SA"/>
                    </w:rPr>
                  </w:pPr>
                  <w:r>
                    <w:rPr>
                      <w:color w:val="000000"/>
                      <w:kern w:val="0"/>
                      <w:szCs w:val="21"/>
                      <w:u w:val="none" w:color="auto"/>
                    </w:rPr>
                    <w:t>TW00</w:t>
                  </w:r>
                  <w:r>
                    <w:rPr>
                      <w:rFonts w:hint="eastAsia"/>
                      <w:color w:val="000000"/>
                      <w:kern w:val="0"/>
                      <w:szCs w:val="21"/>
                      <w:u w:val="none" w:color="auto"/>
                      <w:lang w:val="en-US" w:eastAsia="zh-CN"/>
                    </w:rPr>
                    <w:t>2</w:t>
                  </w:r>
                </w:p>
              </w:tc>
              <w:tc>
                <w:tcPr>
                  <w:tcW w:w="425" w:type="pct"/>
                  <w:tcBorders>
                    <w:tl2br w:val="nil"/>
                    <w:tr2bl w:val="nil"/>
                  </w:tcBorders>
                  <w:shd w:val="clear" w:color="auto" w:fill="auto"/>
                  <w:noWrap/>
                  <w:tcMar>
                    <w:top w:w="0" w:type="dxa"/>
                    <w:left w:w="0" w:type="dxa"/>
                    <w:bottom w:w="0" w:type="dxa"/>
                    <w:right w:w="0" w:type="dxa"/>
                  </w:tcMar>
                  <w:vAlign w:val="center"/>
                </w:tcPr>
                <w:p w14:paraId="3991C22E">
                  <w:pPr>
                    <w:contextualSpacing/>
                    <w:jc w:val="center"/>
                    <w:textAlignment w:val="baseline"/>
                    <w:rPr>
                      <w:rFonts w:hint="default" w:ascii="Times New Roman" w:hAnsi="Times New Roman" w:eastAsia="宋体" w:cs="Times New Roman"/>
                      <w:color w:val="000000"/>
                      <w:kern w:val="0"/>
                      <w:sz w:val="21"/>
                      <w:szCs w:val="21"/>
                      <w:u w:val="none" w:color="auto"/>
                      <w:lang w:val="en-US" w:eastAsia="zh-CN" w:bidi="ar-SA"/>
                    </w:rPr>
                  </w:pPr>
                  <w:r>
                    <w:rPr>
                      <w:rFonts w:hint="eastAsia"/>
                      <w:color w:val="000000"/>
                      <w:kern w:val="0"/>
                      <w:szCs w:val="21"/>
                      <w:u w:val="none" w:color="auto"/>
                      <w:lang w:val="en-US" w:eastAsia="zh-CN"/>
                    </w:rPr>
                    <w:t>生产废水处理系统</w:t>
                  </w:r>
                </w:p>
              </w:tc>
              <w:tc>
                <w:tcPr>
                  <w:tcW w:w="679" w:type="pct"/>
                  <w:tcBorders>
                    <w:tl2br w:val="nil"/>
                    <w:tr2bl w:val="nil"/>
                  </w:tcBorders>
                  <w:shd w:val="clear" w:color="auto" w:fill="auto"/>
                  <w:noWrap/>
                  <w:tcMar>
                    <w:top w:w="0" w:type="dxa"/>
                    <w:left w:w="0" w:type="dxa"/>
                    <w:bottom w:w="0" w:type="dxa"/>
                    <w:right w:w="0" w:type="dxa"/>
                  </w:tcMar>
                  <w:vAlign w:val="center"/>
                </w:tcPr>
                <w:p w14:paraId="592C3EAA">
                  <w:pPr>
                    <w:contextualSpacing/>
                    <w:jc w:val="center"/>
                    <w:textAlignment w:val="baseline"/>
                    <w:rPr>
                      <w:rFonts w:hint="default" w:ascii="Times New Roman" w:hAnsi="Times New Roman" w:eastAsia="宋体" w:cs="Times New Roman"/>
                      <w:bCs/>
                      <w:kern w:val="2"/>
                      <w:sz w:val="21"/>
                      <w:szCs w:val="21"/>
                      <w:u w:val="none" w:color="auto"/>
                      <w:lang w:val="en-US" w:eastAsia="zh-CN" w:bidi="ar-SA"/>
                    </w:rPr>
                  </w:pPr>
                  <w:r>
                    <w:rPr>
                      <w:rFonts w:hint="eastAsia"/>
                      <w:bCs/>
                      <w:szCs w:val="21"/>
                      <w:u w:val="none" w:color="auto"/>
                      <w:lang w:val="pt-BR"/>
                    </w:rPr>
                    <w:t>混凝沉淀</w:t>
                  </w:r>
                  <w:r>
                    <w:rPr>
                      <w:rFonts w:hint="eastAsia"/>
                      <w:bCs/>
                      <w:szCs w:val="21"/>
                      <w:u w:val="none" w:color="auto"/>
                    </w:rPr>
                    <w:t>+水解酸化+AO工艺处理</w:t>
                  </w:r>
                  <w:r>
                    <w:rPr>
                      <w:rFonts w:hint="eastAsia"/>
                      <w:bCs/>
                      <w:szCs w:val="21"/>
                      <w:u w:val="none" w:color="auto"/>
                      <w:lang w:val="en-US" w:eastAsia="zh-CN"/>
                    </w:rPr>
                    <w:t>+二沉池</w:t>
                  </w:r>
                </w:p>
              </w:tc>
              <w:tc>
                <w:tcPr>
                  <w:tcW w:w="425" w:type="pct"/>
                  <w:tcBorders>
                    <w:tl2br w:val="nil"/>
                    <w:tr2bl w:val="nil"/>
                  </w:tcBorders>
                  <w:shd w:val="clear" w:color="auto" w:fill="auto"/>
                  <w:noWrap/>
                  <w:tcMar>
                    <w:top w:w="0" w:type="dxa"/>
                    <w:left w:w="0" w:type="dxa"/>
                    <w:bottom w:w="0" w:type="dxa"/>
                    <w:right w:w="0" w:type="dxa"/>
                  </w:tcMar>
                  <w:vAlign w:val="center"/>
                </w:tcPr>
                <w:p w14:paraId="6FB0B87F">
                  <w:pPr>
                    <w:contextualSpacing/>
                    <w:jc w:val="center"/>
                    <w:textAlignment w:val="baseline"/>
                    <w:rPr>
                      <w:rFonts w:hint="eastAsia" w:ascii="Times New Roman" w:hAnsi="Times New Roman" w:eastAsia="宋体" w:cs="Times New Roman"/>
                      <w:color w:val="000000"/>
                      <w:kern w:val="0"/>
                      <w:sz w:val="21"/>
                      <w:szCs w:val="21"/>
                      <w:u w:val="none" w:color="auto"/>
                      <w:lang w:val="en-US" w:eastAsia="zh-CN" w:bidi="ar-SA"/>
                    </w:rPr>
                  </w:pPr>
                  <w:r>
                    <w:rPr>
                      <w:color w:val="000000"/>
                      <w:kern w:val="0"/>
                      <w:szCs w:val="21"/>
                      <w:u w:val="none" w:color="auto"/>
                    </w:rPr>
                    <w:t>DW00</w:t>
                  </w:r>
                  <w:r>
                    <w:rPr>
                      <w:rFonts w:hint="eastAsia"/>
                      <w:color w:val="000000"/>
                      <w:kern w:val="0"/>
                      <w:szCs w:val="21"/>
                      <w:u w:val="none" w:color="auto"/>
                      <w:lang w:val="en-US" w:eastAsia="zh-CN"/>
                    </w:rPr>
                    <w:t>1</w:t>
                  </w:r>
                </w:p>
              </w:tc>
              <w:tc>
                <w:tcPr>
                  <w:tcW w:w="425" w:type="pct"/>
                  <w:tcBorders>
                    <w:tl2br w:val="nil"/>
                    <w:tr2bl w:val="nil"/>
                  </w:tcBorders>
                  <w:shd w:val="clear" w:color="auto" w:fill="auto"/>
                  <w:noWrap/>
                  <w:tcMar>
                    <w:top w:w="0" w:type="dxa"/>
                    <w:left w:w="0" w:type="dxa"/>
                    <w:bottom w:w="0" w:type="dxa"/>
                    <w:right w:w="0" w:type="dxa"/>
                  </w:tcMar>
                  <w:vAlign w:val="center"/>
                </w:tcPr>
                <w:p w14:paraId="4D172378">
                  <w:pPr>
                    <w:contextualSpacing/>
                    <w:jc w:val="center"/>
                    <w:textAlignment w:val="baseline"/>
                    <w:rPr>
                      <w:color w:val="000000"/>
                      <w:kern w:val="0"/>
                      <w:szCs w:val="21"/>
                      <w:u w:val="none" w:color="auto"/>
                    </w:rPr>
                  </w:pPr>
                  <w:r>
                    <w:rPr>
                      <w:color w:val="000000"/>
                      <w:kern w:val="0"/>
                      <w:szCs w:val="21"/>
                      <w:u w:val="none" w:color="auto"/>
                    </w:rPr>
                    <w:sym w:font="Wingdings" w:char="00FE"/>
                  </w:r>
                  <w:r>
                    <w:rPr>
                      <w:rFonts w:hint="eastAsia"/>
                      <w:color w:val="000000"/>
                      <w:kern w:val="0"/>
                      <w:szCs w:val="21"/>
                      <w:u w:val="none" w:color="auto"/>
                    </w:rPr>
                    <w:t>是</w:t>
                  </w:r>
                </w:p>
                <w:p w14:paraId="2F75DA9D">
                  <w:pPr>
                    <w:contextualSpacing/>
                    <w:jc w:val="center"/>
                    <w:textAlignment w:val="baseline"/>
                    <w:rPr>
                      <w:rFonts w:hint="eastAsia" w:ascii="Times New Roman" w:hAnsi="Times New Roman" w:eastAsia="宋体" w:cs="Times New Roman"/>
                      <w:color w:val="000000"/>
                      <w:kern w:val="0"/>
                      <w:sz w:val="21"/>
                      <w:szCs w:val="21"/>
                      <w:u w:val="none" w:color="auto"/>
                      <w:lang w:val="en-US" w:eastAsia="zh-CN" w:bidi="ar-SA"/>
                    </w:rPr>
                  </w:pPr>
                  <w:r>
                    <w:rPr>
                      <w:rFonts w:hint="eastAsia"/>
                      <w:color w:val="000000"/>
                      <w:kern w:val="0"/>
                      <w:szCs w:val="21"/>
                      <w:u w:val="none" w:color="auto"/>
                    </w:rPr>
                    <w:t>□否</w:t>
                  </w:r>
                </w:p>
              </w:tc>
              <w:tc>
                <w:tcPr>
                  <w:tcW w:w="1080" w:type="pct"/>
                  <w:tcBorders>
                    <w:tl2br w:val="nil"/>
                    <w:tr2bl w:val="nil"/>
                  </w:tcBorders>
                  <w:shd w:val="clear" w:color="auto" w:fill="auto"/>
                  <w:noWrap/>
                  <w:tcMar>
                    <w:top w:w="0" w:type="dxa"/>
                    <w:left w:w="0" w:type="dxa"/>
                    <w:bottom w:w="0" w:type="dxa"/>
                    <w:right w:w="0" w:type="dxa"/>
                  </w:tcMar>
                  <w:vAlign w:val="center"/>
                </w:tcPr>
                <w:p w14:paraId="57799CB9">
                  <w:pPr>
                    <w:contextualSpacing/>
                    <w:textAlignment w:val="baseline"/>
                    <w:rPr>
                      <w:rFonts w:hint="eastAsia" w:eastAsia="宋体"/>
                      <w:color w:val="000000"/>
                      <w:kern w:val="0"/>
                      <w:szCs w:val="21"/>
                      <w:u w:val="none" w:color="auto"/>
                      <w:lang w:val="en-US" w:eastAsia="zh-CN"/>
                    </w:rPr>
                  </w:pPr>
                  <w:r>
                    <w:rPr>
                      <w:color w:val="000000"/>
                      <w:kern w:val="0"/>
                      <w:szCs w:val="21"/>
                      <w:u w:val="none" w:color="auto"/>
                    </w:rPr>
                    <w:sym w:font="Wingdings" w:char="00FE"/>
                  </w:r>
                  <w:r>
                    <w:rPr>
                      <w:rFonts w:hint="eastAsia"/>
                      <w:color w:val="000000"/>
                      <w:kern w:val="0"/>
                      <w:szCs w:val="21"/>
                      <w:u w:val="none" w:color="auto"/>
                    </w:rPr>
                    <w:t>企业总排</w:t>
                  </w:r>
                  <w:r>
                    <w:rPr>
                      <w:rFonts w:hint="eastAsia"/>
                      <w:color w:val="000000"/>
                      <w:kern w:val="0"/>
                      <w:szCs w:val="21"/>
                      <w:u w:val="none" w:color="auto"/>
                      <w:lang w:val="en-US" w:eastAsia="zh-CN"/>
                    </w:rPr>
                    <w:t>口</w:t>
                  </w:r>
                </w:p>
                <w:p w14:paraId="20431B6C">
                  <w:pPr>
                    <w:contextualSpacing/>
                    <w:textAlignment w:val="baseline"/>
                    <w:rPr>
                      <w:rFonts w:hint="eastAsia" w:eastAsia="宋体"/>
                      <w:color w:val="000000"/>
                      <w:kern w:val="0"/>
                      <w:szCs w:val="21"/>
                      <w:u w:val="none" w:color="auto"/>
                      <w:lang w:val="en-US" w:eastAsia="zh-CN"/>
                    </w:rPr>
                  </w:pPr>
                  <w:r>
                    <w:rPr>
                      <w:rFonts w:hint="eastAsia"/>
                      <w:color w:val="000000"/>
                      <w:kern w:val="0"/>
                      <w:szCs w:val="21"/>
                      <w:u w:val="none" w:color="auto"/>
                    </w:rPr>
                    <w:t>□雨水排放</w:t>
                  </w:r>
                  <w:r>
                    <w:rPr>
                      <w:rFonts w:hint="eastAsia"/>
                      <w:color w:val="000000"/>
                      <w:kern w:val="0"/>
                      <w:szCs w:val="21"/>
                      <w:u w:val="none" w:color="auto"/>
                      <w:lang w:val="en-US" w:eastAsia="zh-CN"/>
                    </w:rPr>
                    <w:t>口</w:t>
                  </w:r>
                </w:p>
                <w:p w14:paraId="729AA7D2">
                  <w:pPr>
                    <w:contextualSpacing/>
                    <w:textAlignment w:val="baseline"/>
                    <w:rPr>
                      <w:rFonts w:hint="eastAsia" w:eastAsia="宋体"/>
                      <w:color w:val="000000"/>
                      <w:kern w:val="0"/>
                      <w:szCs w:val="21"/>
                      <w:u w:val="none" w:color="auto"/>
                      <w:lang w:val="en-US" w:eastAsia="zh-CN"/>
                    </w:rPr>
                  </w:pPr>
                  <w:r>
                    <w:rPr>
                      <w:rFonts w:hint="eastAsia"/>
                      <w:color w:val="000000"/>
                      <w:kern w:val="0"/>
                      <w:szCs w:val="21"/>
                      <w:u w:val="none" w:color="auto"/>
                    </w:rPr>
                    <w:t>□清净下水排放</w:t>
                  </w:r>
                  <w:r>
                    <w:rPr>
                      <w:rFonts w:hint="eastAsia"/>
                      <w:color w:val="000000"/>
                      <w:kern w:val="0"/>
                      <w:szCs w:val="21"/>
                      <w:u w:val="none" w:color="auto"/>
                      <w:lang w:val="en-US" w:eastAsia="zh-CN"/>
                    </w:rPr>
                    <w:t>口</w:t>
                  </w:r>
                </w:p>
                <w:p w14:paraId="43B7180E">
                  <w:pPr>
                    <w:contextualSpacing/>
                    <w:textAlignment w:val="baseline"/>
                    <w:rPr>
                      <w:color w:val="000000"/>
                      <w:kern w:val="0"/>
                      <w:szCs w:val="21"/>
                      <w:u w:val="none" w:color="auto"/>
                    </w:rPr>
                  </w:pPr>
                  <w:r>
                    <w:rPr>
                      <w:rFonts w:hint="eastAsia"/>
                      <w:color w:val="000000"/>
                      <w:kern w:val="0"/>
                      <w:szCs w:val="21"/>
                      <w:u w:val="none" w:color="auto"/>
                    </w:rPr>
                    <w:t>□温排水排放</w:t>
                  </w:r>
                  <w:r>
                    <w:rPr>
                      <w:rFonts w:hint="eastAsia"/>
                      <w:color w:val="000000"/>
                      <w:kern w:val="0"/>
                      <w:szCs w:val="21"/>
                      <w:u w:val="none" w:color="auto"/>
                      <w:lang w:val="en-US" w:eastAsia="zh-CN"/>
                    </w:rPr>
                    <w:t>口</w:t>
                  </w:r>
                </w:p>
                <w:p w14:paraId="301AFC1F">
                  <w:pPr>
                    <w:contextualSpacing/>
                    <w:textAlignment w:val="baseline"/>
                    <w:rPr>
                      <w:rFonts w:hint="eastAsia" w:ascii="Times New Roman" w:hAnsi="Times New Roman" w:eastAsia="宋体" w:cs="Times New Roman"/>
                      <w:color w:val="000000"/>
                      <w:kern w:val="0"/>
                      <w:sz w:val="21"/>
                      <w:szCs w:val="21"/>
                      <w:u w:val="none" w:color="auto"/>
                      <w:lang w:val="en-US" w:eastAsia="zh-CN" w:bidi="ar-SA"/>
                    </w:rPr>
                  </w:pPr>
                  <w:r>
                    <w:rPr>
                      <w:rFonts w:hint="eastAsia"/>
                      <w:color w:val="000000"/>
                      <w:kern w:val="0"/>
                      <w:szCs w:val="21"/>
                      <w:u w:val="none" w:color="auto"/>
                    </w:rPr>
                    <w:t>□车间或车间处理设施排放口排放</w:t>
                  </w:r>
                </w:p>
              </w:tc>
            </w:tr>
          </w:tbl>
          <w:p w14:paraId="34406EE5">
            <w:pPr>
              <w:adjustRightInd w:val="0"/>
              <w:snapToGrid w:val="0"/>
              <w:spacing w:line="440" w:lineRule="exact"/>
              <w:ind w:firstLine="480" w:firstLineChars="200"/>
              <w:textAlignment w:val="baseline"/>
              <w:rPr>
                <w:color w:val="000000"/>
                <w:kern w:val="0"/>
                <w:sz w:val="24"/>
                <w:szCs w:val="20"/>
                <w:u w:val="none" w:color="auto"/>
              </w:rPr>
            </w:pPr>
            <w:r>
              <w:rPr>
                <w:rFonts w:hint="eastAsia"/>
                <w:color w:val="000000"/>
                <w:kern w:val="0"/>
                <w:sz w:val="24"/>
                <w:szCs w:val="20"/>
                <w:u w:val="none" w:color="auto"/>
              </w:rPr>
              <w:t>（2）废水间接排放口基本情况</w:t>
            </w:r>
          </w:p>
          <w:p w14:paraId="13CC3C03">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2" w:firstLineChars="200"/>
              <w:jc w:val="center"/>
              <w:rPr>
                <w:rFonts w:hint="eastAsia" w:ascii="Times New Roman" w:hAnsi="Times New Roman" w:eastAsia="宋体" w:cs="Times New Roman"/>
                <w:b/>
                <w:color w:val="000000"/>
                <w:sz w:val="24"/>
                <w:u w:val="none" w:color="auto"/>
                <w:lang w:val="pt-BR"/>
              </w:rPr>
            </w:pPr>
            <w:r>
              <w:rPr>
                <w:rFonts w:hint="default" w:ascii="Times New Roman" w:hAnsi="Times New Roman" w:eastAsia="宋体" w:cs="Times New Roman"/>
                <w:b/>
                <w:color w:val="000000"/>
                <w:sz w:val="24"/>
                <w:u w:val="none" w:color="auto"/>
              </w:rPr>
              <w:t>表</w:t>
            </w:r>
            <w:r>
              <w:rPr>
                <w:rFonts w:hint="default" w:ascii="Times New Roman" w:hAnsi="Times New Roman" w:eastAsia="宋体" w:cs="Times New Roman"/>
                <w:b/>
                <w:color w:val="000000"/>
                <w:sz w:val="24"/>
                <w:u w:val="none" w:color="auto"/>
                <w:lang w:val="en-US" w:eastAsia="zh-CN"/>
              </w:rPr>
              <w:t>4-</w:t>
            </w:r>
            <w:r>
              <w:rPr>
                <w:rFonts w:hint="eastAsia" w:ascii="Times New Roman" w:hAnsi="Times New Roman" w:eastAsia="宋体" w:cs="Times New Roman"/>
                <w:b/>
                <w:color w:val="000000"/>
                <w:sz w:val="24"/>
                <w:u w:val="none" w:color="auto"/>
                <w:lang w:val="en-US" w:eastAsia="zh-CN"/>
              </w:rPr>
              <w:t>1</w:t>
            </w:r>
            <w:r>
              <w:rPr>
                <w:rFonts w:hint="eastAsia" w:cs="Times New Roman"/>
                <w:b/>
                <w:color w:val="000000"/>
                <w:sz w:val="24"/>
                <w:u w:val="none" w:color="auto"/>
                <w:lang w:val="en-US" w:eastAsia="zh-CN"/>
              </w:rPr>
              <w:t>6</w:t>
            </w:r>
            <w:r>
              <w:rPr>
                <w:rFonts w:hint="default" w:ascii="Times New Roman" w:hAnsi="Times New Roman" w:eastAsia="宋体" w:cs="Times New Roman"/>
                <w:b/>
                <w:color w:val="000000"/>
                <w:sz w:val="24"/>
                <w:u w:val="none" w:color="auto"/>
              </w:rPr>
              <w:t xml:space="preserve">    </w:t>
            </w:r>
            <w:r>
              <w:rPr>
                <w:rFonts w:hint="eastAsia" w:ascii="Times New Roman" w:hAnsi="Times New Roman" w:eastAsia="宋体" w:cs="Times New Roman"/>
                <w:b/>
                <w:color w:val="000000"/>
                <w:sz w:val="24"/>
                <w:u w:val="none" w:color="auto"/>
                <w:lang w:val="pt-BR"/>
              </w:rPr>
              <w:t>废水类别、污染物及污染治理设施信息表</w:t>
            </w:r>
          </w:p>
          <w:tbl>
            <w:tblPr>
              <w:tblStyle w:val="32"/>
              <w:tblW w:w="7622"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85" w:type="dxa"/>
                <w:bottom w:w="0" w:type="dxa"/>
                <w:right w:w="85" w:type="dxa"/>
              </w:tblCellMar>
            </w:tblPr>
            <w:tblGrid>
              <w:gridCol w:w="764"/>
              <w:gridCol w:w="743"/>
              <w:gridCol w:w="742"/>
              <w:gridCol w:w="1029"/>
              <w:gridCol w:w="827"/>
              <w:gridCol w:w="565"/>
              <w:gridCol w:w="1166"/>
              <w:gridCol w:w="742"/>
              <w:gridCol w:w="1044"/>
            </w:tblGrid>
            <w:tr w14:paraId="4CE6EEA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74" w:hRule="atLeast"/>
                <w:jc w:val="center"/>
              </w:trPr>
              <w:tc>
                <w:tcPr>
                  <w:tcW w:w="764" w:type="dxa"/>
                  <w:vMerge w:val="restart"/>
                  <w:tcBorders>
                    <w:tl2br w:val="nil"/>
                    <w:tr2bl w:val="nil"/>
                  </w:tcBorders>
                  <w:noWrap/>
                  <w:tcMar>
                    <w:top w:w="0" w:type="dxa"/>
                    <w:left w:w="0" w:type="dxa"/>
                    <w:bottom w:w="0" w:type="dxa"/>
                    <w:right w:w="0" w:type="dxa"/>
                  </w:tcMar>
                  <w:vAlign w:val="center"/>
                </w:tcPr>
                <w:p w14:paraId="4FC80DD3">
                  <w:pPr>
                    <w:adjustRightInd w:val="0"/>
                    <w:snapToGrid w:val="0"/>
                    <w:jc w:val="center"/>
                    <w:rPr>
                      <w:rFonts w:cs="宋体"/>
                      <w:b/>
                      <w:color w:val="000000"/>
                      <w:szCs w:val="20"/>
                      <w:u w:val="none" w:color="auto"/>
                    </w:rPr>
                  </w:pPr>
                  <w:r>
                    <w:rPr>
                      <w:rFonts w:hint="eastAsia" w:cs="宋体"/>
                      <w:b/>
                      <w:color w:val="000000"/>
                      <w:szCs w:val="20"/>
                      <w:u w:val="none" w:color="auto"/>
                    </w:rPr>
                    <w:t>排放口编号</w:t>
                  </w:r>
                </w:p>
              </w:tc>
              <w:tc>
                <w:tcPr>
                  <w:tcW w:w="1485" w:type="dxa"/>
                  <w:gridSpan w:val="2"/>
                  <w:tcBorders>
                    <w:tl2br w:val="nil"/>
                    <w:tr2bl w:val="nil"/>
                  </w:tcBorders>
                  <w:noWrap/>
                  <w:tcMar>
                    <w:top w:w="0" w:type="dxa"/>
                    <w:left w:w="0" w:type="dxa"/>
                    <w:bottom w:w="0" w:type="dxa"/>
                    <w:right w:w="0" w:type="dxa"/>
                  </w:tcMar>
                  <w:vAlign w:val="center"/>
                </w:tcPr>
                <w:p w14:paraId="7AB7D4D6">
                  <w:pPr>
                    <w:adjustRightInd w:val="0"/>
                    <w:snapToGrid w:val="0"/>
                    <w:jc w:val="center"/>
                    <w:rPr>
                      <w:rFonts w:cs="宋体"/>
                      <w:b/>
                      <w:color w:val="000000"/>
                      <w:szCs w:val="20"/>
                      <w:u w:val="none" w:color="auto"/>
                    </w:rPr>
                  </w:pPr>
                  <w:r>
                    <w:rPr>
                      <w:rFonts w:hint="eastAsia" w:cs="宋体"/>
                      <w:b/>
                      <w:color w:val="000000"/>
                      <w:szCs w:val="20"/>
                      <w:u w:val="none" w:color="auto"/>
                    </w:rPr>
                    <w:t>排放口地理坐标</w:t>
                  </w:r>
                </w:p>
              </w:tc>
              <w:tc>
                <w:tcPr>
                  <w:tcW w:w="1029" w:type="dxa"/>
                  <w:vMerge w:val="restart"/>
                  <w:tcBorders>
                    <w:tl2br w:val="nil"/>
                    <w:tr2bl w:val="nil"/>
                  </w:tcBorders>
                  <w:noWrap/>
                  <w:tcMar>
                    <w:top w:w="0" w:type="dxa"/>
                    <w:left w:w="0" w:type="dxa"/>
                    <w:bottom w:w="0" w:type="dxa"/>
                    <w:right w:w="0" w:type="dxa"/>
                  </w:tcMar>
                  <w:vAlign w:val="center"/>
                </w:tcPr>
                <w:p w14:paraId="75C2223E">
                  <w:pPr>
                    <w:adjustRightInd w:val="0"/>
                    <w:snapToGrid w:val="0"/>
                    <w:jc w:val="center"/>
                    <w:rPr>
                      <w:rFonts w:cs="宋体"/>
                      <w:b/>
                      <w:color w:val="000000"/>
                      <w:szCs w:val="20"/>
                      <w:u w:val="none" w:color="auto"/>
                    </w:rPr>
                  </w:pPr>
                  <w:r>
                    <w:rPr>
                      <w:rFonts w:hint="eastAsia" w:cs="宋体"/>
                      <w:b/>
                      <w:color w:val="000000"/>
                      <w:szCs w:val="20"/>
                      <w:u w:val="none" w:color="auto"/>
                    </w:rPr>
                    <w:t>废水排放量</w:t>
                  </w:r>
                  <w:r>
                    <w:rPr>
                      <w:rFonts w:cs="宋体"/>
                      <w:b/>
                      <w:color w:val="000000"/>
                      <w:szCs w:val="20"/>
                      <w:u w:val="none" w:color="auto"/>
                    </w:rPr>
                    <w:t>/</w:t>
                  </w:r>
                  <w:r>
                    <w:rPr>
                      <w:rFonts w:hint="eastAsia" w:cs="宋体"/>
                      <w:b/>
                      <w:color w:val="000000"/>
                      <w:szCs w:val="20"/>
                      <w:u w:val="none" w:color="auto"/>
                    </w:rPr>
                    <w:t>（万</w:t>
                  </w:r>
                  <w:r>
                    <w:rPr>
                      <w:rFonts w:cs="宋体"/>
                      <w:b/>
                      <w:color w:val="000000"/>
                      <w:szCs w:val="20"/>
                      <w:u w:val="none" w:color="auto"/>
                    </w:rPr>
                    <w:t>t/a</w:t>
                  </w:r>
                  <w:r>
                    <w:rPr>
                      <w:rFonts w:hint="eastAsia" w:cs="宋体"/>
                      <w:b/>
                      <w:color w:val="000000"/>
                      <w:szCs w:val="20"/>
                      <w:u w:val="none" w:color="auto"/>
                    </w:rPr>
                    <w:t>）</w:t>
                  </w:r>
                </w:p>
              </w:tc>
              <w:tc>
                <w:tcPr>
                  <w:tcW w:w="827" w:type="dxa"/>
                  <w:vMerge w:val="restart"/>
                  <w:tcBorders>
                    <w:tl2br w:val="nil"/>
                    <w:tr2bl w:val="nil"/>
                  </w:tcBorders>
                  <w:noWrap/>
                  <w:tcMar>
                    <w:top w:w="0" w:type="dxa"/>
                    <w:left w:w="0" w:type="dxa"/>
                    <w:bottom w:w="0" w:type="dxa"/>
                    <w:right w:w="0" w:type="dxa"/>
                  </w:tcMar>
                  <w:vAlign w:val="center"/>
                </w:tcPr>
                <w:p w14:paraId="009782D2">
                  <w:pPr>
                    <w:adjustRightInd w:val="0"/>
                    <w:snapToGrid w:val="0"/>
                    <w:jc w:val="center"/>
                    <w:rPr>
                      <w:rFonts w:cs="宋体"/>
                      <w:b/>
                      <w:color w:val="000000"/>
                      <w:szCs w:val="20"/>
                      <w:u w:val="none" w:color="auto"/>
                    </w:rPr>
                  </w:pPr>
                  <w:r>
                    <w:rPr>
                      <w:rFonts w:hint="eastAsia" w:cs="宋体"/>
                      <w:b/>
                      <w:color w:val="000000"/>
                      <w:szCs w:val="20"/>
                      <w:u w:val="none" w:color="auto"/>
                    </w:rPr>
                    <w:t>排放去向</w:t>
                  </w:r>
                </w:p>
              </w:tc>
              <w:tc>
                <w:tcPr>
                  <w:tcW w:w="565" w:type="dxa"/>
                  <w:vMerge w:val="restart"/>
                  <w:tcBorders>
                    <w:tl2br w:val="nil"/>
                    <w:tr2bl w:val="nil"/>
                  </w:tcBorders>
                  <w:noWrap/>
                  <w:tcMar>
                    <w:top w:w="0" w:type="dxa"/>
                    <w:left w:w="0" w:type="dxa"/>
                    <w:bottom w:w="0" w:type="dxa"/>
                    <w:right w:w="0" w:type="dxa"/>
                  </w:tcMar>
                  <w:vAlign w:val="center"/>
                </w:tcPr>
                <w:p w14:paraId="6E6A310A">
                  <w:pPr>
                    <w:adjustRightInd w:val="0"/>
                    <w:snapToGrid w:val="0"/>
                    <w:jc w:val="center"/>
                    <w:rPr>
                      <w:rFonts w:cs="宋体"/>
                      <w:b/>
                      <w:color w:val="000000"/>
                      <w:szCs w:val="20"/>
                      <w:u w:val="none" w:color="auto"/>
                    </w:rPr>
                  </w:pPr>
                  <w:r>
                    <w:rPr>
                      <w:rFonts w:hint="eastAsia" w:cs="宋体"/>
                      <w:b/>
                      <w:color w:val="000000"/>
                      <w:szCs w:val="20"/>
                      <w:u w:val="none" w:color="auto"/>
                    </w:rPr>
                    <w:t>排放规律</w:t>
                  </w:r>
                </w:p>
              </w:tc>
              <w:tc>
                <w:tcPr>
                  <w:tcW w:w="1166" w:type="dxa"/>
                  <w:vMerge w:val="restart"/>
                  <w:tcBorders>
                    <w:tl2br w:val="nil"/>
                    <w:tr2bl w:val="nil"/>
                  </w:tcBorders>
                  <w:noWrap/>
                  <w:tcMar>
                    <w:top w:w="0" w:type="dxa"/>
                    <w:left w:w="0" w:type="dxa"/>
                    <w:bottom w:w="0" w:type="dxa"/>
                    <w:right w:w="0" w:type="dxa"/>
                  </w:tcMar>
                  <w:vAlign w:val="center"/>
                </w:tcPr>
                <w:p w14:paraId="4A5B1871">
                  <w:pPr>
                    <w:adjustRightInd w:val="0"/>
                    <w:snapToGrid w:val="0"/>
                    <w:jc w:val="center"/>
                    <w:rPr>
                      <w:rFonts w:hint="eastAsia" w:eastAsia="宋体" w:cs="宋体"/>
                      <w:b/>
                      <w:color w:val="000000"/>
                      <w:szCs w:val="20"/>
                      <w:u w:val="none" w:color="auto"/>
                      <w:lang w:val="en-US" w:eastAsia="zh-CN"/>
                    </w:rPr>
                  </w:pPr>
                  <w:r>
                    <w:rPr>
                      <w:rFonts w:hint="eastAsia" w:cs="宋体"/>
                      <w:b/>
                      <w:color w:val="000000"/>
                      <w:szCs w:val="20"/>
                      <w:u w:val="none" w:color="auto"/>
                      <w:lang w:val="en-US" w:eastAsia="zh-CN"/>
                    </w:rPr>
                    <w:t>排放口类型</w:t>
                  </w:r>
                </w:p>
              </w:tc>
              <w:tc>
                <w:tcPr>
                  <w:tcW w:w="1786" w:type="dxa"/>
                  <w:gridSpan w:val="2"/>
                  <w:tcBorders>
                    <w:tl2br w:val="nil"/>
                    <w:tr2bl w:val="nil"/>
                  </w:tcBorders>
                  <w:noWrap/>
                  <w:tcMar>
                    <w:top w:w="0" w:type="dxa"/>
                    <w:left w:w="0" w:type="dxa"/>
                    <w:bottom w:w="0" w:type="dxa"/>
                    <w:right w:w="0" w:type="dxa"/>
                  </w:tcMar>
                  <w:vAlign w:val="center"/>
                </w:tcPr>
                <w:p w14:paraId="718A9EFB">
                  <w:pPr>
                    <w:pStyle w:val="95"/>
                    <w:spacing w:line="240" w:lineRule="auto"/>
                    <w:rPr>
                      <w:b/>
                      <w:color w:val="auto"/>
                      <w:kern w:val="2"/>
                      <w:u w:val="none" w:color="auto"/>
                    </w:rPr>
                  </w:pPr>
                  <w:r>
                    <w:rPr>
                      <w:rFonts w:hint="eastAsia"/>
                      <w:b/>
                      <w:color w:val="auto"/>
                      <w:kern w:val="2"/>
                      <w:u w:val="none" w:color="auto"/>
                    </w:rPr>
                    <w:t>受纳污水处理厂信息</w:t>
                  </w:r>
                </w:p>
              </w:tc>
            </w:tr>
            <w:tr w14:paraId="30B9BD6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513" w:hRule="atLeast"/>
                <w:jc w:val="center"/>
              </w:trPr>
              <w:tc>
                <w:tcPr>
                  <w:tcW w:w="764" w:type="dxa"/>
                  <w:vMerge w:val="continue"/>
                  <w:tcBorders>
                    <w:bottom w:val="single" w:color="000000" w:sz="8" w:space="0"/>
                    <w:tl2br w:val="nil"/>
                    <w:tr2bl w:val="nil"/>
                  </w:tcBorders>
                  <w:noWrap/>
                  <w:vAlign w:val="center"/>
                </w:tcPr>
                <w:p w14:paraId="6356AEC1">
                  <w:pPr>
                    <w:adjustRightInd w:val="0"/>
                    <w:snapToGrid w:val="0"/>
                    <w:jc w:val="center"/>
                    <w:rPr>
                      <w:rFonts w:cs="宋体"/>
                      <w:b/>
                      <w:color w:val="000000"/>
                      <w:szCs w:val="20"/>
                      <w:u w:val="none" w:color="auto"/>
                    </w:rPr>
                  </w:pPr>
                </w:p>
              </w:tc>
              <w:tc>
                <w:tcPr>
                  <w:tcW w:w="743" w:type="dxa"/>
                  <w:tcBorders>
                    <w:bottom w:val="single" w:color="000000" w:sz="8" w:space="0"/>
                    <w:tl2br w:val="nil"/>
                    <w:tr2bl w:val="nil"/>
                  </w:tcBorders>
                  <w:noWrap/>
                  <w:tcMar>
                    <w:top w:w="0" w:type="dxa"/>
                    <w:left w:w="0" w:type="dxa"/>
                    <w:bottom w:w="0" w:type="dxa"/>
                    <w:right w:w="0" w:type="dxa"/>
                  </w:tcMar>
                  <w:vAlign w:val="center"/>
                </w:tcPr>
                <w:p w14:paraId="400DEDF8">
                  <w:pPr>
                    <w:adjustRightInd w:val="0"/>
                    <w:snapToGrid w:val="0"/>
                    <w:jc w:val="center"/>
                    <w:rPr>
                      <w:rFonts w:cs="宋体"/>
                      <w:b/>
                      <w:color w:val="000000" w:themeColor="text1"/>
                      <w:szCs w:val="20"/>
                      <w:u w:val="none" w:color="auto"/>
                      <w14:textFill>
                        <w14:solidFill>
                          <w14:schemeClr w14:val="tx1"/>
                        </w14:solidFill>
                      </w14:textFill>
                    </w:rPr>
                  </w:pPr>
                  <w:r>
                    <w:rPr>
                      <w:rFonts w:hint="eastAsia" w:cs="宋体"/>
                      <w:b/>
                      <w:color w:val="000000" w:themeColor="text1"/>
                      <w:szCs w:val="20"/>
                      <w:u w:val="none" w:color="auto"/>
                      <w14:textFill>
                        <w14:solidFill>
                          <w14:schemeClr w14:val="tx1"/>
                        </w14:solidFill>
                      </w14:textFill>
                    </w:rPr>
                    <w:t>经度</w:t>
                  </w:r>
                </w:p>
              </w:tc>
              <w:tc>
                <w:tcPr>
                  <w:tcW w:w="742" w:type="dxa"/>
                  <w:tcBorders>
                    <w:bottom w:val="single" w:color="000000" w:sz="8" w:space="0"/>
                    <w:tl2br w:val="nil"/>
                    <w:tr2bl w:val="nil"/>
                  </w:tcBorders>
                  <w:noWrap/>
                  <w:tcMar>
                    <w:top w:w="0" w:type="dxa"/>
                    <w:left w:w="0" w:type="dxa"/>
                    <w:bottom w:w="0" w:type="dxa"/>
                    <w:right w:w="0" w:type="dxa"/>
                  </w:tcMar>
                  <w:vAlign w:val="center"/>
                </w:tcPr>
                <w:p w14:paraId="2005A7DC">
                  <w:pPr>
                    <w:adjustRightInd w:val="0"/>
                    <w:snapToGrid w:val="0"/>
                    <w:jc w:val="center"/>
                    <w:rPr>
                      <w:rFonts w:cs="宋体"/>
                      <w:b/>
                      <w:color w:val="000000" w:themeColor="text1"/>
                      <w:szCs w:val="20"/>
                      <w:u w:val="none" w:color="auto"/>
                      <w14:textFill>
                        <w14:solidFill>
                          <w14:schemeClr w14:val="tx1"/>
                        </w14:solidFill>
                      </w14:textFill>
                    </w:rPr>
                  </w:pPr>
                  <w:r>
                    <w:rPr>
                      <w:rFonts w:hint="eastAsia" w:cs="宋体"/>
                      <w:b/>
                      <w:color w:val="000000" w:themeColor="text1"/>
                      <w:szCs w:val="20"/>
                      <w:u w:val="none" w:color="auto"/>
                      <w14:textFill>
                        <w14:solidFill>
                          <w14:schemeClr w14:val="tx1"/>
                        </w14:solidFill>
                      </w14:textFill>
                    </w:rPr>
                    <w:t>纬度</w:t>
                  </w:r>
                </w:p>
              </w:tc>
              <w:tc>
                <w:tcPr>
                  <w:tcW w:w="1029" w:type="dxa"/>
                  <w:vMerge w:val="continue"/>
                  <w:tcBorders>
                    <w:bottom w:val="single" w:color="000000" w:sz="8" w:space="0"/>
                    <w:tl2br w:val="nil"/>
                    <w:tr2bl w:val="nil"/>
                  </w:tcBorders>
                  <w:noWrap/>
                  <w:tcMar>
                    <w:top w:w="0" w:type="dxa"/>
                    <w:left w:w="0" w:type="dxa"/>
                    <w:bottom w:w="0" w:type="dxa"/>
                    <w:right w:w="0" w:type="dxa"/>
                  </w:tcMar>
                  <w:vAlign w:val="center"/>
                </w:tcPr>
                <w:p w14:paraId="1FDA8AA8">
                  <w:pPr>
                    <w:adjustRightInd w:val="0"/>
                    <w:snapToGrid w:val="0"/>
                    <w:jc w:val="center"/>
                    <w:rPr>
                      <w:rFonts w:cs="宋体"/>
                      <w:b/>
                      <w:color w:val="000000"/>
                      <w:szCs w:val="20"/>
                      <w:u w:val="none" w:color="auto"/>
                    </w:rPr>
                  </w:pPr>
                </w:p>
              </w:tc>
              <w:tc>
                <w:tcPr>
                  <w:tcW w:w="827" w:type="dxa"/>
                  <w:vMerge w:val="continue"/>
                  <w:tcBorders>
                    <w:bottom w:val="single" w:color="000000" w:sz="8" w:space="0"/>
                    <w:tl2br w:val="nil"/>
                    <w:tr2bl w:val="nil"/>
                  </w:tcBorders>
                  <w:noWrap/>
                  <w:tcMar>
                    <w:top w:w="0" w:type="dxa"/>
                    <w:left w:w="0" w:type="dxa"/>
                    <w:bottom w:w="0" w:type="dxa"/>
                    <w:right w:w="0" w:type="dxa"/>
                  </w:tcMar>
                  <w:vAlign w:val="center"/>
                </w:tcPr>
                <w:p w14:paraId="6C498FEF">
                  <w:pPr>
                    <w:adjustRightInd w:val="0"/>
                    <w:snapToGrid w:val="0"/>
                    <w:jc w:val="center"/>
                    <w:rPr>
                      <w:rFonts w:cs="宋体"/>
                      <w:b/>
                      <w:color w:val="000000"/>
                      <w:szCs w:val="20"/>
                      <w:u w:val="none" w:color="auto"/>
                    </w:rPr>
                  </w:pPr>
                </w:p>
              </w:tc>
              <w:tc>
                <w:tcPr>
                  <w:tcW w:w="565" w:type="dxa"/>
                  <w:vMerge w:val="continue"/>
                  <w:tcBorders>
                    <w:bottom w:val="single" w:color="000000" w:sz="8" w:space="0"/>
                    <w:tl2br w:val="nil"/>
                    <w:tr2bl w:val="nil"/>
                  </w:tcBorders>
                  <w:noWrap/>
                  <w:tcMar>
                    <w:top w:w="0" w:type="dxa"/>
                    <w:left w:w="0" w:type="dxa"/>
                    <w:bottom w:w="0" w:type="dxa"/>
                    <w:right w:w="0" w:type="dxa"/>
                  </w:tcMar>
                  <w:vAlign w:val="center"/>
                </w:tcPr>
                <w:p w14:paraId="0DFE9175">
                  <w:pPr>
                    <w:adjustRightInd w:val="0"/>
                    <w:snapToGrid w:val="0"/>
                    <w:jc w:val="center"/>
                    <w:rPr>
                      <w:rFonts w:cs="宋体"/>
                      <w:b/>
                      <w:color w:val="000000"/>
                      <w:szCs w:val="20"/>
                      <w:u w:val="none" w:color="auto"/>
                    </w:rPr>
                  </w:pPr>
                </w:p>
              </w:tc>
              <w:tc>
                <w:tcPr>
                  <w:tcW w:w="1166" w:type="dxa"/>
                  <w:vMerge w:val="continue"/>
                  <w:tcBorders>
                    <w:bottom w:val="single" w:color="000000" w:sz="8" w:space="0"/>
                    <w:tl2br w:val="nil"/>
                    <w:tr2bl w:val="nil"/>
                  </w:tcBorders>
                  <w:noWrap/>
                  <w:tcMar>
                    <w:top w:w="0" w:type="dxa"/>
                    <w:left w:w="0" w:type="dxa"/>
                    <w:bottom w:w="0" w:type="dxa"/>
                    <w:right w:w="0" w:type="dxa"/>
                  </w:tcMar>
                  <w:vAlign w:val="center"/>
                </w:tcPr>
                <w:p w14:paraId="61A335BB">
                  <w:pPr>
                    <w:adjustRightInd w:val="0"/>
                    <w:snapToGrid w:val="0"/>
                    <w:jc w:val="center"/>
                    <w:rPr>
                      <w:rFonts w:cs="宋体"/>
                      <w:b/>
                      <w:color w:val="000000"/>
                      <w:szCs w:val="20"/>
                      <w:u w:val="none" w:color="auto"/>
                    </w:rPr>
                  </w:pPr>
                </w:p>
              </w:tc>
              <w:tc>
                <w:tcPr>
                  <w:tcW w:w="742" w:type="dxa"/>
                  <w:tcBorders>
                    <w:bottom w:val="single" w:color="000000" w:sz="8" w:space="0"/>
                    <w:tl2br w:val="nil"/>
                    <w:tr2bl w:val="nil"/>
                  </w:tcBorders>
                  <w:noWrap/>
                  <w:tcMar>
                    <w:top w:w="0" w:type="dxa"/>
                    <w:left w:w="0" w:type="dxa"/>
                    <w:bottom w:w="0" w:type="dxa"/>
                    <w:right w:w="0" w:type="dxa"/>
                  </w:tcMar>
                  <w:vAlign w:val="center"/>
                </w:tcPr>
                <w:p w14:paraId="01C907CB">
                  <w:pPr>
                    <w:adjustRightInd w:val="0"/>
                    <w:snapToGrid w:val="0"/>
                    <w:jc w:val="center"/>
                    <w:rPr>
                      <w:rFonts w:cs="宋体"/>
                      <w:b/>
                      <w:color w:val="000000"/>
                      <w:szCs w:val="20"/>
                      <w:u w:val="none" w:color="auto"/>
                    </w:rPr>
                  </w:pPr>
                  <w:r>
                    <w:rPr>
                      <w:rFonts w:hint="eastAsia" w:cs="宋体"/>
                      <w:b/>
                      <w:color w:val="000000"/>
                      <w:szCs w:val="20"/>
                      <w:u w:val="none" w:color="auto"/>
                    </w:rPr>
                    <w:t>污染物种类</w:t>
                  </w:r>
                </w:p>
              </w:tc>
              <w:tc>
                <w:tcPr>
                  <w:tcW w:w="1044" w:type="dxa"/>
                  <w:tcBorders>
                    <w:bottom w:val="single" w:color="000000" w:sz="8" w:space="0"/>
                    <w:tl2br w:val="nil"/>
                    <w:tr2bl w:val="nil"/>
                  </w:tcBorders>
                  <w:vAlign w:val="center"/>
                </w:tcPr>
                <w:p w14:paraId="62A426D5">
                  <w:pPr>
                    <w:adjustRightInd w:val="0"/>
                    <w:snapToGrid w:val="0"/>
                    <w:jc w:val="center"/>
                    <w:rPr>
                      <w:rFonts w:cs="宋体"/>
                      <w:b/>
                      <w:color w:val="000000"/>
                      <w:szCs w:val="20"/>
                      <w:u w:val="none" w:color="auto"/>
                    </w:rPr>
                  </w:pPr>
                  <w:r>
                    <w:rPr>
                      <w:rFonts w:hint="eastAsia" w:cs="宋体"/>
                      <w:b/>
                      <w:color w:val="000000"/>
                      <w:szCs w:val="20"/>
                      <w:u w:val="none" w:color="auto"/>
                    </w:rPr>
                    <w:t>标准限值</w:t>
                  </w:r>
                  <w:r>
                    <w:rPr>
                      <w:rFonts w:cs="宋体"/>
                      <w:b/>
                      <w:color w:val="000000"/>
                      <w:szCs w:val="20"/>
                      <w:u w:val="none" w:color="auto"/>
                    </w:rPr>
                    <w:t>/</w:t>
                  </w:r>
                  <w:r>
                    <w:rPr>
                      <w:rFonts w:hint="eastAsia" w:cs="宋体"/>
                      <w:b/>
                      <w:color w:val="000000"/>
                      <w:szCs w:val="20"/>
                      <w:u w:val="none" w:color="auto"/>
                    </w:rPr>
                    <w:t>（mg/L）</w:t>
                  </w:r>
                </w:p>
              </w:tc>
            </w:tr>
            <w:tr w14:paraId="23EF8CB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96" w:hRule="atLeast"/>
                <w:jc w:val="center"/>
              </w:trPr>
              <w:tc>
                <w:tcPr>
                  <w:tcW w:w="764" w:type="dxa"/>
                  <w:vMerge w:val="restart"/>
                  <w:tcBorders>
                    <w:tl2br w:val="nil"/>
                    <w:tr2bl w:val="nil"/>
                  </w:tcBorders>
                  <w:noWrap/>
                  <w:tcMar>
                    <w:top w:w="0" w:type="dxa"/>
                    <w:left w:w="0" w:type="dxa"/>
                    <w:bottom w:w="0" w:type="dxa"/>
                    <w:right w:w="0" w:type="dxa"/>
                  </w:tcMar>
                  <w:vAlign w:val="center"/>
                </w:tcPr>
                <w:p w14:paraId="7AC9FB9D">
                  <w:pPr>
                    <w:adjustRightInd w:val="0"/>
                    <w:snapToGrid w:val="0"/>
                    <w:jc w:val="center"/>
                    <w:textAlignment w:val="baseline"/>
                    <w:rPr>
                      <w:color w:val="000000"/>
                      <w:kern w:val="0"/>
                      <w:szCs w:val="21"/>
                      <w:u w:val="none" w:color="auto"/>
                    </w:rPr>
                  </w:pPr>
                  <w:r>
                    <w:rPr>
                      <w:color w:val="000000"/>
                      <w:kern w:val="0"/>
                      <w:szCs w:val="21"/>
                      <w:u w:val="none" w:color="auto"/>
                    </w:rPr>
                    <w:t>DW00</w:t>
                  </w:r>
                  <w:r>
                    <w:rPr>
                      <w:rFonts w:hint="eastAsia"/>
                      <w:color w:val="000000"/>
                      <w:kern w:val="0"/>
                      <w:szCs w:val="21"/>
                      <w:u w:val="none" w:color="auto"/>
                      <w:lang w:val="en-US" w:eastAsia="zh-CN"/>
                    </w:rPr>
                    <w:t>1</w:t>
                  </w:r>
                </w:p>
              </w:tc>
              <w:tc>
                <w:tcPr>
                  <w:tcW w:w="743" w:type="dxa"/>
                  <w:vMerge w:val="restart"/>
                  <w:tcBorders>
                    <w:tl2br w:val="nil"/>
                    <w:tr2bl w:val="nil"/>
                  </w:tcBorders>
                  <w:noWrap/>
                  <w:tcMar>
                    <w:top w:w="0" w:type="dxa"/>
                    <w:left w:w="0" w:type="dxa"/>
                    <w:bottom w:w="0" w:type="dxa"/>
                    <w:right w:w="0" w:type="dxa"/>
                  </w:tcMar>
                  <w:vAlign w:val="center"/>
                </w:tcPr>
                <w:p w14:paraId="3F3EAE48">
                  <w:pPr>
                    <w:adjustRightInd w:val="0"/>
                    <w:snapToGrid w:val="0"/>
                    <w:jc w:val="center"/>
                    <w:textAlignment w:val="baseline"/>
                    <w:rPr>
                      <w:rFonts w:hint="default" w:ascii="Times New Roman" w:hAnsi="Times New Roman" w:eastAsia="宋体" w:cs="Times New Roman"/>
                      <w:color w:val="000000"/>
                      <w:kern w:val="0"/>
                      <w:szCs w:val="21"/>
                      <w:u w:val="none" w:color="auto"/>
                    </w:rPr>
                  </w:pPr>
                  <w:r>
                    <w:rPr>
                      <w:rFonts w:hint="default" w:ascii="Times New Roman" w:hAnsi="Times New Roman" w:eastAsia="宋体" w:cs="Times New Roman"/>
                      <w:color w:val="000000"/>
                      <w:kern w:val="0"/>
                      <w:szCs w:val="21"/>
                      <w:u w:val="none" w:color="auto"/>
                    </w:rPr>
                    <w:t>113° 55' 10.35"E</w:t>
                  </w:r>
                </w:p>
              </w:tc>
              <w:tc>
                <w:tcPr>
                  <w:tcW w:w="742" w:type="dxa"/>
                  <w:vMerge w:val="restart"/>
                  <w:tcBorders>
                    <w:tl2br w:val="nil"/>
                    <w:tr2bl w:val="nil"/>
                  </w:tcBorders>
                  <w:noWrap/>
                  <w:tcMar>
                    <w:top w:w="0" w:type="dxa"/>
                    <w:left w:w="0" w:type="dxa"/>
                    <w:bottom w:w="0" w:type="dxa"/>
                    <w:right w:w="0" w:type="dxa"/>
                  </w:tcMar>
                  <w:vAlign w:val="center"/>
                </w:tcPr>
                <w:p w14:paraId="0EB26457">
                  <w:pPr>
                    <w:adjustRightInd w:val="0"/>
                    <w:snapToGrid w:val="0"/>
                    <w:jc w:val="center"/>
                    <w:textAlignment w:val="baseline"/>
                    <w:rPr>
                      <w:rFonts w:hint="default" w:ascii="Times New Roman" w:hAnsi="Times New Roman" w:eastAsia="宋体" w:cs="Times New Roman"/>
                      <w:color w:val="000000"/>
                      <w:kern w:val="0"/>
                      <w:szCs w:val="21"/>
                      <w:u w:val="none" w:color="auto"/>
                    </w:rPr>
                  </w:pPr>
                  <w:r>
                    <w:rPr>
                      <w:rFonts w:hint="default" w:ascii="Times New Roman" w:hAnsi="Times New Roman" w:eastAsia="宋体" w:cs="Times New Roman"/>
                      <w:color w:val="000000"/>
                      <w:kern w:val="0"/>
                      <w:szCs w:val="21"/>
                      <w:u w:val="none" w:color="auto"/>
                    </w:rPr>
                    <w:t>35° 14' 31.10"N</w:t>
                  </w:r>
                </w:p>
              </w:tc>
              <w:tc>
                <w:tcPr>
                  <w:tcW w:w="1029" w:type="dxa"/>
                  <w:vMerge w:val="restart"/>
                  <w:tcBorders>
                    <w:tl2br w:val="nil"/>
                    <w:tr2bl w:val="nil"/>
                  </w:tcBorders>
                  <w:noWrap/>
                  <w:tcMar>
                    <w:top w:w="0" w:type="dxa"/>
                    <w:left w:w="0" w:type="dxa"/>
                    <w:bottom w:w="0" w:type="dxa"/>
                    <w:right w:w="0" w:type="dxa"/>
                  </w:tcMar>
                  <w:vAlign w:val="center"/>
                </w:tcPr>
                <w:p w14:paraId="59708000">
                  <w:pPr>
                    <w:adjustRightInd w:val="0"/>
                    <w:snapToGrid w:val="0"/>
                    <w:jc w:val="center"/>
                    <w:textAlignment w:val="baseline"/>
                    <w:rPr>
                      <w:rFonts w:hint="default" w:eastAsia="宋体"/>
                      <w:color w:val="000000"/>
                      <w:kern w:val="0"/>
                      <w:szCs w:val="21"/>
                      <w:u w:val="none" w:color="auto"/>
                      <w:lang w:val="en-US" w:eastAsia="zh-CN"/>
                    </w:rPr>
                  </w:pPr>
                  <w:r>
                    <w:rPr>
                      <w:rFonts w:hint="eastAsia"/>
                      <w:color w:val="000000"/>
                      <w:kern w:val="0"/>
                      <w:szCs w:val="21"/>
                      <w:u w:val="none" w:color="auto"/>
                      <w:lang w:val="en-US" w:eastAsia="zh-CN"/>
                    </w:rPr>
                    <w:t>0.1188</w:t>
                  </w:r>
                </w:p>
              </w:tc>
              <w:tc>
                <w:tcPr>
                  <w:tcW w:w="827" w:type="dxa"/>
                  <w:vMerge w:val="restart"/>
                  <w:tcBorders>
                    <w:tl2br w:val="nil"/>
                    <w:tr2bl w:val="nil"/>
                  </w:tcBorders>
                  <w:noWrap/>
                  <w:tcMar>
                    <w:top w:w="0" w:type="dxa"/>
                    <w:left w:w="0" w:type="dxa"/>
                    <w:bottom w:w="0" w:type="dxa"/>
                    <w:right w:w="0" w:type="dxa"/>
                  </w:tcMar>
                  <w:vAlign w:val="center"/>
                </w:tcPr>
                <w:p w14:paraId="376D19A6">
                  <w:pPr>
                    <w:adjustRightInd w:val="0"/>
                    <w:snapToGrid w:val="0"/>
                    <w:jc w:val="center"/>
                    <w:textAlignment w:val="baseline"/>
                    <w:rPr>
                      <w:bCs/>
                      <w:u w:val="none" w:color="auto"/>
                    </w:rPr>
                  </w:pPr>
                  <w:r>
                    <w:rPr>
                      <w:rFonts w:hint="eastAsia"/>
                      <w:color w:val="000000"/>
                      <w:kern w:val="0"/>
                      <w:szCs w:val="21"/>
                      <w:u w:val="none" w:color="auto"/>
                      <w:lang w:val="en-US" w:eastAsia="zh-CN"/>
                    </w:rPr>
                    <w:t>新乡市贾屯污水处理厂</w:t>
                  </w:r>
                </w:p>
              </w:tc>
              <w:tc>
                <w:tcPr>
                  <w:tcW w:w="565" w:type="dxa"/>
                  <w:vMerge w:val="restart"/>
                  <w:tcBorders>
                    <w:tl2br w:val="nil"/>
                    <w:tr2bl w:val="nil"/>
                  </w:tcBorders>
                  <w:noWrap/>
                  <w:tcMar>
                    <w:top w:w="0" w:type="dxa"/>
                    <w:left w:w="0" w:type="dxa"/>
                    <w:bottom w:w="0" w:type="dxa"/>
                    <w:right w:w="0" w:type="dxa"/>
                  </w:tcMar>
                  <w:vAlign w:val="center"/>
                </w:tcPr>
                <w:p w14:paraId="0BCE2EA7">
                  <w:pPr>
                    <w:adjustRightInd w:val="0"/>
                    <w:snapToGrid w:val="0"/>
                    <w:jc w:val="center"/>
                    <w:textAlignment w:val="baseline"/>
                    <w:rPr>
                      <w:rFonts w:hint="eastAsia" w:eastAsia="宋体"/>
                      <w:color w:val="000000"/>
                      <w:kern w:val="0"/>
                      <w:szCs w:val="21"/>
                      <w:u w:val="none" w:color="auto"/>
                      <w:lang w:val="en-US" w:eastAsia="zh-CN"/>
                    </w:rPr>
                  </w:pPr>
                  <w:r>
                    <w:rPr>
                      <w:u w:val="none" w:color="auto"/>
                    </w:rPr>
                    <w:t>连续排放，流量不稳定，但有周期性规律</w:t>
                  </w:r>
                </w:p>
              </w:tc>
              <w:tc>
                <w:tcPr>
                  <w:tcW w:w="1166" w:type="dxa"/>
                  <w:vMerge w:val="restart"/>
                  <w:tcBorders>
                    <w:tl2br w:val="nil"/>
                    <w:tr2bl w:val="nil"/>
                  </w:tcBorders>
                  <w:noWrap/>
                  <w:tcMar>
                    <w:top w:w="0" w:type="dxa"/>
                    <w:left w:w="0" w:type="dxa"/>
                    <w:bottom w:w="0" w:type="dxa"/>
                    <w:right w:w="0" w:type="dxa"/>
                  </w:tcMar>
                  <w:vAlign w:val="center"/>
                </w:tcPr>
                <w:p w14:paraId="7DD63B27">
                  <w:pPr>
                    <w:adjustRightInd w:val="0"/>
                    <w:snapToGrid w:val="0"/>
                    <w:jc w:val="center"/>
                    <w:textAlignment w:val="baseline"/>
                    <w:rPr>
                      <w:color w:val="000000"/>
                      <w:kern w:val="0"/>
                      <w:szCs w:val="21"/>
                      <w:u w:val="none" w:color="auto"/>
                    </w:rPr>
                  </w:pPr>
                  <w:r>
                    <w:rPr>
                      <w:rFonts w:hint="eastAsia"/>
                      <w:color w:val="000000"/>
                      <w:kern w:val="0"/>
                      <w:szCs w:val="21"/>
                      <w:u w:val="none" w:color="auto"/>
                      <w:lang w:val="en-US" w:eastAsia="zh-CN"/>
                    </w:rPr>
                    <w:t>一般排放口</w:t>
                  </w:r>
                </w:p>
              </w:tc>
              <w:tc>
                <w:tcPr>
                  <w:tcW w:w="742" w:type="dxa"/>
                  <w:tcBorders>
                    <w:tl2br w:val="nil"/>
                    <w:tr2bl w:val="nil"/>
                  </w:tcBorders>
                  <w:noWrap/>
                  <w:tcMar>
                    <w:top w:w="0" w:type="dxa"/>
                    <w:left w:w="0" w:type="dxa"/>
                    <w:bottom w:w="0" w:type="dxa"/>
                    <w:right w:w="0" w:type="dxa"/>
                  </w:tcMar>
                  <w:vAlign w:val="center"/>
                </w:tcPr>
                <w:p w14:paraId="526E5290">
                  <w:pPr>
                    <w:contextualSpacing/>
                    <w:jc w:val="center"/>
                    <w:textAlignment w:val="baseline"/>
                    <w:rPr>
                      <w:color w:val="000000"/>
                      <w:kern w:val="0"/>
                      <w:szCs w:val="21"/>
                      <w:u w:val="none" w:color="auto"/>
                    </w:rPr>
                  </w:pPr>
                  <w:r>
                    <w:rPr>
                      <w:color w:val="000000"/>
                      <w:kern w:val="0"/>
                      <w:szCs w:val="21"/>
                      <w:u w:val="none" w:color="auto"/>
                    </w:rPr>
                    <w:t>COD</w:t>
                  </w:r>
                </w:p>
              </w:tc>
              <w:tc>
                <w:tcPr>
                  <w:tcW w:w="1044" w:type="dxa"/>
                  <w:tcBorders>
                    <w:tl2br w:val="nil"/>
                    <w:tr2bl w:val="nil"/>
                  </w:tcBorders>
                  <w:vAlign w:val="center"/>
                </w:tcPr>
                <w:p w14:paraId="03B5B24A">
                  <w:pPr>
                    <w:jc w:val="center"/>
                    <w:rPr>
                      <w:rFonts w:hint="eastAsia"/>
                      <w:color w:val="000000"/>
                      <w:szCs w:val="21"/>
                      <w:u w:val="none" w:color="auto"/>
                    </w:rPr>
                  </w:pPr>
                  <w:r>
                    <w:rPr>
                      <w:rFonts w:hint="eastAsia"/>
                      <w:color w:val="000000"/>
                      <w:szCs w:val="21"/>
                      <w:u w:val="none" w:color="auto"/>
                    </w:rPr>
                    <w:t>40</w:t>
                  </w:r>
                </w:p>
              </w:tc>
            </w:tr>
            <w:tr w14:paraId="482164F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96" w:hRule="atLeast"/>
                <w:jc w:val="center"/>
              </w:trPr>
              <w:tc>
                <w:tcPr>
                  <w:tcW w:w="764" w:type="dxa"/>
                  <w:vMerge w:val="continue"/>
                  <w:tcBorders>
                    <w:tl2br w:val="nil"/>
                    <w:tr2bl w:val="nil"/>
                  </w:tcBorders>
                  <w:noWrap/>
                  <w:tcMar>
                    <w:top w:w="0" w:type="dxa"/>
                    <w:left w:w="0" w:type="dxa"/>
                    <w:bottom w:w="0" w:type="dxa"/>
                    <w:right w:w="0" w:type="dxa"/>
                  </w:tcMar>
                  <w:vAlign w:val="center"/>
                </w:tcPr>
                <w:p w14:paraId="78684380">
                  <w:pPr>
                    <w:adjustRightInd w:val="0"/>
                    <w:snapToGrid w:val="0"/>
                    <w:jc w:val="center"/>
                    <w:textAlignment w:val="baseline"/>
                    <w:rPr>
                      <w:color w:val="000000"/>
                      <w:kern w:val="0"/>
                      <w:szCs w:val="21"/>
                      <w:u w:val="none" w:color="auto"/>
                    </w:rPr>
                  </w:pPr>
                </w:p>
              </w:tc>
              <w:tc>
                <w:tcPr>
                  <w:tcW w:w="743" w:type="dxa"/>
                  <w:vMerge w:val="continue"/>
                  <w:tcBorders>
                    <w:tl2br w:val="nil"/>
                    <w:tr2bl w:val="nil"/>
                  </w:tcBorders>
                  <w:noWrap/>
                  <w:tcMar>
                    <w:top w:w="0" w:type="dxa"/>
                    <w:left w:w="0" w:type="dxa"/>
                    <w:bottom w:w="0" w:type="dxa"/>
                    <w:right w:w="0" w:type="dxa"/>
                  </w:tcMar>
                  <w:vAlign w:val="center"/>
                </w:tcPr>
                <w:p w14:paraId="5457E61A">
                  <w:pPr>
                    <w:adjustRightInd w:val="0"/>
                    <w:snapToGrid w:val="0"/>
                    <w:jc w:val="center"/>
                    <w:rPr>
                      <w:szCs w:val="21"/>
                      <w:u w:val="none" w:color="auto"/>
                    </w:rPr>
                  </w:pPr>
                </w:p>
              </w:tc>
              <w:tc>
                <w:tcPr>
                  <w:tcW w:w="742" w:type="dxa"/>
                  <w:vMerge w:val="continue"/>
                  <w:tcBorders>
                    <w:tl2br w:val="nil"/>
                    <w:tr2bl w:val="nil"/>
                  </w:tcBorders>
                  <w:noWrap/>
                  <w:tcMar>
                    <w:top w:w="0" w:type="dxa"/>
                    <w:left w:w="0" w:type="dxa"/>
                    <w:bottom w:w="0" w:type="dxa"/>
                    <w:right w:w="0" w:type="dxa"/>
                  </w:tcMar>
                  <w:vAlign w:val="center"/>
                </w:tcPr>
                <w:p w14:paraId="7BB1061D">
                  <w:pPr>
                    <w:adjustRightInd w:val="0"/>
                    <w:snapToGrid w:val="0"/>
                    <w:jc w:val="center"/>
                    <w:rPr>
                      <w:szCs w:val="21"/>
                      <w:u w:val="none" w:color="auto"/>
                    </w:rPr>
                  </w:pPr>
                </w:p>
              </w:tc>
              <w:tc>
                <w:tcPr>
                  <w:tcW w:w="1029" w:type="dxa"/>
                  <w:vMerge w:val="continue"/>
                  <w:tcBorders>
                    <w:tl2br w:val="nil"/>
                    <w:tr2bl w:val="nil"/>
                  </w:tcBorders>
                  <w:noWrap/>
                  <w:tcMar>
                    <w:top w:w="0" w:type="dxa"/>
                    <w:left w:w="0" w:type="dxa"/>
                    <w:bottom w:w="0" w:type="dxa"/>
                    <w:right w:w="0" w:type="dxa"/>
                  </w:tcMar>
                  <w:vAlign w:val="center"/>
                </w:tcPr>
                <w:p w14:paraId="795549DB">
                  <w:pPr>
                    <w:adjustRightInd w:val="0"/>
                    <w:snapToGrid w:val="0"/>
                    <w:jc w:val="center"/>
                    <w:textAlignment w:val="baseline"/>
                    <w:rPr>
                      <w:color w:val="000000"/>
                      <w:kern w:val="0"/>
                      <w:szCs w:val="21"/>
                      <w:u w:val="none" w:color="auto"/>
                    </w:rPr>
                  </w:pPr>
                </w:p>
              </w:tc>
              <w:tc>
                <w:tcPr>
                  <w:tcW w:w="827" w:type="dxa"/>
                  <w:vMerge w:val="continue"/>
                  <w:tcBorders>
                    <w:tl2br w:val="nil"/>
                    <w:tr2bl w:val="nil"/>
                  </w:tcBorders>
                  <w:noWrap/>
                  <w:tcMar>
                    <w:top w:w="0" w:type="dxa"/>
                    <w:left w:w="0" w:type="dxa"/>
                    <w:bottom w:w="0" w:type="dxa"/>
                    <w:right w:w="0" w:type="dxa"/>
                  </w:tcMar>
                  <w:vAlign w:val="center"/>
                </w:tcPr>
                <w:p w14:paraId="24FA79BA">
                  <w:pPr>
                    <w:adjustRightInd w:val="0"/>
                    <w:snapToGrid w:val="0"/>
                    <w:jc w:val="center"/>
                    <w:textAlignment w:val="baseline"/>
                    <w:rPr>
                      <w:bCs/>
                      <w:u w:val="none" w:color="auto"/>
                    </w:rPr>
                  </w:pPr>
                </w:p>
              </w:tc>
              <w:tc>
                <w:tcPr>
                  <w:tcW w:w="565" w:type="dxa"/>
                  <w:vMerge w:val="continue"/>
                  <w:tcBorders>
                    <w:tl2br w:val="nil"/>
                    <w:tr2bl w:val="nil"/>
                  </w:tcBorders>
                  <w:noWrap/>
                  <w:tcMar>
                    <w:top w:w="0" w:type="dxa"/>
                    <w:left w:w="0" w:type="dxa"/>
                    <w:bottom w:w="0" w:type="dxa"/>
                    <w:right w:w="0" w:type="dxa"/>
                  </w:tcMar>
                  <w:vAlign w:val="center"/>
                </w:tcPr>
                <w:p w14:paraId="22DEF519">
                  <w:pPr>
                    <w:adjustRightInd w:val="0"/>
                    <w:snapToGrid w:val="0"/>
                    <w:jc w:val="center"/>
                    <w:textAlignment w:val="baseline"/>
                    <w:rPr>
                      <w:color w:val="000000"/>
                      <w:kern w:val="0"/>
                      <w:szCs w:val="21"/>
                      <w:u w:val="none" w:color="auto"/>
                    </w:rPr>
                  </w:pPr>
                </w:p>
              </w:tc>
              <w:tc>
                <w:tcPr>
                  <w:tcW w:w="1166" w:type="dxa"/>
                  <w:vMerge w:val="continue"/>
                  <w:tcBorders>
                    <w:tl2br w:val="nil"/>
                    <w:tr2bl w:val="nil"/>
                  </w:tcBorders>
                  <w:noWrap/>
                  <w:tcMar>
                    <w:top w:w="0" w:type="dxa"/>
                    <w:left w:w="0" w:type="dxa"/>
                    <w:bottom w:w="0" w:type="dxa"/>
                    <w:right w:w="0" w:type="dxa"/>
                  </w:tcMar>
                  <w:vAlign w:val="center"/>
                </w:tcPr>
                <w:p w14:paraId="2A383F39">
                  <w:pPr>
                    <w:adjustRightInd w:val="0"/>
                    <w:snapToGrid w:val="0"/>
                    <w:jc w:val="center"/>
                    <w:textAlignment w:val="baseline"/>
                    <w:rPr>
                      <w:color w:val="000000"/>
                      <w:kern w:val="0"/>
                      <w:szCs w:val="21"/>
                      <w:u w:val="none" w:color="auto"/>
                    </w:rPr>
                  </w:pPr>
                </w:p>
              </w:tc>
              <w:tc>
                <w:tcPr>
                  <w:tcW w:w="742" w:type="dxa"/>
                  <w:tcBorders>
                    <w:tl2br w:val="nil"/>
                    <w:tr2bl w:val="nil"/>
                  </w:tcBorders>
                  <w:noWrap/>
                  <w:tcMar>
                    <w:top w:w="0" w:type="dxa"/>
                    <w:left w:w="0" w:type="dxa"/>
                    <w:bottom w:w="0" w:type="dxa"/>
                    <w:right w:w="0" w:type="dxa"/>
                  </w:tcMar>
                  <w:vAlign w:val="center"/>
                </w:tcPr>
                <w:p w14:paraId="05335E70">
                  <w:pPr>
                    <w:contextualSpacing/>
                    <w:jc w:val="center"/>
                    <w:textAlignment w:val="baseline"/>
                    <w:rPr>
                      <w:color w:val="000000"/>
                      <w:kern w:val="0"/>
                      <w:szCs w:val="21"/>
                      <w:u w:val="none" w:color="auto"/>
                    </w:rPr>
                  </w:pPr>
                  <w:r>
                    <w:rPr>
                      <w:rFonts w:hint="eastAsia"/>
                      <w:color w:val="000000"/>
                      <w:kern w:val="0"/>
                      <w:szCs w:val="21"/>
                      <w:u w:val="none" w:color="auto"/>
                    </w:rPr>
                    <w:t>SS</w:t>
                  </w:r>
                </w:p>
              </w:tc>
              <w:tc>
                <w:tcPr>
                  <w:tcW w:w="1044" w:type="dxa"/>
                  <w:tcBorders>
                    <w:tl2br w:val="nil"/>
                    <w:tr2bl w:val="nil"/>
                  </w:tcBorders>
                  <w:vAlign w:val="center"/>
                </w:tcPr>
                <w:p w14:paraId="31B475BD">
                  <w:pPr>
                    <w:jc w:val="center"/>
                    <w:rPr>
                      <w:rFonts w:hint="eastAsia"/>
                      <w:color w:val="000000"/>
                      <w:szCs w:val="21"/>
                      <w:u w:val="none" w:color="auto"/>
                    </w:rPr>
                  </w:pPr>
                  <w:r>
                    <w:rPr>
                      <w:rFonts w:hint="eastAsia"/>
                      <w:color w:val="000000"/>
                      <w:szCs w:val="21"/>
                      <w:u w:val="none" w:color="auto"/>
                    </w:rPr>
                    <w:t>10</w:t>
                  </w:r>
                </w:p>
              </w:tc>
            </w:tr>
            <w:tr w14:paraId="5A7710D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96" w:hRule="atLeast"/>
                <w:jc w:val="center"/>
              </w:trPr>
              <w:tc>
                <w:tcPr>
                  <w:tcW w:w="764" w:type="dxa"/>
                  <w:vMerge w:val="continue"/>
                  <w:tcBorders>
                    <w:tl2br w:val="nil"/>
                    <w:tr2bl w:val="nil"/>
                  </w:tcBorders>
                  <w:noWrap/>
                  <w:tcMar>
                    <w:top w:w="0" w:type="dxa"/>
                    <w:left w:w="0" w:type="dxa"/>
                    <w:bottom w:w="0" w:type="dxa"/>
                    <w:right w:w="0" w:type="dxa"/>
                  </w:tcMar>
                  <w:vAlign w:val="center"/>
                </w:tcPr>
                <w:p w14:paraId="3C9219E8">
                  <w:pPr>
                    <w:adjustRightInd w:val="0"/>
                    <w:snapToGrid w:val="0"/>
                    <w:jc w:val="center"/>
                    <w:textAlignment w:val="baseline"/>
                    <w:rPr>
                      <w:color w:val="000000"/>
                      <w:kern w:val="0"/>
                      <w:szCs w:val="21"/>
                      <w:u w:val="none" w:color="auto"/>
                    </w:rPr>
                  </w:pPr>
                </w:p>
              </w:tc>
              <w:tc>
                <w:tcPr>
                  <w:tcW w:w="743" w:type="dxa"/>
                  <w:vMerge w:val="continue"/>
                  <w:tcBorders>
                    <w:tl2br w:val="nil"/>
                    <w:tr2bl w:val="nil"/>
                  </w:tcBorders>
                  <w:noWrap/>
                  <w:tcMar>
                    <w:top w:w="0" w:type="dxa"/>
                    <w:left w:w="0" w:type="dxa"/>
                    <w:bottom w:w="0" w:type="dxa"/>
                    <w:right w:w="0" w:type="dxa"/>
                  </w:tcMar>
                  <w:vAlign w:val="center"/>
                </w:tcPr>
                <w:p w14:paraId="5E6A26F3">
                  <w:pPr>
                    <w:adjustRightInd w:val="0"/>
                    <w:snapToGrid w:val="0"/>
                    <w:jc w:val="center"/>
                    <w:rPr>
                      <w:szCs w:val="21"/>
                      <w:u w:val="none" w:color="auto"/>
                    </w:rPr>
                  </w:pPr>
                </w:p>
              </w:tc>
              <w:tc>
                <w:tcPr>
                  <w:tcW w:w="742" w:type="dxa"/>
                  <w:vMerge w:val="continue"/>
                  <w:tcBorders>
                    <w:tl2br w:val="nil"/>
                    <w:tr2bl w:val="nil"/>
                  </w:tcBorders>
                  <w:noWrap/>
                  <w:tcMar>
                    <w:top w:w="0" w:type="dxa"/>
                    <w:left w:w="0" w:type="dxa"/>
                    <w:bottom w:w="0" w:type="dxa"/>
                    <w:right w:w="0" w:type="dxa"/>
                  </w:tcMar>
                  <w:vAlign w:val="center"/>
                </w:tcPr>
                <w:p w14:paraId="1748D88A">
                  <w:pPr>
                    <w:adjustRightInd w:val="0"/>
                    <w:snapToGrid w:val="0"/>
                    <w:jc w:val="center"/>
                    <w:rPr>
                      <w:szCs w:val="21"/>
                      <w:u w:val="none" w:color="auto"/>
                    </w:rPr>
                  </w:pPr>
                </w:p>
              </w:tc>
              <w:tc>
                <w:tcPr>
                  <w:tcW w:w="1029" w:type="dxa"/>
                  <w:vMerge w:val="continue"/>
                  <w:tcBorders>
                    <w:tl2br w:val="nil"/>
                    <w:tr2bl w:val="nil"/>
                  </w:tcBorders>
                  <w:noWrap/>
                  <w:tcMar>
                    <w:top w:w="0" w:type="dxa"/>
                    <w:left w:w="0" w:type="dxa"/>
                    <w:bottom w:w="0" w:type="dxa"/>
                    <w:right w:w="0" w:type="dxa"/>
                  </w:tcMar>
                  <w:vAlign w:val="center"/>
                </w:tcPr>
                <w:p w14:paraId="596F66AA">
                  <w:pPr>
                    <w:adjustRightInd w:val="0"/>
                    <w:snapToGrid w:val="0"/>
                    <w:jc w:val="center"/>
                    <w:textAlignment w:val="baseline"/>
                    <w:rPr>
                      <w:color w:val="000000"/>
                      <w:kern w:val="0"/>
                      <w:szCs w:val="21"/>
                      <w:u w:val="none" w:color="auto"/>
                    </w:rPr>
                  </w:pPr>
                </w:p>
              </w:tc>
              <w:tc>
                <w:tcPr>
                  <w:tcW w:w="827" w:type="dxa"/>
                  <w:vMerge w:val="continue"/>
                  <w:tcBorders>
                    <w:tl2br w:val="nil"/>
                    <w:tr2bl w:val="nil"/>
                  </w:tcBorders>
                  <w:noWrap/>
                  <w:tcMar>
                    <w:top w:w="0" w:type="dxa"/>
                    <w:left w:w="0" w:type="dxa"/>
                    <w:bottom w:w="0" w:type="dxa"/>
                    <w:right w:w="0" w:type="dxa"/>
                  </w:tcMar>
                  <w:vAlign w:val="center"/>
                </w:tcPr>
                <w:p w14:paraId="362A3DED">
                  <w:pPr>
                    <w:adjustRightInd w:val="0"/>
                    <w:snapToGrid w:val="0"/>
                    <w:jc w:val="center"/>
                    <w:textAlignment w:val="baseline"/>
                    <w:rPr>
                      <w:bCs/>
                      <w:u w:val="none" w:color="auto"/>
                    </w:rPr>
                  </w:pPr>
                </w:p>
              </w:tc>
              <w:tc>
                <w:tcPr>
                  <w:tcW w:w="565" w:type="dxa"/>
                  <w:vMerge w:val="continue"/>
                  <w:tcBorders>
                    <w:tl2br w:val="nil"/>
                    <w:tr2bl w:val="nil"/>
                  </w:tcBorders>
                  <w:noWrap/>
                  <w:tcMar>
                    <w:top w:w="0" w:type="dxa"/>
                    <w:left w:w="0" w:type="dxa"/>
                    <w:bottom w:w="0" w:type="dxa"/>
                    <w:right w:w="0" w:type="dxa"/>
                  </w:tcMar>
                  <w:vAlign w:val="center"/>
                </w:tcPr>
                <w:p w14:paraId="6F1C3DEA">
                  <w:pPr>
                    <w:adjustRightInd w:val="0"/>
                    <w:snapToGrid w:val="0"/>
                    <w:jc w:val="center"/>
                    <w:textAlignment w:val="baseline"/>
                    <w:rPr>
                      <w:color w:val="000000"/>
                      <w:kern w:val="0"/>
                      <w:szCs w:val="21"/>
                      <w:u w:val="none" w:color="auto"/>
                    </w:rPr>
                  </w:pPr>
                </w:p>
              </w:tc>
              <w:tc>
                <w:tcPr>
                  <w:tcW w:w="1166" w:type="dxa"/>
                  <w:vMerge w:val="continue"/>
                  <w:tcBorders>
                    <w:tl2br w:val="nil"/>
                    <w:tr2bl w:val="nil"/>
                  </w:tcBorders>
                  <w:noWrap/>
                  <w:tcMar>
                    <w:top w:w="0" w:type="dxa"/>
                    <w:left w:w="0" w:type="dxa"/>
                    <w:bottom w:w="0" w:type="dxa"/>
                    <w:right w:w="0" w:type="dxa"/>
                  </w:tcMar>
                  <w:vAlign w:val="center"/>
                </w:tcPr>
                <w:p w14:paraId="4BA25174">
                  <w:pPr>
                    <w:adjustRightInd w:val="0"/>
                    <w:snapToGrid w:val="0"/>
                    <w:jc w:val="center"/>
                    <w:textAlignment w:val="baseline"/>
                    <w:rPr>
                      <w:color w:val="000000"/>
                      <w:kern w:val="0"/>
                      <w:szCs w:val="21"/>
                      <w:u w:val="none" w:color="auto"/>
                    </w:rPr>
                  </w:pPr>
                </w:p>
              </w:tc>
              <w:tc>
                <w:tcPr>
                  <w:tcW w:w="742" w:type="dxa"/>
                  <w:tcBorders>
                    <w:tl2br w:val="nil"/>
                    <w:tr2bl w:val="nil"/>
                  </w:tcBorders>
                  <w:noWrap/>
                  <w:tcMar>
                    <w:top w:w="0" w:type="dxa"/>
                    <w:left w:w="0" w:type="dxa"/>
                    <w:bottom w:w="0" w:type="dxa"/>
                    <w:right w:w="0" w:type="dxa"/>
                  </w:tcMar>
                  <w:vAlign w:val="center"/>
                </w:tcPr>
                <w:p w14:paraId="12A0769B">
                  <w:pPr>
                    <w:contextualSpacing/>
                    <w:jc w:val="center"/>
                    <w:textAlignment w:val="baseline"/>
                    <w:rPr>
                      <w:color w:val="000000"/>
                      <w:kern w:val="0"/>
                      <w:szCs w:val="21"/>
                      <w:u w:val="none" w:color="auto"/>
                    </w:rPr>
                  </w:pPr>
                  <w:r>
                    <w:rPr>
                      <w:color w:val="000000"/>
                      <w:kern w:val="0"/>
                      <w:szCs w:val="21"/>
                      <w:u w:val="none" w:color="auto"/>
                    </w:rPr>
                    <w:t>NH</w:t>
                  </w:r>
                  <w:r>
                    <w:rPr>
                      <w:color w:val="000000"/>
                      <w:kern w:val="0"/>
                      <w:szCs w:val="21"/>
                      <w:u w:val="none" w:color="auto"/>
                      <w:vertAlign w:val="subscript"/>
                    </w:rPr>
                    <w:t>3</w:t>
                  </w:r>
                  <w:r>
                    <w:rPr>
                      <w:color w:val="000000"/>
                      <w:kern w:val="0"/>
                      <w:szCs w:val="21"/>
                      <w:u w:val="none" w:color="auto"/>
                    </w:rPr>
                    <w:t>-N</w:t>
                  </w:r>
                </w:p>
              </w:tc>
              <w:tc>
                <w:tcPr>
                  <w:tcW w:w="1044" w:type="dxa"/>
                  <w:tcBorders>
                    <w:tl2br w:val="nil"/>
                    <w:tr2bl w:val="nil"/>
                  </w:tcBorders>
                  <w:vAlign w:val="center"/>
                </w:tcPr>
                <w:p w14:paraId="441E789E">
                  <w:pPr>
                    <w:jc w:val="center"/>
                    <w:rPr>
                      <w:rFonts w:hint="eastAsia"/>
                      <w:color w:val="000000"/>
                      <w:szCs w:val="21"/>
                      <w:u w:val="none" w:color="auto"/>
                    </w:rPr>
                  </w:pPr>
                  <w:r>
                    <w:rPr>
                      <w:rFonts w:hint="eastAsia"/>
                      <w:color w:val="000000"/>
                      <w:szCs w:val="21"/>
                      <w:u w:val="none" w:color="auto"/>
                    </w:rPr>
                    <w:t>2</w:t>
                  </w:r>
                </w:p>
              </w:tc>
            </w:tr>
            <w:tr w14:paraId="3394DC5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96" w:hRule="atLeast"/>
                <w:jc w:val="center"/>
              </w:trPr>
              <w:tc>
                <w:tcPr>
                  <w:tcW w:w="764" w:type="dxa"/>
                  <w:vMerge w:val="continue"/>
                  <w:tcBorders>
                    <w:tl2br w:val="nil"/>
                    <w:tr2bl w:val="nil"/>
                  </w:tcBorders>
                  <w:noWrap/>
                  <w:tcMar>
                    <w:top w:w="0" w:type="dxa"/>
                    <w:left w:w="0" w:type="dxa"/>
                    <w:bottom w:w="0" w:type="dxa"/>
                    <w:right w:w="0" w:type="dxa"/>
                  </w:tcMar>
                  <w:vAlign w:val="center"/>
                </w:tcPr>
                <w:p w14:paraId="44A4CFAF">
                  <w:pPr>
                    <w:adjustRightInd w:val="0"/>
                    <w:snapToGrid w:val="0"/>
                    <w:jc w:val="center"/>
                    <w:textAlignment w:val="baseline"/>
                    <w:rPr>
                      <w:color w:val="000000"/>
                      <w:kern w:val="0"/>
                      <w:szCs w:val="21"/>
                      <w:u w:val="none" w:color="auto"/>
                    </w:rPr>
                  </w:pPr>
                </w:p>
              </w:tc>
              <w:tc>
                <w:tcPr>
                  <w:tcW w:w="743" w:type="dxa"/>
                  <w:vMerge w:val="continue"/>
                  <w:tcBorders>
                    <w:tl2br w:val="nil"/>
                    <w:tr2bl w:val="nil"/>
                  </w:tcBorders>
                  <w:noWrap/>
                  <w:tcMar>
                    <w:top w:w="0" w:type="dxa"/>
                    <w:left w:w="0" w:type="dxa"/>
                    <w:bottom w:w="0" w:type="dxa"/>
                    <w:right w:w="0" w:type="dxa"/>
                  </w:tcMar>
                  <w:vAlign w:val="center"/>
                </w:tcPr>
                <w:p w14:paraId="2A8EB2A9">
                  <w:pPr>
                    <w:adjustRightInd w:val="0"/>
                    <w:snapToGrid w:val="0"/>
                    <w:jc w:val="center"/>
                    <w:rPr>
                      <w:szCs w:val="21"/>
                      <w:u w:val="none" w:color="auto"/>
                    </w:rPr>
                  </w:pPr>
                </w:p>
              </w:tc>
              <w:tc>
                <w:tcPr>
                  <w:tcW w:w="742" w:type="dxa"/>
                  <w:vMerge w:val="continue"/>
                  <w:tcBorders>
                    <w:tl2br w:val="nil"/>
                    <w:tr2bl w:val="nil"/>
                  </w:tcBorders>
                  <w:noWrap/>
                  <w:tcMar>
                    <w:top w:w="0" w:type="dxa"/>
                    <w:left w:w="0" w:type="dxa"/>
                    <w:bottom w:w="0" w:type="dxa"/>
                    <w:right w:w="0" w:type="dxa"/>
                  </w:tcMar>
                  <w:vAlign w:val="center"/>
                </w:tcPr>
                <w:p w14:paraId="7ADDB1D5">
                  <w:pPr>
                    <w:adjustRightInd w:val="0"/>
                    <w:snapToGrid w:val="0"/>
                    <w:jc w:val="center"/>
                    <w:rPr>
                      <w:szCs w:val="21"/>
                      <w:u w:val="none" w:color="auto"/>
                    </w:rPr>
                  </w:pPr>
                </w:p>
              </w:tc>
              <w:tc>
                <w:tcPr>
                  <w:tcW w:w="1029" w:type="dxa"/>
                  <w:vMerge w:val="continue"/>
                  <w:tcBorders>
                    <w:tl2br w:val="nil"/>
                    <w:tr2bl w:val="nil"/>
                  </w:tcBorders>
                  <w:noWrap/>
                  <w:tcMar>
                    <w:top w:w="0" w:type="dxa"/>
                    <w:left w:w="0" w:type="dxa"/>
                    <w:bottom w:w="0" w:type="dxa"/>
                    <w:right w:w="0" w:type="dxa"/>
                  </w:tcMar>
                  <w:vAlign w:val="center"/>
                </w:tcPr>
                <w:p w14:paraId="049E7642">
                  <w:pPr>
                    <w:adjustRightInd w:val="0"/>
                    <w:snapToGrid w:val="0"/>
                    <w:jc w:val="center"/>
                    <w:textAlignment w:val="baseline"/>
                    <w:rPr>
                      <w:color w:val="000000"/>
                      <w:kern w:val="0"/>
                      <w:szCs w:val="21"/>
                      <w:u w:val="none" w:color="auto"/>
                    </w:rPr>
                  </w:pPr>
                </w:p>
              </w:tc>
              <w:tc>
                <w:tcPr>
                  <w:tcW w:w="827" w:type="dxa"/>
                  <w:vMerge w:val="continue"/>
                  <w:tcBorders>
                    <w:tl2br w:val="nil"/>
                    <w:tr2bl w:val="nil"/>
                  </w:tcBorders>
                  <w:noWrap/>
                  <w:tcMar>
                    <w:top w:w="0" w:type="dxa"/>
                    <w:left w:w="0" w:type="dxa"/>
                    <w:bottom w:w="0" w:type="dxa"/>
                    <w:right w:w="0" w:type="dxa"/>
                  </w:tcMar>
                  <w:vAlign w:val="center"/>
                </w:tcPr>
                <w:p w14:paraId="6411E80E">
                  <w:pPr>
                    <w:adjustRightInd w:val="0"/>
                    <w:snapToGrid w:val="0"/>
                    <w:jc w:val="center"/>
                    <w:textAlignment w:val="baseline"/>
                    <w:rPr>
                      <w:bCs/>
                      <w:u w:val="none" w:color="auto"/>
                    </w:rPr>
                  </w:pPr>
                </w:p>
              </w:tc>
              <w:tc>
                <w:tcPr>
                  <w:tcW w:w="565" w:type="dxa"/>
                  <w:vMerge w:val="continue"/>
                  <w:tcBorders>
                    <w:tl2br w:val="nil"/>
                    <w:tr2bl w:val="nil"/>
                  </w:tcBorders>
                  <w:noWrap/>
                  <w:tcMar>
                    <w:top w:w="0" w:type="dxa"/>
                    <w:left w:w="0" w:type="dxa"/>
                    <w:bottom w:w="0" w:type="dxa"/>
                    <w:right w:w="0" w:type="dxa"/>
                  </w:tcMar>
                  <w:vAlign w:val="center"/>
                </w:tcPr>
                <w:p w14:paraId="36F806B3">
                  <w:pPr>
                    <w:adjustRightInd w:val="0"/>
                    <w:snapToGrid w:val="0"/>
                    <w:jc w:val="center"/>
                    <w:textAlignment w:val="baseline"/>
                    <w:rPr>
                      <w:color w:val="000000"/>
                      <w:kern w:val="0"/>
                      <w:szCs w:val="21"/>
                      <w:u w:val="none" w:color="auto"/>
                    </w:rPr>
                  </w:pPr>
                </w:p>
              </w:tc>
              <w:tc>
                <w:tcPr>
                  <w:tcW w:w="1166" w:type="dxa"/>
                  <w:vMerge w:val="continue"/>
                  <w:tcBorders>
                    <w:tl2br w:val="nil"/>
                    <w:tr2bl w:val="nil"/>
                  </w:tcBorders>
                  <w:noWrap/>
                  <w:tcMar>
                    <w:top w:w="0" w:type="dxa"/>
                    <w:left w:w="0" w:type="dxa"/>
                    <w:bottom w:w="0" w:type="dxa"/>
                    <w:right w:w="0" w:type="dxa"/>
                  </w:tcMar>
                  <w:vAlign w:val="center"/>
                </w:tcPr>
                <w:p w14:paraId="2F082F40">
                  <w:pPr>
                    <w:adjustRightInd w:val="0"/>
                    <w:snapToGrid w:val="0"/>
                    <w:jc w:val="center"/>
                    <w:textAlignment w:val="baseline"/>
                    <w:rPr>
                      <w:color w:val="000000"/>
                      <w:kern w:val="0"/>
                      <w:szCs w:val="21"/>
                      <w:u w:val="none" w:color="auto"/>
                    </w:rPr>
                  </w:pPr>
                </w:p>
              </w:tc>
              <w:tc>
                <w:tcPr>
                  <w:tcW w:w="742" w:type="dxa"/>
                  <w:tcBorders>
                    <w:tl2br w:val="nil"/>
                    <w:tr2bl w:val="nil"/>
                  </w:tcBorders>
                  <w:noWrap/>
                  <w:tcMar>
                    <w:top w:w="0" w:type="dxa"/>
                    <w:left w:w="0" w:type="dxa"/>
                    <w:bottom w:w="0" w:type="dxa"/>
                    <w:right w:w="0" w:type="dxa"/>
                  </w:tcMar>
                  <w:vAlign w:val="center"/>
                </w:tcPr>
                <w:p w14:paraId="5AB92059">
                  <w:pPr>
                    <w:contextualSpacing/>
                    <w:jc w:val="center"/>
                    <w:textAlignment w:val="baseline"/>
                    <w:rPr>
                      <w:color w:val="000000"/>
                      <w:kern w:val="0"/>
                      <w:szCs w:val="21"/>
                      <w:u w:val="none" w:color="auto"/>
                    </w:rPr>
                  </w:pPr>
                  <w:r>
                    <w:rPr>
                      <w:color w:val="000000"/>
                      <w:kern w:val="0"/>
                      <w:szCs w:val="21"/>
                      <w:u w:val="none" w:color="auto"/>
                    </w:rPr>
                    <w:t>TP</w:t>
                  </w:r>
                </w:p>
              </w:tc>
              <w:tc>
                <w:tcPr>
                  <w:tcW w:w="1044" w:type="dxa"/>
                  <w:tcBorders>
                    <w:tl2br w:val="nil"/>
                    <w:tr2bl w:val="nil"/>
                  </w:tcBorders>
                  <w:vAlign w:val="center"/>
                </w:tcPr>
                <w:p w14:paraId="6E30E9EB">
                  <w:pPr>
                    <w:jc w:val="center"/>
                    <w:rPr>
                      <w:rFonts w:hint="eastAsia"/>
                      <w:color w:val="000000"/>
                      <w:szCs w:val="21"/>
                      <w:u w:val="none" w:color="auto"/>
                    </w:rPr>
                  </w:pPr>
                  <w:r>
                    <w:rPr>
                      <w:rFonts w:hint="eastAsia"/>
                      <w:color w:val="000000"/>
                      <w:szCs w:val="21"/>
                      <w:u w:val="none" w:color="auto"/>
                    </w:rPr>
                    <w:t>0.4</w:t>
                  </w:r>
                </w:p>
              </w:tc>
            </w:tr>
            <w:tr w14:paraId="6F45787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96" w:hRule="atLeast"/>
                <w:jc w:val="center"/>
              </w:trPr>
              <w:tc>
                <w:tcPr>
                  <w:tcW w:w="764" w:type="dxa"/>
                  <w:vMerge w:val="continue"/>
                  <w:tcBorders>
                    <w:tl2br w:val="nil"/>
                    <w:tr2bl w:val="nil"/>
                  </w:tcBorders>
                  <w:noWrap/>
                  <w:tcMar>
                    <w:top w:w="0" w:type="dxa"/>
                    <w:left w:w="0" w:type="dxa"/>
                    <w:bottom w:w="0" w:type="dxa"/>
                    <w:right w:w="0" w:type="dxa"/>
                  </w:tcMar>
                  <w:vAlign w:val="center"/>
                </w:tcPr>
                <w:p w14:paraId="06EAFC4F">
                  <w:pPr>
                    <w:adjustRightInd w:val="0"/>
                    <w:snapToGrid w:val="0"/>
                    <w:jc w:val="center"/>
                    <w:textAlignment w:val="baseline"/>
                    <w:rPr>
                      <w:color w:val="000000"/>
                      <w:kern w:val="0"/>
                      <w:szCs w:val="21"/>
                      <w:u w:val="none" w:color="auto"/>
                    </w:rPr>
                  </w:pPr>
                </w:p>
              </w:tc>
              <w:tc>
                <w:tcPr>
                  <w:tcW w:w="743" w:type="dxa"/>
                  <w:vMerge w:val="continue"/>
                  <w:tcBorders>
                    <w:tl2br w:val="nil"/>
                    <w:tr2bl w:val="nil"/>
                  </w:tcBorders>
                  <w:noWrap/>
                  <w:tcMar>
                    <w:top w:w="0" w:type="dxa"/>
                    <w:left w:w="0" w:type="dxa"/>
                    <w:bottom w:w="0" w:type="dxa"/>
                    <w:right w:w="0" w:type="dxa"/>
                  </w:tcMar>
                  <w:vAlign w:val="center"/>
                </w:tcPr>
                <w:p w14:paraId="5E713EC7">
                  <w:pPr>
                    <w:adjustRightInd w:val="0"/>
                    <w:snapToGrid w:val="0"/>
                    <w:jc w:val="center"/>
                    <w:rPr>
                      <w:szCs w:val="21"/>
                      <w:u w:val="none" w:color="auto"/>
                    </w:rPr>
                  </w:pPr>
                </w:p>
              </w:tc>
              <w:tc>
                <w:tcPr>
                  <w:tcW w:w="742" w:type="dxa"/>
                  <w:vMerge w:val="continue"/>
                  <w:tcBorders>
                    <w:tl2br w:val="nil"/>
                    <w:tr2bl w:val="nil"/>
                  </w:tcBorders>
                  <w:noWrap/>
                  <w:tcMar>
                    <w:top w:w="0" w:type="dxa"/>
                    <w:left w:w="0" w:type="dxa"/>
                    <w:bottom w:w="0" w:type="dxa"/>
                    <w:right w:w="0" w:type="dxa"/>
                  </w:tcMar>
                  <w:vAlign w:val="center"/>
                </w:tcPr>
                <w:p w14:paraId="45B1628D">
                  <w:pPr>
                    <w:adjustRightInd w:val="0"/>
                    <w:snapToGrid w:val="0"/>
                    <w:jc w:val="center"/>
                    <w:rPr>
                      <w:szCs w:val="21"/>
                      <w:u w:val="none" w:color="auto"/>
                    </w:rPr>
                  </w:pPr>
                </w:p>
              </w:tc>
              <w:tc>
                <w:tcPr>
                  <w:tcW w:w="1029" w:type="dxa"/>
                  <w:vMerge w:val="continue"/>
                  <w:tcBorders>
                    <w:tl2br w:val="nil"/>
                    <w:tr2bl w:val="nil"/>
                  </w:tcBorders>
                  <w:noWrap/>
                  <w:tcMar>
                    <w:top w:w="0" w:type="dxa"/>
                    <w:left w:w="0" w:type="dxa"/>
                    <w:bottom w:w="0" w:type="dxa"/>
                    <w:right w:w="0" w:type="dxa"/>
                  </w:tcMar>
                  <w:vAlign w:val="center"/>
                </w:tcPr>
                <w:p w14:paraId="201A0DDE">
                  <w:pPr>
                    <w:adjustRightInd w:val="0"/>
                    <w:snapToGrid w:val="0"/>
                    <w:jc w:val="center"/>
                    <w:textAlignment w:val="baseline"/>
                    <w:rPr>
                      <w:color w:val="000000"/>
                      <w:kern w:val="0"/>
                      <w:szCs w:val="21"/>
                      <w:u w:val="none" w:color="auto"/>
                    </w:rPr>
                  </w:pPr>
                </w:p>
              </w:tc>
              <w:tc>
                <w:tcPr>
                  <w:tcW w:w="827" w:type="dxa"/>
                  <w:vMerge w:val="continue"/>
                  <w:tcBorders>
                    <w:tl2br w:val="nil"/>
                    <w:tr2bl w:val="nil"/>
                  </w:tcBorders>
                  <w:noWrap/>
                  <w:tcMar>
                    <w:top w:w="0" w:type="dxa"/>
                    <w:left w:w="0" w:type="dxa"/>
                    <w:bottom w:w="0" w:type="dxa"/>
                    <w:right w:w="0" w:type="dxa"/>
                  </w:tcMar>
                  <w:vAlign w:val="center"/>
                </w:tcPr>
                <w:p w14:paraId="138B253A">
                  <w:pPr>
                    <w:adjustRightInd w:val="0"/>
                    <w:snapToGrid w:val="0"/>
                    <w:jc w:val="center"/>
                    <w:textAlignment w:val="baseline"/>
                    <w:rPr>
                      <w:bCs/>
                      <w:u w:val="none" w:color="auto"/>
                    </w:rPr>
                  </w:pPr>
                </w:p>
              </w:tc>
              <w:tc>
                <w:tcPr>
                  <w:tcW w:w="565" w:type="dxa"/>
                  <w:vMerge w:val="continue"/>
                  <w:tcBorders>
                    <w:tl2br w:val="nil"/>
                    <w:tr2bl w:val="nil"/>
                  </w:tcBorders>
                  <w:noWrap/>
                  <w:tcMar>
                    <w:top w:w="0" w:type="dxa"/>
                    <w:left w:w="0" w:type="dxa"/>
                    <w:bottom w:w="0" w:type="dxa"/>
                    <w:right w:w="0" w:type="dxa"/>
                  </w:tcMar>
                  <w:vAlign w:val="center"/>
                </w:tcPr>
                <w:p w14:paraId="6D5B0136">
                  <w:pPr>
                    <w:adjustRightInd w:val="0"/>
                    <w:snapToGrid w:val="0"/>
                    <w:jc w:val="center"/>
                    <w:textAlignment w:val="baseline"/>
                    <w:rPr>
                      <w:color w:val="000000"/>
                      <w:kern w:val="0"/>
                      <w:szCs w:val="21"/>
                      <w:u w:val="none" w:color="auto"/>
                    </w:rPr>
                  </w:pPr>
                </w:p>
              </w:tc>
              <w:tc>
                <w:tcPr>
                  <w:tcW w:w="1166" w:type="dxa"/>
                  <w:vMerge w:val="continue"/>
                  <w:tcBorders>
                    <w:tl2br w:val="nil"/>
                    <w:tr2bl w:val="nil"/>
                  </w:tcBorders>
                  <w:noWrap/>
                  <w:tcMar>
                    <w:top w:w="0" w:type="dxa"/>
                    <w:left w:w="0" w:type="dxa"/>
                    <w:bottom w:w="0" w:type="dxa"/>
                    <w:right w:w="0" w:type="dxa"/>
                  </w:tcMar>
                  <w:vAlign w:val="center"/>
                </w:tcPr>
                <w:p w14:paraId="1E6563B5">
                  <w:pPr>
                    <w:adjustRightInd w:val="0"/>
                    <w:snapToGrid w:val="0"/>
                    <w:jc w:val="center"/>
                    <w:textAlignment w:val="baseline"/>
                    <w:rPr>
                      <w:color w:val="000000"/>
                      <w:kern w:val="0"/>
                      <w:szCs w:val="21"/>
                      <w:u w:val="none" w:color="auto"/>
                    </w:rPr>
                  </w:pPr>
                </w:p>
              </w:tc>
              <w:tc>
                <w:tcPr>
                  <w:tcW w:w="742" w:type="dxa"/>
                  <w:tcBorders>
                    <w:tl2br w:val="nil"/>
                    <w:tr2bl w:val="nil"/>
                  </w:tcBorders>
                  <w:noWrap/>
                  <w:tcMar>
                    <w:top w:w="0" w:type="dxa"/>
                    <w:left w:w="0" w:type="dxa"/>
                    <w:bottom w:w="0" w:type="dxa"/>
                    <w:right w:w="0" w:type="dxa"/>
                  </w:tcMar>
                  <w:vAlign w:val="center"/>
                </w:tcPr>
                <w:p w14:paraId="65A79C64">
                  <w:pPr>
                    <w:contextualSpacing/>
                    <w:jc w:val="center"/>
                    <w:textAlignment w:val="baseline"/>
                    <w:rPr>
                      <w:color w:val="000000"/>
                      <w:kern w:val="0"/>
                      <w:szCs w:val="21"/>
                      <w:u w:val="none" w:color="auto"/>
                    </w:rPr>
                  </w:pPr>
                  <w:r>
                    <w:rPr>
                      <w:color w:val="000000"/>
                      <w:kern w:val="0"/>
                      <w:szCs w:val="21"/>
                      <w:u w:val="none" w:color="auto"/>
                    </w:rPr>
                    <w:t>TN</w:t>
                  </w:r>
                </w:p>
              </w:tc>
              <w:tc>
                <w:tcPr>
                  <w:tcW w:w="1044" w:type="dxa"/>
                  <w:tcBorders>
                    <w:tl2br w:val="nil"/>
                    <w:tr2bl w:val="nil"/>
                  </w:tcBorders>
                  <w:vAlign w:val="center"/>
                </w:tcPr>
                <w:p w14:paraId="24B76268">
                  <w:pPr>
                    <w:jc w:val="center"/>
                    <w:rPr>
                      <w:rFonts w:hint="eastAsia"/>
                      <w:color w:val="000000"/>
                      <w:szCs w:val="21"/>
                      <w:u w:val="none" w:color="auto"/>
                    </w:rPr>
                  </w:pPr>
                  <w:r>
                    <w:rPr>
                      <w:rFonts w:hint="eastAsia"/>
                      <w:color w:val="000000"/>
                      <w:szCs w:val="21"/>
                      <w:u w:val="none" w:color="auto"/>
                    </w:rPr>
                    <w:t>15</w:t>
                  </w:r>
                </w:p>
              </w:tc>
            </w:tr>
            <w:tr w14:paraId="6D1DBCC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96" w:hRule="atLeast"/>
                <w:jc w:val="center"/>
              </w:trPr>
              <w:tc>
                <w:tcPr>
                  <w:tcW w:w="764" w:type="dxa"/>
                  <w:vMerge w:val="restart"/>
                  <w:tcBorders>
                    <w:tl2br w:val="nil"/>
                    <w:tr2bl w:val="nil"/>
                  </w:tcBorders>
                  <w:noWrap/>
                  <w:tcMar>
                    <w:top w:w="0" w:type="dxa"/>
                    <w:left w:w="0" w:type="dxa"/>
                    <w:bottom w:w="0" w:type="dxa"/>
                    <w:right w:w="0" w:type="dxa"/>
                  </w:tcMar>
                  <w:vAlign w:val="center"/>
                </w:tcPr>
                <w:p w14:paraId="35EBFA9E">
                  <w:pPr>
                    <w:adjustRightInd w:val="0"/>
                    <w:snapToGrid w:val="0"/>
                    <w:jc w:val="center"/>
                    <w:textAlignment w:val="baseline"/>
                    <w:rPr>
                      <w:rFonts w:hint="eastAsia" w:eastAsia="宋体"/>
                      <w:color w:val="000000"/>
                      <w:kern w:val="0"/>
                      <w:szCs w:val="21"/>
                      <w:u w:val="none" w:color="auto"/>
                      <w:lang w:val="en-US" w:eastAsia="zh-CN"/>
                    </w:rPr>
                  </w:pPr>
                  <w:r>
                    <w:rPr>
                      <w:color w:val="000000"/>
                      <w:kern w:val="0"/>
                      <w:szCs w:val="21"/>
                      <w:u w:val="none" w:color="auto"/>
                    </w:rPr>
                    <w:t>DW00</w:t>
                  </w:r>
                  <w:r>
                    <w:rPr>
                      <w:rFonts w:hint="eastAsia"/>
                      <w:color w:val="000000"/>
                      <w:kern w:val="0"/>
                      <w:szCs w:val="21"/>
                      <w:u w:val="none" w:color="auto"/>
                      <w:lang w:val="en-US" w:eastAsia="zh-CN"/>
                    </w:rPr>
                    <w:t>2</w:t>
                  </w:r>
                </w:p>
              </w:tc>
              <w:tc>
                <w:tcPr>
                  <w:tcW w:w="743" w:type="dxa"/>
                  <w:vMerge w:val="restart"/>
                  <w:tcBorders>
                    <w:tl2br w:val="nil"/>
                    <w:tr2bl w:val="nil"/>
                  </w:tcBorders>
                  <w:noWrap/>
                  <w:tcMar>
                    <w:top w:w="0" w:type="dxa"/>
                    <w:left w:w="0" w:type="dxa"/>
                    <w:bottom w:w="0" w:type="dxa"/>
                    <w:right w:w="0" w:type="dxa"/>
                  </w:tcMar>
                  <w:vAlign w:val="center"/>
                </w:tcPr>
                <w:p w14:paraId="2340DADA">
                  <w:pPr>
                    <w:adjustRightInd w:val="0"/>
                    <w:snapToGrid w:val="0"/>
                    <w:jc w:val="center"/>
                    <w:textAlignment w:val="baseline"/>
                    <w:rPr>
                      <w:szCs w:val="21"/>
                      <w:u w:val="none" w:color="auto"/>
                    </w:rPr>
                  </w:pPr>
                  <w:r>
                    <w:rPr>
                      <w:rFonts w:hint="default" w:ascii="Times New Roman" w:hAnsi="Times New Roman" w:eastAsia="宋体" w:cs="Times New Roman"/>
                      <w:color w:val="000000"/>
                      <w:kern w:val="0"/>
                      <w:szCs w:val="21"/>
                      <w:u w:val="none" w:color="auto"/>
                    </w:rPr>
                    <w:t xml:space="preserve">113° 55' </w:t>
                  </w:r>
                  <w:r>
                    <w:rPr>
                      <w:rFonts w:hint="eastAsia" w:ascii="Times New Roman" w:hAnsi="Times New Roman" w:eastAsia="宋体" w:cs="Times New Roman"/>
                      <w:color w:val="000000"/>
                      <w:kern w:val="0"/>
                      <w:szCs w:val="21"/>
                      <w:u w:val="none" w:color="auto"/>
                      <w:lang w:val="en-US" w:eastAsia="zh-CN"/>
                    </w:rPr>
                    <w:t>22</w:t>
                  </w:r>
                  <w:r>
                    <w:rPr>
                      <w:rFonts w:hint="default" w:ascii="Times New Roman" w:hAnsi="Times New Roman" w:eastAsia="宋体" w:cs="Times New Roman"/>
                      <w:color w:val="000000"/>
                      <w:kern w:val="0"/>
                      <w:szCs w:val="21"/>
                      <w:u w:val="none" w:color="auto"/>
                    </w:rPr>
                    <w:t>.3</w:t>
                  </w:r>
                  <w:r>
                    <w:rPr>
                      <w:rFonts w:hint="eastAsia" w:ascii="Times New Roman" w:hAnsi="Times New Roman" w:eastAsia="宋体" w:cs="Times New Roman"/>
                      <w:color w:val="000000"/>
                      <w:kern w:val="0"/>
                      <w:szCs w:val="21"/>
                      <w:u w:val="none" w:color="auto"/>
                      <w:lang w:val="en-US" w:eastAsia="zh-CN"/>
                    </w:rPr>
                    <w:t>3</w:t>
                  </w:r>
                  <w:r>
                    <w:rPr>
                      <w:rFonts w:hint="default" w:ascii="Times New Roman" w:hAnsi="Times New Roman" w:eastAsia="宋体" w:cs="Times New Roman"/>
                      <w:color w:val="000000"/>
                      <w:kern w:val="0"/>
                      <w:szCs w:val="21"/>
                      <w:u w:val="none" w:color="auto"/>
                    </w:rPr>
                    <w:t>"</w:t>
                  </w:r>
                  <w:r>
                    <w:rPr>
                      <w:rFonts w:hint="default" w:ascii="Times New Roman" w:hAnsi="Times New Roman" w:eastAsia="宋体" w:cs="Times New Roman"/>
                      <w:color w:val="000000"/>
                      <w:kern w:val="0"/>
                      <w:szCs w:val="21"/>
                      <w:u w:val="none" w:color="auto"/>
                      <w:lang w:val="en-US" w:eastAsia="zh-CN"/>
                    </w:rPr>
                    <w:t>E</w:t>
                  </w:r>
                </w:p>
              </w:tc>
              <w:tc>
                <w:tcPr>
                  <w:tcW w:w="742" w:type="dxa"/>
                  <w:vMerge w:val="restart"/>
                  <w:tcBorders>
                    <w:tl2br w:val="nil"/>
                    <w:tr2bl w:val="nil"/>
                  </w:tcBorders>
                  <w:noWrap/>
                  <w:tcMar>
                    <w:top w:w="0" w:type="dxa"/>
                    <w:left w:w="0" w:type="dxa"/>
                    <w:bottom w:w="0" w:type="dxa"/>
                    <w:right w:w="0" w:type="dxa"/>
                  </w:tcMar>
                  <w:vAlign w:val="center"/>
                </w:tcPr>
                <w:p w14:paraId="7B738332">
                  <w:pPr>
                    <w:adjustRightInd w:val="0"/>
                    <w:snapToGrid w:val="0"/>
                    <w:jc w:val="center"/>
                    <w:textAlignment w:val="baseline"/>
                    <w:rPr>
                      <w:szCs w:val="21"/>
                      <w:u w:val="none" w:color="auto"/>
                    </w:rPr>
                  </w:pPr>
                  <w:r>
                    <w:rPr>
                      <w:rFonts w:hint="default" w:ascii="Times New Roman" w:hAnsi="Times New Roman" w:eastAsia="宋体" w:cs="Times New Roman"/>
                      <w:color w:val="000000"/>
                      <w:kern w:val="0"/>
                      <w:szCs w:val="21"/>
                      <w:u w:val="none" w:color="auto"/>
                    </w:rPr>
                    <w:t xml:space="preserve">35° 14' </w:t>
                  </w:r>
                  <w:r>
                    <w:rPr>
                      <w:rFonts w:hint="eastAsia" w:ascii="Times New Roman" w:hAnsi="Times New Roman" w:eastAsia="宋体" w:cs="Times New Roman"/>
                      <w:color w:val="000000"/>
                      <w:kern w:val="0"/>
                      <w:szCs w:val="21"/>
                      <w:u w:val="none" w:color="auto"/>
                      <w:lang w:val="en-US" w:eastAsia="zh-CN"/>
                    </w:rPr>
                    <w:t>21</w:t>
                  </w:r>
                  <w:r>
                    <w:rPr>
                      <w:rFonts w:hint="default" w:ascii="Times New Roman" w:hAnsi="Times New Roman" w:eastAsia="宋体" w:cs="Times New Roman"/>
                      <w:color w:val="000000"/>
                      <w:kern w:val="0"/>
                      <w:szCs w:val="21"/>
                      <w:u w:val="none" w:color="auto"/>
                    </w:rPr>
                    <w:t>.</w:t>
                  </w:r>
                  <w:r>
                    <w:rPr>
                      <w:rFonts w:hint="eastAsia" w:ascii="Times New Roman" w:hAnsi="Times New Roman" w:eastAsia="宋体" w:cs="Times New Roman"/>
                      <w:color w:val="000000"/>
                      <w:kern w:val="0"/>
                      <w:szCs w:val="21"/>
                      <w:u w:val="none" w:color="auto"/>
                      <w:lang w:val="en-US" w:eastAsia="zh-CN"/>
                    </w:rPr>
                    <w:t>55</w:t>
                  </w:r>
                  <w:r>
                    <w:rPr>
                      <w:rFonts w:hint="default" w:ascii="Times New Roman" w:hAnsi="Times New Roman" w:eastAsia="宋体" w:cs="Times New Roman"/>
                      <w:color w:val="000000"/>
                      <w:kern w:val="0"/>
                      <w:szCs w:val="21"/>
                      <w:u w:val="none" w:color="auto"/>
                    </w:rPr>
                    <w:t>"</w:t>
                  </w:r>
                  <w:r>
                    <w:rPr>
                      <w:rFonts w:hint="default" w:ascii="Times New Roman" w:hAnsi="Times New Roman" w:eastAsia="宋体" w:cs="Times New Roman"/>
                      <w:color w:val="000000"/>
                      <w:kern w:val="0"/>
                      <w:szCs w:val="21"/>
                      <w:u w:val="none" w:color="auto"/>
                      <w:lang w:val="en-US" w:eastAsia="zh-CN"/>
                    </w:rPr>
                    <w:t>N</w:t>
                  </w:r>
                </w:p>
              </w:tc>
              <w:tc>
                <w:tcPr>
                  <w:tcW w:w="1029" w:type="dxa"/>
                  <w:vMerge w:val="restart"/>
                  <w:tcBorders>
                    <w:tl2br w:val="nil"/>
                    <w:tr2bl w:val="nil"/>
                  </w:tcBorders>
                  <w:noWrap/>
                  <w:tcMar>
                    <w:top w:w="0" w:type="dxa"/>
                    <w:left w:w="0" w:type="dxa"/>
                    <w:bottom w:w="0" w:type="dxa"/>
                    <w:right w:w="0" w:type="dxa"/>
                  </w:tcMar>
                  <w:vAlign w:val="center"/>
                </w:tcPr>
                <w:p w14:paraId="163AAF73">
                  <w:pPr>
                    <w:adjustRightInd w:val="0"/>
                    <w:snapToGrid w:val="0"/>
                    <w:jc w:val="center"/>
                    <w:textAlignment w:val="baseline"/>
                    <w:rPr>
                      <w:rFonts w:hint="default" w:eastAsia="宋体"/>
                      <w:color w:val="000000"/>
                      <w:kern w:val="0"/>
                      <w:szCs w:val="21"/>
                      <w:u w:val="none" w:color="auto"/>
                      <w:lang w:val="en-US" w:eastAsia="zh-CN"/>
                    </w:rPr>
                  </w:pPr>
                  <w:r>
                    <w:rPr>
                      <w:rFonts w:hint="eastAsia"/>
                      <w:color w:val="000000"/>
                      <w:kern w:val="0"/>
                      <w:szCs w:val="21"/>
                      <w:u w:val="none" w:color="auto"/>
                      <w:lang w:val="en-US" w:eastAsia="zh-CN"/>
                    </w:rPr>
                    <w:t>2.86671</w:t>
                  </w:r>
                </w:p>
              </w:tc>
              <w:tc>
                <w:tcPr>
                  <w:tcW w:w="827" w:type="dxa"/>
                  <w:vMerge w:val="restart"/>
                  <w:tcBorders>
                    <w:tl2br w:val="nil"/>
                    <w:tr2bl w:val="nil"/>
                  </w:tcBorders>
                  <w:noWrap/>
                  <w:tcMar>
                    <w:top w:w="0" w:type="dxa"/>
                    <w:left w:w="0" w:type="dxa"/>
                    <w:bottom w:w="0" w:type="dxa"/>
                    <w:right w:w="0" w:type="dxa"/>
                  </w:tcMar>
                  <w:vAlign w:val="center"/>
                </w:tcPr>
                <w:p w14:paraId="0DBA102E">
                  <w:pPr>
                    <w:adjustRightInd w:val="0"/>
                    <w:snapToGrid w:val="0"/>
                    <w:jc w:val="center"/>
                    <w:textAlignment w:val="baseline"/>
                    <w:rPr>
                      <w:bCs/>
                      <w:u w:val="none" w:color="auto"/>
                    </w:rPr>
                  </w:pPr>
                  <w:r>
                    <w:rPr>
                      <w:rFonts w:hint="eastAsia"/>
                      <w:color w:val="000000"/>
                      <w:kern w:val="0"/>
                      <w:szCs w:val="21"/>
                      <w:u w:val="none" w:color="auto"/>
                      <w:lang w:val="en-US" w:eastAsia="zh-CN"/>
                    </w:rPr>
                    <w:t>新乡市贾屯污水处理厂</w:t>
                  </w:r>
                </w:p>
              </w:tc>
              <w:tc>
                <w:tcPr>
                  <w:tcW w:w="565" w:type="dxa"/>
                  <w:vMerge w:val="restart"/>
                  <w:tcBorders>
                    <w:tl2br w:val="nil"/>
                    <w:tr2bl w:val="nil"/>
                  </w:tcBorders>
                  <w:noWrap/>
                  <w:tcMar>
                    <w:top w:w="0" w:type="dxa"/>
                    <w:left w:w="0" w:type="dxa"/>
                    <w:bottom w:w="0" w:type="dxa"/>
                    <w:right w:w="0" w:type="dxa"/>
                  </w:tcMar>
                  <w:vAlign w:val="center"/>
                </w:tcPr>
                <w:p w14:paraId="7EAD700F">
                  <w:pPr>
                    <w:adjustRightInd w:val="0"/>
                    <w:snapToGrid w:val="0"/>
                    <w:jc w:val="center"/>
                    <w:textAlignment w:val="baseline"/>
                    <w:rPr>
                      <w:color w:val="000000"/>
                      <w:kern w:val="0"/>
                      <w:szCs w:val="21"/>
                      <w:u w:val="none" w:color="auto"/>
                    </w:rPr>
                  </w:pPr>
                  <w:r>
                    <w:rPr>
                      <w:u w:val="none" w:color="auto"/>
                    </w:rPr>
                    <w:t>连续排放，流量不稳定，但有周期性规律</w:t>
                  </w:r>
                </w:p>
              </w:tc>
              <w:tc>
                <w:tcPr>
                  <w:tcW w:w="1166" w:type="dxa"/>
                  <w:vMerge w:val="restart"/>
                  <w:tcBorders>
                    <w:tl2br w:val="nil"/>
                    <w:tr2bl w:val="nil"/>
                  </w:tcBorders>
                  <w:noWrap/>
                  <w:tcMar>
                    <w:top w:w="0" w:type="dxa"/>
                    <w:left w:w="0" w:type="dxa"/>
                    <w:bottom w:w="0" w:type="dxa"/>
                    <w:right w:w="0" w:type="dxa"/>
                  </w:tcMar>
                  <w:vAlign w:val="center"/>
                </w:tcPr>
                <w:p w14:paraId="34EB4BFF">
                  <w:pPr>
                    <w:adjustRightInd w:val="0"/>
                    <w:snapToGrid w:val="0"/>
                    <w:jc w:val="center"/>
                    <w:textAlignment w:val="baseline"/>
                    <w:rPr>
                      <w:color w:val="000000"/>
                      <w:kern w:val="0"/>
                      <w:szCs w:val="21"/>
                      <w:u w:val="none" w:color="auto"/>
                    </w:rPr>
                  </w:pPr>
                  <w:r>
                    <w:rPr>
                      <w:rFonts w:hint="eastAsia"/>
                      <w:color w:val="000000"/>
                      <w:kern w:val="0"/>
                      <w:szCs w:val="21"/>
                      <w:u w:val="none" w:color="auto"/>
                      <w:lang w:val="en-US" w:eastAsia="zh-CN"/>
                    </w:rPr>
                    <w:t>一般排放口</w:t>
                  </w:r>
                </w:p>
              </w:tc>
              <w:tc>
                <w:tcPr>
                  <w:tcW w:w="742" w:type="dxa"/>
                  <w:tcBorders>
                    <w:tl2br w:val="nil"/>
                    <w:tr2bl w:val="nil"/>
                  </w:tcBorders>
                  <w:noWrap/>
                  <w:tcMar>
                    <w:top w:w="0" w:type="dxa"/>
                    <w:left w:w="0" w:type="dxa"/>
                    <w:bottom w:w="0" w:type="dxa"/>
                    <w:right w:w="0" w:type="dxa"/>
                  </w:tcMar>
                  <w:vAlign w:val="center"/>
                </w:tcPr>
                <w:p w14:paraId="14DE6539">
                  <w:pPr>
                    <w:contextualSpacing/>
                    <w:jc w:val="center"/>
                    <w:textAlignment w:val="baseline"/>
                    <w:rPr>
                      <w:color w:val="000000"/>
                      <w:kern w:val="0"/>
                      <w:szCs w:val="21"/>
                      <w:u w:val="none" w:color="auto"/>
                    </w:rPr>
                  </w:pPr>
                  <w:r>
                    <w:rPr>
                      <w:color w:val="000000"/>
                      <w:kern w:val="0"/>
                      <w:szCs w:val="21"/>
                      <w:u w:val="none" w:color="auto"/>
                    </w:rPr>
                    <w:t>COD</w:t>
                  </w:r>
                </w:p>
              </w:tc>
              <w:tc>
                <w:tcPr>
                  <w:tcW w:w="1044" w:type="dxa"/>
                  <w:tcBorders>
                    <w:tl2br w:val="nil"/>
                    <w:tr2bl w:val="nil"/>
                  </w:tcBorders>
                  <w:vAlign w:val="center"/>
                </w:tcPr>
                <w:p w14:paraId="38397B61">
                  <w:pPr>
                    <w:jc w:val="center"/>
                    <w:rPr>
                      <w:rFonts w:hint="eastAsia"/>
                      <w:color w:val="000000"/>
                      <w:szCs w:val="21"/>
                      <w:u w:val="none" w:color="auto"/>
                    </w:rPr>
                  </w:pPr>
                  <w:r>
                    <w:rPr>
                      <w:rFonts w:hint="eastAsia"/>
                      <w:color w:val="000000"/>
                      <w:szCs w:val="21"/>
                      <w:u w:val="none" w:color="auto"/>
                    </w:rPr>
                    <w:t>40</w:t>
                  </w:r>
                </w:p>
              </w:tc>
            </w:tr>
            <w:tr w14:paraId="2DD8855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96" w:hRule="atLeast"/>
                <w:jc w:val="center"/>
              </w:trPr>
              <w:tc>
                <w:tcPr>
                  <w:tcW w:w="764" w:type="dxa"/>
                  <w:vMerge w:val="continue"/>
                  <w:tcBorders>
                    <w:tl2br w:val="nil"/>
                    <w:tr2bl w:val="nil"/>
                  </w:tcBorders>
                  <w:noWrap/>
                  <w:tcMar>
                    <w:top w:w="0" w:type="dxa"/>
                    <w:left w:w="0" w:type="dxa"/>
                    <w:bottom w:w="0" w:type="dxa"/>
                    <w:right w:w="0" w:type="dxa"/>
                  </w:tcMar>
                  <w:vAlign w:val="center"/>
                </w:tcPr>
                <w:p w14:paraId="6862456D">
                  <w:pPr>
                    <w:adjustRightInd w:val="0"/>
                    <w:snapToGrid w:val="0"/>
                    <w:jc w:val="center"/>
                    <w:textAlignment w:val="baseline"/>
                    <w:rPr>
                      <w:color w:val="000000"/>
                      <w:kern w:val="0"/>
                      <w:szCs w:val="21"/>
                      <w:u w:val="none" w:color="auto"/>
                    </w:rPr>
                  </w:pPr>
                </w:p>
              </w:tc>
              <w:tc>
                <w:tcPr>
                  <w:tcW w:w="743" w:type="dxa"/>
                  <w:vMerge w:val="continue"/>
                  <w:tcBorders>
                    <w:tl2br w:val="nil"/>
                    <w:tr2bl w:val="nil"/>
                  </w:tcBorders>
                  <w:noWrap/>
                  <w:tcMar>
                    <w:top w:w="0" w:type="dxa"/>
                    <w:left w:w="0" w:type="dxa"/>
                    <w:bottom w:w="0" w:type="dxa"/>
                    <w:right w:w="0" w:type="dxa"/>
                  </w:tcMar>
                  <w:vAlign w:val="center"/>
                </w:tcPr>
                <w:p w14:paraId="11201401">
                  <w:pPr>
                    <w:adjustRightInd w:val="0"/>
                    <w:snapToGrid w:val="0"/>
                    <w:jc w:val="center"/>
                    <w:rPr>
                      <w:szCs w:val="21"/>
                      <w:u w:val="none" w:color="auto"/>
                    </w:rPr>
                  </w:pPr>
                </w:p>
              </w:tc>
              <w:tc>
                <w:tcPr>
                  <w:tcW w:w="742" w:type="dxa"/>
                  <w:vMerge w:val="continue"/>
                  <w:tcBorders>
                    <w:tl2br w:val="nil"/>
                    <w:tr2bl w:val="nil"/>
                  </w:tcBorders>
                  <w:noWrap/>
                  <w:tcMar>
                    <w:top w:w="0" w:type="dxa"/>
                    <w:left w:w="0" w:type="dxa"/>
                    <w:bottom w:w="0" w:type="dxa"/>
                    <w:right w:w="0" w:type="dxa"/>
                  </w:tcMar>
                  <w:vAlign w:val="center"/>
                </w:tcPr>
                <w:p w14:paraId="3974C9D7">
                  <w:pPr>
                    <w:adjustRightInd w:val="0"/>
                    <w:snapToGrid w:val="0"/>
                    <w:jc w:val="center"/>
                    <w:rPr>
                      <w:szCs w:val="21"/>
                      <w:u w:val="none" w:color="auto"/>
                    </w:rPr>
                  </w:pPr>
                </w:p>
              </w:tc>
              <w:tc>
                <w:tcPr>
                  <w:tcW w:w="1029" w:type="dxa"/>
                  <w:vMerge w:val="continue"/>
                  <w:tcBorders>
                    <w:tl2br w:val="nil"/>
                    <w:tr2bl w:val="nil"/>
                  </w:tcBorders>
                  <w:noWrap/>
                  <w:tcMar>
                    <w:top w:w="0" w:type="dxa"/>
                    <w:left w:w="0" w:type="dxa"/>
                    <w:bottom w:w="0" w:type="dxa"/>
                    <w:right w:w="0" w:type="dxa"/>
                  </w:tcMar>
                  <w:vAlign w:val="center"/>
                </w:tcPr>
                <w:p w14:paraId="630C64DC">
                  <w:pPr>
                    <w:adjustRightInd w:val="0"/>
                    <w:snapToGrid w:val="0"/>
                    <w:jc w:val="center"/>
                    <w:textAlignment w:val="baseline"/>
                    <w:rPr>
                      <w:color w:val="000000"/>
                      <w:kern w:val="0"/>
                      <w:szCs w:val="21"/>
                      <w:u w:val="none" w:color="auto"/>
                    </w:rPr>
                  </w:pPr>
                </w:p>
              </w:tc>
              <w:tc>
                <w:tcPr>
                  <w:tcW w:w="827" w:type="dxa"/>
                  <w:vMerge w:val="continue"/>
                  <w:tcBorders>
                    <w:tl2br w:val="nil"/>
                    <w:tr2bl w:val="nil"/>
                  </w:tcBorders>
                  <w:noWrap/>
                  <w:tcMar>
                    <w:top w:w="0" w:type="dxa"/>
                    <w:left w:w="0" w:type="dxa"/>
                    <w:bottom w:w="0" w:type="dxa"/>
                    <w:right w:w="0" w:type="dxa"/>
                  </w:tcMar>
                  <w:vAlign w:val="center"/>
                </w:tcPr>
                <w:p w14:paraId="14A9CAB7">
                  <w:pPr>
                    <w:adjustRightInd w:val="0"/>
                    <w:snapToGrid w:val="0"/>
                    <w:jc w:val="center"/>
                    <w:textAlignment w:val="baseline"/>
                    <w:rPr>
                      <w:bCs/>
                      <w:u w:val="none" w:color="auto"/>
                    </w:rPr>
                  </w:pPr>
                </w:p>
              </w:tc>
              <w:tc>
                <w:tcPr>
                  <w:tcW w:w="565" w:type="dxa"/>
                  <w:vMerge w:val="continue"/>
                  <w:tcBorders>
                    <w:tl2br w:val="nil"/>
                    <w:tr2bl w:val="nil"/>
                  </w:tcBorders>
                  <w:noWrap/>
                  <w:tcMar>
                    <w:top w:w="0" w:type="dxa"/>
                    <w:left w:w="0" w:type="dxa"/>
                    <w:bottom w:w="0" w:type="dxa"/>
                    <w:right w:w="0" w:type="dxa"/>
                  </w:tcMar>
                  <w:vAlign w:val="center"/>
                </w:tcPr>
                <w:p w14:paraId="0F18F45E">
                  <w:pPr>
                    <w:adjustRightInd w:val="0"/>
                    <w:snapToGrid w:val="0"/>
                    <w:jc w:val="center"/>
                    <w:textAlignment w:val="baseline"/>
                    <w:rPr>
                      <w:color w:val="000000"/>
                      <w:kern w:val="0"/>
                      <w:szCs w:val="21"/>
                      <w:u w:val="none" w:color="auto"/>
                    </w:rPr>
                  </w:pPr>
                </w:p>
              </w:tc>
              <w:tc>
                <w:tcPr>
                  <w:tcW w:w="1166" w:type="dxa"/>
                  <w:vMerge w:val="continue"/>
                  <w:tcBorders>
                    <w:tl2br w:val="nil"/>
                    <w:tr2bl w:val="nil"/>
                  </w:tcBorders>
                  <w:noWrap/>
                  <w:tcMar>
                    <w:top w:w="0" w:type="dxa"/>
                    <w:left w:w="0" w:type="dxa"/>
                    <w:bottom w:w="0" w:type="dxa"/>
                    <w:right w:w="0" w:type="dxa"/>
                  </w:tcMar>
                  <w:vAlign w:val="center"/>
                </w:tcPr>
                <w:p w14:paraId="79B71964">
                  <w:pPr>
                    <w:adjustRightInd w:val="0"/>
                    <w:snapToGrid w:val="0"/>
                    <w:jc w:val="center"/>
                    <w:textAlignment w:val="baseline"/>
                    <w:rPr>
                      <w:color w:val="000000"/>
                      <w:kern w:val="0"/>
                      <w:szCs w:val="21"/>
                      <w:u w:val="none" w:color="auto"/>
                    </w:rPr>
                  </w:pPr>
                </w:p>
              </w:tc>
              <w:tc>
                <w:tcPr>
                  <w:tcW w:w="742" w:type="dxa"/>
                  <w:tcBorders>
                    <w:tl2br w:val="nil"/>
                    <w:tr2bl w:val="nil"/>
                  </w:tcBorders>
                  <w:noWrap/>
                  <w:tcMar>
                    <w:top w:w="0" w:type="dxa"/>
                    <w:left w:w="0" w:type="dxa"/>
                    <w:bottom w:w="0" w:type="dxa"/>
                    <w:right w:w="0" w:type="dxa"/>
                  </w:tcMar>
                  <w:vAlign w:val="center"/>
                </w:tcPr>
                <w:p w14:paraId="6C23F96E">
                  <w:pPr>
                    <w:contextualSpacing/>
                    <w:jc w:val="center"/>
                    <w:textAlignment w:val="baseline"/>
                    <w:rPr>
                      <w:rFonts w:hint="default" w:eastAsia="宋体"/>
                      <w:color w:val="000000"/>
                      <w:kern w:val="0"/>
                      <w:szCs w:val="21"/>
                      <w:u w:val="none" w:color="auto"/>
                      <w:lang w:val="en-US" w:eastAsia="zh-CN"/>
                    </w:rPr>
                  </w:pPr>
                  <w:r>
                    <w:rPr>
                      <w:rFonts w:hint="eastAsia"/>
                      <w:color w:val="000000"/>
                      <w:kern w:val="0"/>
                      <w:szCs w:val="21"/>
                      <w:u w:val="none" w:color="auto"/>
                    </w:rPr>
                    <w:t>SS</w:t>
                  </w:r>
                </w:p>
              </w:tc>
              <w:tc>
                <w:tcPr>
                  <w:tcW w:w="1044" w:type="dxa"/>
                  <w:tcBorders>
                    <w:tl2br w:val="nil"/>
                    <w:tr2bl w:val="nil"/>
                  </w:tcBorders>
                  <w:vAlign w:val="center"/>
                </w:tcPr>
                <w:p w14:paraId="7463726C">
                  <w:pPr>
                    <w:jc w:val="center"/>
                    <w:rPr>
                      <w:rFonts w:hint="default" w:eastAsia="宋体"/>
                      <w:color w:val="000000"/>
                      <w:szCs w:val="21"/>
                      <w:u w:val="none" w:color="auto"/>
                      <w:lang w:val="en-US" w:eastAsia="zh-CN"/>
                    </w:rPr>
                  </w:pPr>
                  <w:r>
                    <w:rPr>
                      <w:rFonts w:hint="eastAsia"/>
                      <w:color w:val="000000"/>
                      <w:szCs w:val="21"/>
                      <w:u w:val="none" w:color="auto"/>
                    </w:rPr>
                    <w:t>10</w:t>
                  </w:r>
                </w:p>
              </w:tc>
            </w:tr>
            <w:tr w14:paraId="01988B6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96" w:hRule="atLeast"/>
                <w:jc w:val="center"/>
              </w:trPr>
              <w:tc>
                <w:tcPr>
                  <w:tcW w:w="764" w:type="dxa"/>
                  <w:vMerge w:val="continue"/>
                  <w:tcBorders>
                    <w:tl2br w:val="nil"/>
                    <w:tr2bl w:val="nil"/>
                  </w:tcBorders>
                  <w:noWrap/>
                  <w:tcMar>
                    <w:top w:w="0" w:type="dxa"/>
                    <w:left w:w="0" w:type="dxa"/>
                    <w:bottom w:w="0" w:type="dxa"/>
                    <w:right w:w="0" w:type="dxa"/>
                  </w:tcMar>
                  <w:vAlign w:val="center"/>
                </w:tcPr>
                <w:p w14:paraId="70618405">
                  <w:pPr>
                    <w:adjustRightInd w:val="0"/>
                    <w:snapToGrid w:val="0"/>
                    <w:jc w:val="center"/>
                    <w:textAlignment w:val="baseline"/>
                    <w:rPr>
                      <w:color w:val="000000"/>
                      <w:kern w:val="0"/>
                      <w:szCs w:val="21"/>
                      <w:u w:val="none" w:color="auto"/>
                    </w:rPr>
                  </w:pPr>
                </w:p>
              </w:tc>
              <w:tc>
                <w:tcPr>
                  <w:tcW w:w="743" w:type="dxa"/>
                  <w:vMerge w:val="continue"/>
                  <w:tcBorders>
                    <w:tl2br w:val="nil"/>
                    <w:tr2bl w:val="nil"/>
                  </w:tcBorders>
                  <w:noWrap/>
                  <w:tcMar>
                    <w:top w:w="0" w:type="dxa"/>
                    <w:left w:w="0" w:type="dxa"/>
                    <w:bottom w:w="0" w:type="dxa"/>
                    <w:right w:w="0" w:type="dxa"/>
                  </w:tcMar>
                  <w:vAlign w:val="center"/>
                </w:tcPr>
                <w:p w14:paraId="1199133D">
                  <w:pPr>
                    <w:adjustRightInd w:val="0"/>
                    <w:snapToGrid w:val="0"/>
                    <w:jc w:val="center"/>
                    <w:rPr>
                      <w:szCs w:val="21"/>
                      <w:u w:val="none" w:color="auto"/>
                    </w:rPr>
                  </w:pPr>
                </w:p>
              </w:tc>
              <w:tc>
                <w:tcPr>
                  <w:tcW w:w="742" w:type="dxa"/>
                  <w:vMerge w:val="continue"/>
                  <w:tcBorders>
                    <w:tl2br w:val="nil"/>
                    <w:tr2bl w:val="nil"/>
                  </w:tcBorders>
                  <w:noWrap/>
                  <w:tcMar>
                    <w:top w:w="0" w:type="dxa"/>
                    <w:left w:w="0" w:type="dxa"/>
                    <w:bottom w:w="0" w:type="dxa"/>
                    <w:right w:w="0" w:type="dxa"/>
                  </w:tcMar>
                  <w:vAlign w:val="center"/>
                </w:tcPr>
                <w:p w14:paraId="3619C92F">
                  <w:pPr>
                    <w:adjustRightInd w:val="0"/>
                    <w:snapToGrid w:val="0"/>
                    <w:jc w:val="center"/>
                    <w:rPr>
                      <w:szCs w:val="21"/>
                      <w:u w:val="none" w:color="auto"/>
                    </w:rPr>
                  </w:pPr>
                </w:p>
              </w:tc>
              <w:tc>
                <w:tcPr>
                  <w:tcW w:w="1029" w:type="dxa"/>
                  <w:vMerge w:val="continue"/>
                  <w:tcBorders>
                    <w:tl2br w:val="nil"/>
                    <w:tr2bl w:val="nil"/>
                  </w:tcBorders>
                  <w:noWrap/>
                  <w:tcMar>
                    <w:top w:w="0" w:type="dxa"/>
                    <w:left w:w="0" w:type="dxa"/>
                    <w:bottom w:w="0" w:type="dxa"/>
                    <w:right w:w="0" w:type="dxa"/>
                  </w:tcMar>
                  <w:vAlign w:val="center"/>
                </w:tcPr>
                <w:p w14:paraId="6DAEEEFB">
                  <w:pPr>
                    <w:adjustRightInd w:val="0"/>
                    <w:snapToGrid w:val="0"/>
                    <w:jc w:val="center"/>
                    <w:textAlignment w:val="baseline"/>
                    <w:rPr>
                      <w:color w:val="000000"/>
                      <w:kern w:val="0"/>
                      <w:szCs w:val="21"/>
                      <w:u w:val="none" w:color="auto"/>
                    </w:rPr>
                  </w:pPr>
                </w:p>
              </w:tc>
              <w:tc>
                <w:tcPr>
                  <w:tcW w:w="827" w:type="dxa"/>
                  <w:vMerge w:val="continue"/>
                  <w:tcBorders>
                    <w:tl2br w:val="nil"/>
                    <w:tr2bl w:val="nil"/>
                  </w:tcBorders>
                  <w:noWrap/>
                  <w:tcMar>
                    <w:top w:w="0" w:type="dxa"/>
                    <w:left w:w="0" w:type="dxa"/>
                    <w:bottom w:w="0" w:type="dxa"/>
                    <w:right w:w="0" w:type="dxa"/>
                  </w:tcMar>
                  <w:vAlign w:val="center"/>
                </w:tcPr>
                <w:p w14:paraId="04031FBB">
                  <w:pPr>
                    <w:adjustRightInd w:val="0"/>
                    <w:snapToGrid w:val="0"/>
                    <w:jc w:val="center"/>
                    <w:textAlignment w:val="baseline"/>
                    <w:rPr>
                      <w:bCs/>
                      <w:u w:val="none" w:color="auto"/>
                    </w:rPr>
                  </w:pPr>
                </w:p>
              </w:tc>
              <w:tc>
                <w:tcPr>
                  <w:tcW w:w="565" w:type="dxa"/>
                  <w:vMerge w:val="continue"/>
                  <w:tcBorders>
                    <w:tl2br w:val="nil"/>
                    <w:tr2bl w:val="nil"/>
                  </w:tcBorders>
                  <w:noWrap/>
                  <w:tcMar>
                    <w:top w:w="0" w:type="dxa"/>
                    <w:left w:w="0" w:type="dxa"/>
                    <w:bottom w:w="0" w:type="dxa"/>
                    <w:right w:w="0" w:type="dxa"/>
                  </w:tcMar>
                  <w:vAlign w:val="center"/>
                </w:tcPr>
                <w:p w14:paraId="1005DCC2">
                  <w:pPr>
                    <w:adjustRightInd w:val="0"/>
                    <w:snapToGrid w:val="0"/>
                    <w:jc w:val="center"/>
                    <w:textAlignment w:val="baseline"/>
                    <w:rPr>
                      <w:color w:val="000000"/>
                      <w:kern w:val="0"/>
                      <w:szCs w:val="21"/>
                      <w:u w:val="none" w:color="auto"/>
                    </w:rPr>
                  </w:pPr>
                </w:p>
              </w:tc>
              <w:tc>
                <w:tcPr>
                  <w:tcW w:w="1166" w:type="dxa"/>
                  <w:vMerge w:val="continue"/>
                  <w:tcBorders>
                    <w:tl2br w:val="nil"/>
                    <w:tr2bl w:val="nil"/>
                  </w:tcBorders>
                  <w:noWrap/>
                  <w:tcMar>
                    <w:top w:w="0" w:type="dxa"/>
                    <w:left w:w="0" w:type="dxa"/>
                    <w:bottom w:w="0" w:type="dxa"/>
                    <w:right w:w="0" w:type="dxa"/>
                  </w:tcMar>
                  <w:vAlign w:val="center"/>
                </w:tcPr>
                <w:p w14:paraId="24B1662B">
                  <w:pPr>
                    <w:adjustRightInd w:val="0"/>
                    <w:snapToGrid w:val="0"/>
                    <w:jc w:val="center"/>
                    <w:textAlignment w:val="baseline"/>
                    <w:rPr>
                      <w:color w:val="000000"/>
                      <w:kern w:val="0"/>
                      <w:szCs w:val="21"/>
                      <w:u w:val="none" w:color="auto"/>
                    </w:rPr>
                  </w:pPr>
                </w:p>
              </w:tc>
              <w:tc>
                <w:tcPr>
                  <w:tcW w:w="742" w:type="dxa"/>
                  <w:tcBorders>
                    <w:tl2br w:val="nil"/>
                    <w:tr2bl w:val="nil"/>
                  </w:tcBorders>
                  <w:noWrap/>
                  <w:tcMar>
                    <w:top w:w="0" w:type="dxa"/>
                    <w:left w:w="0" w:type="dxa"/>
                    <w:bottom w:w="0" w:type="dxa"/>
                    <w:right w:w="0" w:type="dxa"/>
                  </w:tcMar>
                  <w:vAlign w:val="center"/>
                </w:tcPr>
                <w:p w14:paraId="25E96F35">
                  <w:pPr>
                    <w:contextualSpacing/>
                    <w:jc w:val="center"/>
                    <w:textAlignment w:val="baseline"/>
                    <w:rPr>
                      <w:color w:val="000000"/>
                      <w:kern w:val="0"/>
                      <w:szCs w:val="21"/>
                      <w:u w:val="none" w:color="auto"/>
                    </w:rPr>
                  </w:pPr>
                  <w:r>
                    <w:rPr>
                      <w:color w:val="000000"/>
                      <w:kern w:val="0"/>
                      <w:szCs w:val="21"/>
                      <w:u w:val="none" w:color="auto"/>
                    </w:rPr>
                    <w:t>NH</w:t>
                  </w:r>
                  <w:r>
                    <w:rPr>
                      <w:color w:val="000000"/>
                      <w:kern w:val="0"/>
                      <w:szCs w:val="21"/>
                      <w:u w:val="none" w:color="auto"/>
                      <w:vertAlign w:val="subscript"/>
                    </w:rPr>
                    <w:t>3</w:t>
                  </w:r>
                  <w:r>
                    <w:rPr>
                      <w:color w:val="000000"/>
                      <w:kern w:val="0"/>
                      <w:szCs w:val="21"/>
                      <w:u w:val="none" w:color="auto"/>
                    </w:rPr>
                    <w:t>-N</w:t>
                  </w:r>
                </w:p>
              </w:tc>
              <w:tc>
                <w:tcPr>
                  <w:tcW w:w="1044" w:type="dxa"/>
                  <w:tcBorders>
                    <w:tl2br w:val="nil"/>
                    <w:tr2bl w:val="nil"/>
                  </w:tcBorders>
                  <w:vAlign w:val="center"/>
                </w:tcPr>
                <w:p w14:paraId="4EE276AB">
                  <w:pPr>
                    <w:jc w:val="center"/>
                    <w:rPr>
                      <w:rFonts w:hint="eastAsia"/>
                      <w:color w:val="000000"/>
                      <w:szCs w:val="21"/>
                      <w:u w:val="none" w:color="auto"/>
                    </w:rPr>
                  </w:pPr>
                  <w:r>
                    <w:rPr>
                      <w:rFonts w:hint="eastAsia"/>
                      <w:color w:val="000000"/>
                      <w:szCs w:val="21"/>
                      <w:u w:val="none" w:color="auto"/>
                    </w:rPr>
                    <w:t>2</w:t>
                  </w:r>
                </w:p>
              </w:tc>
            </w:tr>
            <w:tr w14:paraId="5629476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96" w:hRule="atLeast"/>
                <w:jc w:val="center"/>
              </w:trPr>
              <w:tc>
                <w:tcPr>
                  <w:tcW w:w="764" w:type="dxa"/>
                  <w:vMerge w:val="continue"/>
                  <w:tcBorders>
                    <w:tl2br w:val="nil"/>
                    <w:tr2bl w:val="nil"/>
                  </w:tcBorders>
                  <w:noWrap/>
                  <w:tcMar>
                    <w:top w:w="0" w:type="dxa"/>
                    <w:left w:w="0" w:type="dxa"/>
                    <w:bottom w:w="0" w:type="dxa"/>
                    <w:right w:w="0" w:type="dxa"/>
                  </w:tcMar>
                  <w:vAlign w:val="center"/>
                </w:tcPr>
                <w:p w14:paraId="20653191">
                  <w:pPr>
                    <w:adjustRightInd w:val="0"/>
                    <w:snapToGrid w:val="0"/>
                    <w:jc w:val="center"/>
                    <w:textAlignment w:val="baseline"/>
                    <w:rPr>
                      <w:color w:val="000000"/>
                      <w:kern w:val="0"/>
                      <w:szCs w:val="21"/>
                      <w:u w:val="none" w:color="auto"/>
                    </w:rPr>
                  </w:pPr>
                </w:p>
              </w:tc>
              <w:tc>
                <w:tcPr>
                  <w:tcW w:w="743" w:type="dxa"/>
                  <w:vMerge w:val="continue"/>
                  <w:tcBorders>
                    <w:tl2br w:val="nil"/>
                    <w:tr2bl w:val="nil"/>
                  </w:tcBorders>
                  <w:noWrap/>
                  <w:tcMar>
                    <w:top w:w="0" w:type="dxa"/>
                    <w:left w:w="0" w:type="dxa"/>
                    <w:bottom w:w="0" w:type="dxa"/>
                    <w:right w:w="0" w:type="dxa"/>
                  </w:tcMar>
                  <w:vAlign w:val="center"/>
                </w:tcPr>
                <w:p w14:paraId="6858932E">
                  <w:pPr>
                    <w:adjustRightInd w:val="0"/>
                    <w:snapToGrid w:val="0"/>
                    <w:jc w:val="center"/>
                    <w:rPr>
                      <w:szCs w:val="21"/>
                      <w:u w:val="none" w:color="auto"/>
                    </w:rPr>
                  </w:pPr>
                </w:p>
              </w:tc>
              <w:tc>
                <w:tcPr>
                  <w:tcW w:w="742" w:type="dxa"/>
                  <w:vMerge w:val="continue"/>
                  <w:tcBorders>
                    <w:tl2br w:val="nil"/>
                    <w:tr2bl w:val="nil"/>
                  </w:tcBorders>
                  <w:noWrap/>
                  <w:tcMar>
                    <w:top w:w="0" w:type="dxa"/>
                    <w:left w:w="0" w:type="dxa"/>
                    <w:bottom w:w="0" w:type="dxa"/>
                    <w:right w:w="0" w:type="dxa"/>
                  </w:tcMar>
                  <w:vAlign w:val="center"/>
                </w:tcPr>
                <w:p w14:paraId="2A0BEE21">
                  <w:pPr>
                    <w:adjustRightInd w:val="0"/>
                    <w:snapToGrid w:val="0"/>
                    <w:jc w:val="center"/>
                    <w:rPr>
                      <w:szCs w:val="21"/>
                      <w:u w:val="none" w:color="auto"/>
                    </w:rPr>
                  </w:pPr>
                </w:p>
              </w:tc>
              <w:tc>
                <w:tcPr>
                  <w:tcW w:w="1029" w:type="dxa"/>
                  <w:vMerge w:val="continue"/>
                  <w:tcBorders>
                    <w:tl2br w:val="nil"/>
                    <w:tr2bl w:val="nil"/>
                  </w:tcBorders>
                  <w:noWrap/>
                  <w:tcMar>
                    <w:top w:w="0" w:type="dxa"/>
                    <w:left w:w="0" w:type="dxa"/>
                    <w:bottom w:w="0" w:type="dxa"/>
                    <w:right w:w="0" w:type="dxa"/>
                  </w:tcMar>
                  <w:vAlign w:val="center"/>
                </w:tcPr>
                <w:p w14:paraId="332AB8AC">
                  <w:pPr>
                    <w:adjustRightInd w:val="0"/>
                    <w:snapToGrid w:val="0"/>
                    <w:jc w:val="center"/>
                    <w:textAlignment w:val="baseline"/>
                    <w:rPr>
                      <w:color w:val="000000"/>
                      <w:kern w:val="0"/>
                      <w:szCs w:val="21"/>
                      <w:u w:val="none" w:color="auto"/>
                    </w:rPr>
                  </w:pPr>
                </w:p>
              </w:tc>
              <w:tc>
                <w:tcPr>
                  <w:tcW w:w="827" w:type="dxa"/>
                  <w:vMerge w:val="continue"/>
                  <w:tcBorders>
                    <w:tl2br w:val="nil"/>
                    <w:tr2bl w:val="nil"/>
                  </w:tcBorders>
                  <w:noWrap/>
                  <w:tcMar>
                    <w:top w:w="0" w:type="dxa"/>
                    <w:left w:w="0" w:type="dxa"/>
                    <w:bottom w:w="0" w:type="dxa"/>
                    <w:right w:w="0" w:type="dxa"/>
                  </w:tcMar>
                  <w:vAlign w:val="center"/>
                </w:tcPr>
                <w:p w14:paraId="199B7C62">
                  <w:pPr>
                    <w:adjustRightInd w:val="0"/>
                    <w:snapToGrid w:val="0"/>
                    <w:jc w:val="center"/>
                    <w:textAlignment w:val="baseline"/>
                    <w:rPr>
                      <w:bCs/>
                      <w:u w:val="none" w:color="auto"/>
                    </w:rPr>
                  </w:pPr>
                </w:p>
              </w:tc>
              <w:tc>
                <w:tcPr>
                  <w:tcW w:w="565" w:type="dxa"/>
                  <w:vMerge w:val="continue"/>
                  <w:tcBorders>
                    <w:tl2br w:val="nil"/>
                    <w:tr2bl w:val="nil"/>
                  </w:tcBorders>
                  <w:noWrap/>
                  <w:tcMar>
                    <w:top w:w="0" w:type="dxa"/>
                    <w:left w:w="0" w:type="dxa"/>
                    <w:bottom w:w="0" w:type="dxa"/>
                    <w:right w:w="0" w:type="dxa"/>
                  </w:tcMar>
                  <w:vAlign w:val="center"/>
                </w:tcPr>
                <w:p w14:paraId="6A52EA19">
                  <w:pPr>
                    <w:adjustRightInd w:val="0"/>
                    <w:snapToGrid w:val="0"/>
                    <w:jc w:val="center"/>
                    <w:textAlignment w:val="baseline"/>
                    <w:rPr>
                      <w:color w:val="000000"/>
                      <w:kern w:val="0"/>
                      <w:szCs w:val="21"/>
                      <w:u w:val="none" w:color="auto"/>
                    </w:rPr>
                  </w:pPr>
                </w:p>
              </w:tc>
              <w:tc>
                <w:tcPr>
                  <w:tcW w:w="1166" w:type="dxa"/>
                  <w:vMerge w:val="continue"/>
                  <w:tcBorders>
                    <w:tl2br w:val="nil"/>
                    <w:tr2bl w:val="nil"/>
                  </w:tcBorders>
                  <w:noWrap/>
                  <w:tcMar>
                    <w:top w:w="0" w:type="dxa"/>
                    <w:left w:w="0" w:type="dxa"/>
                    <w:bottom w:w="0" w:type="dxa"/>
                    <w:right w:w="0" w:type="dxa"/>
                  </w:tcMar>
                  <w:vAlign w:val="center"/>
                </w:tcPr>
                <w:p w14:paraId="726C7AD1">
                  <w:pPr>
                    <w:adjustRightInd w:val="0"/>
                    <w:snapToGrid w:val="0"/>
                    <w:jc w:val="center"/>
                    <w:textAlignment w:val="baseline"/>
                    <w:rPr>
                      <w:color w:val="000000"/>
                      <w:kern w:val="0"/>
                      <w:szCs w:val="21"/>
                      <w:u w:val="none" w:color="auto"/>
                    </w:rPr>
                  </w:pPr>
                </w:p>
              </w:tc>
              <w:tc>
                <w:tcPr>
                  <w:tcW w:w="742" w:type="dxa"/>
                  <w:tcBorders>
                    <w:tl2br w:val="nil"/>
                    <w:tr2bl w:val="nil"/>
                  </w:tcBorders>
                  <w:noWrap/>
                  <w:tcMar>
                    <w:top w:w="0" w:type="dxa"/>
                    <w:left w:w="0" w:type="dxa"/>
                    <w:bottom w:w="0" w:type="dxa"/>
                    <w:right w:w="0" w:type="dxa"/>
                  </w:tcMar>
                  <w:vAlign w:val="center"/>
                </w:tcPr>
                <w:p w14:paraId="58C9202B">
                  <w:pPr>
                    <w:contextualSpacing/>
                    <w:jc w:val="center"/>
                    <w:textAlignment w:val="baseline"/>
                    <w:rPr>
                      <w:color w:val="000000"/>
                      <w:kern w:val="0"/>
                      <w:szCs w:val="21"/>
                      <w:u w:val="none" w:color="auto"/>
                    </w:rPr>
                  </w:pPr>
                  <w:r>
                    <w:rPr>
                      <w:color w:val="000000"/>
                      <w:kern w:val="0"/>
                      <w:szCs w:val="21"/>
                      <w:u w:val="none" w:color="auto"/>
                    </w:rPr>
                    <w:t>TP</w:t>
                  </w:r>
                </w:p>
              </w:tc>
              <w:tc>
                <w:tcPr>
                  <w:tcW w:w="1044" w:type="dxa"/>
                  <w:tcBorders>
                    <w:tl2br w:val="nil"/>
                    <w:tr2bl w:val="nil"/>
                  </w:tcBorders>
                  <w:vAlign w:val="center"/>
                </w:tcPr>
                <w:p w14:paraId="0CBB6137">
                  <w:pPr>
                    <w:jc w:val="center"/>
                    <w:rPr>
                      <w:rFonts w:hint="eastAsia"/>
                      <w:color w:val="000000"/>
                      <w:szCs w:val="21"/>
                      <w:u w:val="none" w:color="auto"/>
                    </w:rPr>
                  </w:pPr>
                  <w:r>
                    <w:rPr>
                      <w:rFonts w:hint="eastAsia"/>
                      <w:color w:val="000000"/>
                      <w:szCs w:val="21"/>
                      <w:u w:val="none" w:color="auto"/>
                    </w:rPr>
                    <w:t>0.4</w:t>
                  </w:r>
                </w:p>
              </w:tc>
            </w:tr>
            <w:tr w14:paraId="0567418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85" w:type="dxa"/>
                  <w:bottom w:w="0" w:type="dxa"/>
                  <w:right w:w="85" w:type="dxa"/>
                </w:tblCellMar>
              </w:tblPrEx>
              <w:trPr>
                <w:trHeight w:val="396" w:hRule="atLeast"/>
                <w:jc w:val="center"/>
              </w:trPr>
              <w:tc>
                <w:tcPr>
                  <w:tcW w:w="764" w:type="dxa"/>
                  <w:vMerge w:val="continue"/>
                  <w:tcBorders>
                    <w:tl2br w:val="nil"/>
                    <w:tr2bl w:val="nil"/>
                  </w:tcBorders>
                  <w:noWrap/>
                  <w:tcMar>
                    <w:top w:w="0" w:type="dxa"/>
                    <w:left w:w="0" w:type="dxa"/>
                    <w:bottom w:w="0" w:type="dxa"/>
                    <w:right w:w="0" w:type="dxa"/>
                  </w:tcMar>
                  <w:vAlign w:val="center"/>
                </w:tcPr>
                <w:p w14:paraId="229406E6">
                  <w:pPr>
                    <w:adjustRightInd w:val="0"/>
                    <w:snapToGrid w:val="0"/>
                    <w:jc w:val="center"/>
                    <w:textAlignment w:val="baseline"/>
                    <w:rPr>
                      <w:color w:val="000000"/>
                      <w:kern w:val="0"/>
                      <w:szCs w:val="21"/>
                      <w:u w:val="none" w:color="auto"/>
                    </w:rPr>
                  </w:pPr>
                </w:p>
              </w:tc>
              <w:tc>
                <w:tcPr>
                  <w:tcW w:w="743" w:type="dxa"/>
                  <w:vMerge w:val="continue"/>
                  <w:tcBorders>
                    <w:tl2br w:val="nil"/>
                    <w:tr2bl w:val="nil"/>
                  </w:tcBorders>
                  <w:noWrap/>
                  <w:tcMar>
                    <w:top w:w="0" w:type="dxa"/>
                    <w:left w:w="0" w:type="dxa"/>
                    <w:bottom w:w="0" w:type="dxa"/>
                    <w:right w:w="0" w:type="dxa"/>
                  </w:tcMar>
                  <w:vAlign w:val="center"/>
                </w:tcPr>
                <w:p w14:paraId="26D7CE1F">
                  <w:pPr>
                    <w:adjustRightInd w:val="0"/>
                    <w:snapToGrid w:val="0"/>
                    <w:jc w:val="center"/>
                    <w:rPr>
                      <w:szCs w:val="21"/>
                      <w:u w:val="none" w:color="auto"/>
                    </w:rPr>
                  </w:pPr>
                </w:p>
              </w:tc>
              <w:tc>
                <w:tcPr>
                  <w:tcW w:w="742" w:type="dxa"/>
                  <w:vMerge w:val="continue"/>
                  <w:tcBorders>
                    <w:tl2br w:val="nil"/>
                    <w:tr2bl w:val="nil"/>
                  </w:tcBorders>
                  <w:noWrap/>
                  <w:tcMar>
                    <w:top w:w="0" w:type="dxa"/>
                    <w:left w:w="0" w:type="dxa"/>
                    <w:bottom w:w="0" w:type="dxa"/>
                    <w:right w:w="0" w:type="dxa"/>
                  </w:tcMar>
                  <w:vAlign w:val="center"/>
                </w:tcPr>
                <w:p w14:paraId="7B81B9E2">
                  <w:pPr>
                    <w:adjustRightInd w:val="0"/>
                    <w:snapToGrid w:val="0"/>
                    <w:jc w:val="center"/>
                    <w:rPr>
                      <w:szCs w:val="21"/>
                      <w:u w:val="none" w:color="auto"/>
                    </w:rPr>
                  </w:pPr>
                </w:p>
              </w:tc>
              <w:tc>
                <w:tcPr>
                  <w:tcW w:w="1029" w:type="dxa"/>
                  <w:vMerge w:val="continue"/>
                  <w:tcBorders>
                    <w:tl2br w:val="nil"/>
                    <w:tr2bl w:val="nil"/>
                  </w:tcBorders>
                  <w:noWrap/>
                  <w:tcMar>
                    <w:top w:w="0" w:type="dxa"/>
                    <w:left w:w="0" w:type="dxa"/>
                    <w:bottom w:w="0" w:type="dxa"/>
                    <w:right w:w="0" w:type="dxa"/>
                  </w:tcMar>
                  <w:vAlign w:val="center"/>
                </w:tcPr>
                <w:p w14:paraId="114543F2">
                  <w:pPr>
                    <w:adjustRightInd w:val="0"/>
                    <w:snapToGrid w:val="0"/>
                    <w:jc w:val="center"/>
                    <w:textAlignment w:val="baseline"/>
                    <w:rPr>
                      <w:color w:val="000000"/>
                      <w:kern w:val="0"/>
                      <w:szCs w:val="21"/>
                      <w:u w:val="none" w:color="auto"/>
                    </w:rPr>
                  </w:pPr>
                </w:p>
              </w:tc>
              <w:tc>
                <w:tcPr>
                  <w:tcW w:w="827" w:type="dxa"/>
                  <w:vMerge w:val="continue"/>
                  <w:tcBorders>
                    <w:tl2br w:val="nil"/>
                    <w:tr2bl w:val="nil"/>
                  </w:tcBorders>
                  <w:noWrap/>
                  <w:tcMar>
                    <w:top w:w="0" w:type="dxa"/>
                    <w:left w:w="0" w:type="dxa"/>
                    <w:bottom w:w="0" w:type="dxa"/>
                    <w:right w:w="0" w:type="dxa"/>
                  </w:tcMar>
                  <w:vAlign w:val="center"/>
                </w:tcPr>
                <w:p w14:paraId="6F76D539">
                  <w:pPr>
                    <w:adjustRightInd w:val="0"/>
                    <w:snapToGrid w:val="0"/>
                    <w:jc w:val="center"/>
                    <w:textAlignment w:val="baseline"/>
                    <w:rPr>
                      <w:bCs/>
                      <w:u w:val="none" w:color="auto"/>
                    </w:rPr>
                  </w:pPr>
                </w:p>
              </w:tc>
              <w:tc>
                <w:tcPr>
                  <w:tcW w:w="565" w:type="dxa"/>
                  <w:vMerge w:val="continue"/>
                  <w:tcBorders>
                    <w:tl2br w:val="nil"/>
                    <w:tr2bl w:val="nil"/>
                  </w:tcBorders>
                  <w:noWrap/>
                  <w:tcMar>
                    <w:top w:w="0" w:type="dxa"/>
                    <w:left w:w="0" w:type="dxa"/>
                    <w:bottom w:w="0" w:type="dxa"/>
                    <w:right w:w="0" w:type="dxa"/>
                  </w:tcMar>
                  <w:vAlign w:val="center"/>
                </w:tcPr>
                <w:p w14:paraId="07CEA62C">
                  <w:pPr>
                    <w:adjustRightInd w:val="0"/>
                    <w:snapToGrid w:val="0"/>
                    <w:jc w:val="center"/>
                    <w:textAlignment w:val="baseline"/>
                    <w:rPr>
                      <w:color w:val="000000"/>
                      <w:kern w:val="0"/>
                      <w:szCs w:val="21"/>
                      <w:u w:val="none" w:color="auto"/>
                    </w:rPr>
                  </w:pPr>
                </w:p>
              </w:tc>
              <w:tc>
                <w:tcPr>
                  <w:tcW w:w="1166" w:type="dxa"/>
                  <w:vMerge w:val="continue"/>
                  <w:tcBorders>
                    <w:tl2br w:val="nil"/>
                    <w:tr2bl w:val="nil"/>
                  </w:tcBorders>
                  <w:noWrap/>
                  <w:tcMar>
                    <w:top w:w="0" w:type="dxa"/>
                    <w:left w:w="0" w:type="dxa"/>
                    <w:bottom w:w="0" w:type="dxa"/>
                    <w:right w:w="0" w:type="dxa"/>
                  </w:tcMar>
                  <w:vAlign w:val="center"/>
                </w:tcPr>
                <w:p w14:paraId="11258953">
                  <w:pPr>
                    <w:adjustRightInd w:val="0"/>
                    <w:snapToGrid w:val="0"/>
                    <w:jc w:val="center"/>
                    <w:textAlignment w:val="baseline"/>
                    <w:rPr>
                      <w:color w:val="000000"/>
                      <w:kern w:val="0"/>
                      <w:szCs w:val="21"/>
                      <w:u w:val="none" w:color="auto"/>
                    </w:rPr>
                  </w:pPr>
                </w:p>
              </w:tc>
              <w:tc>
                <w:tcPr>
                  <w:tcW w:w="742" w:type="dxa"/>
                  <w:tcBorders>
                    <w:tl2br w:val="nil"/>
                    <w:tr2bl w:val="nil"/>
                  </w:tcBorders>
                  <w:noWrap/>
                  <w:tcMar>
                    <w:top w:w="0" w:type="dxa"/>
                    <w:left w:w="0" w:type="dxa"/>
                    <w:bottom w:w="0" w:type="dxa"/>
                    <w:right w:w="0" w:type="dxa"/>
                  </w:tcMar>
                  <w:vAlign w:val="center"/>
                </w:tcPr>
                <w:p w14:paraId="05EEFFCB">
                  <w:pPr>
                    <w:contextualSpacing/>
                    <w:jc w:val="center"/>
                    <w:textAlignment w:val="baseline"/>
                    <w:rPr>
                      <w:color w:val="000000"/>
                      <w:kern w:val="0"/>
                      <w:szCs w:val="21"/>
                      <w:u w:val="none" w:color="auto"/>
                    </w:rPr>
                  </w:pPr>
                  <w:r>
                    <w:rPr>
                      <w:color w:val="000000"/>
                      <w:kern w:val="0"/>
                      <w:szCs w:val="21"/>
                      <w:u w:val="none" w:color="auto"/>
                    </w:rPr>
                    <w:t>TN</w:t>
                  </w:r>
                </w:p>
              </w:tc>
              <w:tc>
                <w:tcPr>
                  <w:tcW w:w="1044" w:type="dxa"/>
                  <w:tcBorders>
                    <w:tl2br w:val="nil"/>
                    <w:tr2bl w:val="nil"/>
                  </w:tcBorders>
                  <w:vAlign w:val="center"/>
                </w:tcPr>
                <w:p w14:paraId="413AD016">
                  <w:pPr>
                    <w:jc w:val="center"/>
                    <w:rPr>
                      <w:rFonts w:hint="eastAsia"/>
                      <w:color w:val="000000"/>
                      <w:szCs w:val="21"/>
                      <w:u w:val="none" w:color="auto"/>
                    </w:rPr>
                  </w:pPr>
                  <w:r>
                    <w:rPr>
                      <w:rFonts w:hint="eastAsia"/>
                      <w:color w:val="000000"/>
                      <w:szCs w:val="21"/>
                      <w:u w:val="none" w:color="auto"/>
                    </w:rPr>
                    <w:t>15</w:t>
                  </w:r>
                </w:p>
              </w:tc>
            </w:tr>
          </w:tbl>
          <w:p w14:paraId="75590E05">
            <w:pPr>
              <w:adjustRightInd w:val="0"/>
              <w:snapToGrid w:val="0"/>
              <w:spacing w:line="440" w:lineRule="exact"/>
              <w:ind w:firstLine="480" w:firstLineChars="200"/>
              <w:textAlignment w:val="baseline"/>
              <w:rPr>
                <w:rFonts w:hint="default" w:eastAsia="宋体"/>
                <w:color w:val="000000"/>
                <w:kern w:val="0"/>
                <w:sz w:val="24"/>
                <w:szCs w:val="20"/>
                <w:u w:val="none" w:color="auto"/>
                <w:lang w:val="en-US" w:eastAsia="zh-CN"/>
              </w:rPr>
            </w:pPr>
            <w:r>
              <w:rPr>
                <w:rFonts w:hint="eastAsia"/>
                <w:color w:val="000000"/>
                <w:kern w:val="0"/>
                <w:sz w:val="24"/>
                <w:szCs w:val="20"/>
                <w:u w:val="none" w:color="auto"/>
              </w:rPr>
              <w:t>（</w:t>
            </w:r>
            <w:r>
              <w:rPr>
                <w:rFonts w:hint="eastAsia"/>
                <w:color w:val="000000"/>
                <w:kern w:val="0"/>
                <w:sz w:val="24"/>
                <w:szCs w:val="20"/>
                <w:u w:val="none" w:color="auto"/>
                <w:lang w:val="en-US" w:eastAsia="zh-CN"/>
              </w:rPr>
              <w:t>3</w:t>
            </w:r>
            <w:r>
              <w:rPr>
                <w:rFonts w:hint="eastAsia"/>
                <w:color w:val="000000"/>
                <w:kern w:val="0"/>
                <w:sz w:val="24"/>
                <w:szCs w:val="20"/>
                <w:u w:val="none" w:color="auto"/>
              </w:rPr>
              <w:t>）废水</w:t>
            </w:r>
            <w:r>
              <w:rPr>
                <w:rFonts w:hint="eastAsia"/>
                <w:color w:val="000000"/>
                <w:kern w:val="0"/>
                <w:sz w:val="24"/>
                <w:szCs w:val="20"/>
                <w:u w:val="none" w:color="auto"/>
                <w:lang w:val="en-US" w:eastAsia="zh-CN"/>
              </w:rPr>
              <w:t>污染物执行排放标准表</w:t>
            </w:r>
          </w:p>
          <w:p w14:paraId="3466E84F">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2" w:firstLineChars="200"/>
              <w:jc w:val="center"/>
              <w:rPr>
                <w:rFonts w:hint="eastAsia" w:cs="Times New Roman"/>
                <w:b/>
                <w:color w:val="000000"/>
                <w:sz w:val="24"/>
                <w:u w:val="none" w:color="auto"/>
                <w:lang w:val="en-US" w:eastAsia="zh-CN"/>
              </w:rPr>
            </w:pPr>
            <w:r>
              <w:rPr>
                <w:rFonts w:hint="default" w:ascii="Times New Roman" w:hAnsi="Times New Roman" w:eastAsia="宋体" w:cs="Times New Roman"/>
                <w:b/>
                <w:color w:val="000000"/>
                <w:sz w:val="24"/>
                <w:u w:val="none" w:color="auto"/>
              </w:rPr>
              <w:t>表</w:t>
            </w:r>
            <w:r>
              <w:rPr>
                <w:rFonts w:hint="default" w:ascii="Times New Roman" w:hAnsi="Times New Roman" w:eastAsia="宋体" w:cs="Times New Roman"/>
                <w:b/>
                <w:color w:val="000000"/>
                <w:sz w:val="24"/>
                <w:u w:val="none" w:color="auto"/>
                <w:lang w:val="en-US" w:eastAsia="zh-CN"/>
              </w:rPr>
              <w:t>4-</w:t>
            </w:r>
            <w:r>
              <w:rPr>
                <w:rFonts w:hint="eastAsia" w:ascii="Times New Roman" w:hAnsi="Times New Roman" w:eastAsia="宋体" w:cs="Times New Roman"/>
                <w:b/>
                <w:color w:val="000000"/>
                <w:sz w:val="24"/>
                <w:u w:val="none" w:color="auto"/>
                <w:lang w:val="en-US" w:eastAsia="zh-CN"/>
              </w:rPr>
              <w:t>1</w:t>
            </w:r>
            <w:r>
              <w:rPr>
                <w:rFonts w:hint="eastAsia" w:cs="Times New Roman"/>
                <w:b/>
                <w:color w:val="000000"/>
                <w:sz w:val="24"/>
                <w:u w:val="none" w:color="auto"/>
                <w:lang w:val="en-US" w:eastAsia="zh-CN"/>
              </w:rPr>
              <w:t>7</w:t>
            </w:r>
            <w:r>
              <w:rPr>
                <w:rFonts w:hint="default" w:ascii="Times New Roman" w:hAnsi="Times New Roman" w:eastAsia="宋体" w:cs="Times New Roman"/>
                <w:b/>
                <w:color w:val="000000"/>
                <w:sz w:val="24"/>
                <w:u w:val="none" w:color="auto"/>
              </w:rPr>
              <w:t xml:space="preserve">    </w:t>
            </w:r>
            <w:r>
              <w:rPr>
                <w:rFonts w:hint="eastAsia" w:ascii="Times New Roman" w:hAnsi="Times New Roman" w:eastAsia="宋体" w:cs="Times New Roman"/>
                <w:b/>
                <w:color w:val="000000"/>
                <w:sz w:val="24"/>
                <w:u w:val="none" w:color="auto"/>
                <w:lang w:val="pt-BR"/>
              </w:rPr>
              <w:t>废水污染物</w:t>
            </w:r>
            <w:r>
              <w:rPr>
                <w:rFonts w:hint="eastAsia" w:cs="Times New Roman"/>
                <w:b/>
                <w:color w:val="000000"/>
                <w:sz w:val="24"/>
                <w:u w:val="none" w:color="auto"/>
                <w:lang w:val="en-US" w:eastAsia="zh-CN"/>
              </w:rPr>
              <w:t>排放执行标准表</w:t>
            </w:r>
          </w:p>
          <w:tbl>
            <w:tblPr>
              <w:tblStyle w:val="32"/>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105"/>
              <w:gridCol w:w="1289"/>
              <w:gridCol w:w="3224"/>
              <w:gridCol w:w="1646"/>
            </w:tblGrid>
            <w:tr w14:paraId="7F86E7F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4" w:type="pct"/>
                  <w:vMerge w:val="restart"/>
                  <w:noWrap/>
                  <w:vAlign w:val="center"/>
                </w:tcPr>
                <w:p w14:paraId="33ABA307">
                  <w:pPr>
                    <w:jc w:val="center"/>
                    <w:rPr>
                      <w:rFonts w:cs="宋体"/>
                      <w:b/>
                      <w:color w:val="000000"/>
                      <w:szCs w:val="20"/>
                      <w:u w:val="none" w:color="auto"/>
                    </w:rPr>
                  </w:pPr>
                  <w:r>
                    <w:rPr>
                      <w:rFonts w:hint="eastAsia" w:cs="宋体"/>
                      <w:b/>
                      <w:color w:val="000000"/>
                      <w:szCs w:val="20"/>
                      <w:u w:val="none" w:color="auto"/>
                    </w:rPr>
                    <w:t>序号</w:t>
                  </w:r>
                </w:p>
              </w:tc>
              <w:tc>
                <w:tcPr>
                  <w:tcW w:w="699" w:type="pct"/>
                  <w:vMerge w:val="restart"/>
                  <w:noWrap/>
                  <w:vAlign w:val="center"/>
                </w:tcPr>
                <w:p w14:paraId="1BE49933">
                  <w:pPr>
                    <w:jc w:val="center"/>
                    <w:rPr>
                      <w:rFonts w:cs="宋体"/>
                      <w:b/>
                      <w:color w:val="000000"/>
                      <w:szCs w:val="20"/>
                      <w:u w:val="none" w:color="auto"/>
                    </w:rPr>
                  </w:pPr>
                  <w:r>
                    <w:rPr>
                      <w:rFonts w:hint="eastAsia" w:cs="宋体"/>
                      <w:b/>
                      <w:color w:val="000000"/>
                      <w:szCs w:val="20"/>
                      <w:u w:val="none" w:color="auto"/>
                    </w:rPr>
                    <w:t>排放口编号</w:t>
                  </w:r>
                </w:p>
              </w:tc>
              <w:tc>
                <w:tcPr>
                  <w:tcW w:w="815" w:type="pct"/>
                  <w:vMerge w:val="restart"/>
                  <w:noWrap/>
                  <w:vAlign w:val="center"/>
                </w:tcPr>
                <w:p w14:paraId="09442703">
                  <w:pPr>
                    <w:jc w:val="center"/>
                    <w:rPr>
                      <w:rFonts w:cs="宋体"/>
                      <w:b/>
                      <w:color w:val="000000"/>
                      <w:szCs w:val="20"/>
                      <w:u w:val="none" w:color="auto"/>
                    </w:rPr>
                  </w:pPr>
                  <w:r>
                    <w:rPr>
                      <w:rFonts w:hint="eastAsia" w:cs="宋体"/>
                      <w:b/>
                      <w:color w:val="000000"/>
                      <w:szCs w:val="20"/>
                      <w:u w:val="none" w:color="auto"/>
                    </w:rPr>
                    <w:t>污染物种类</w:t>
                  </w:r>
                </w:p>
              </w:tc>
              <w:tc>
                <w:tcPr>
                  <w:tcW w:w="3081" w:type="pct"/>
                  <w:gridSpan w:val="2"/>
                  <w:noWrap/>
                  <w:vAlign w:val="center"/>
                </w:tcPr>
                <w:p w14:paraId="21816586">
                  <w:pPr>
                    <w:jc w:val="center"/>
                    <w:rPr>
                      <w:rFonts w:cs="宋体"/>
                      <w:b/>
                      <w:color w:val="000000"/>
                      <w:szCs w:val="20"/>
                      <w:u w:val="none" w:color="auto"/>
                    </w:rPr>
                  </w:pPr>
                  <w:r>
                    <w:rPr>
                      <w:rFonts w:hint="eastAsia" w:cs="宋体"/>
                      <w:b/>
                      <w:color w:val="000000"/>
                      <w:szCs w:val="20"/>
                      <w:u w:val="none" w:color="auto"/>
                    </w:rPr>
                    <w:t>国家或地方污染物排放标准及其他按规定商定的排放协议</w:t>
                  </w:r>
                </w:p>
              </w:tc>
            </w:tr>
            <w:tr w14:paraId="09D4FBE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4" w:type="pct"/>
                  <w:vMerge w:val="continue"/>
                  <w:tcBorders>
                    <w:bottom w:val="single" w:color="auto" w:sz="8" w:space="0"/>
                  </w:tcBorders>
                  <w:noWrap/>
                  <w:vAlign w:val="center"/>
                </w:tcPr>
                <w:p w14:paraId="3D5153AD">
                  <w:pPr>
                    <w:jc w:val="center"/>
                    <w:rPr>
                      <w:rFonts w:cs="宋体"/>
                      <w:b/>
                      <w:color w:val="000000"/>
                      <w:szCs w:val="20"/>
                      <w:u w:val="none" w:color="auto"/>
                    </w:rPr>
                  </w:pPr>
                </w:p>
              </w:tc>
              <w:tc>
                <w:tcPr>
                  <w:tcW w:w="699" w:type="pct"/>
                  <w:vMerge w:val="continue"/>
                  <w:tcBorders>
                    <w:bottom w:val="single" w:color="auto" w:sz="8" w:space="0"/>
                  </w:tcBorders>
                  <w:noWrap/>
                  <w:vAlign w:val="center"/>
                </w:tcPr>
                <w:p w14:paraId="450B01BE">
                  <w:pPr>
                    <w:jc w:val="center"/>
                    <w:rPr>
                      <w:rFonts w:cs="宋体"/>
                      <w:b/>
                      <w:color w:val="000000"/>
                      <w:szCs w:val="20"/>
                      <w:u w:val="none" w:color="auto"/>
                    </w:rPr>
                  </w:pPr>
                </w:p>
              </w:tc>
              <w:tc>
                <w:tcPr>
                  <w:tcW w:w="815" w:type="pct"/>
                  <w:vMerge w:val="continue"/>
                  <w:tcBorders>
                    <w:bottom w:val="single" w:color="auto" w:sz="8" w:space="0"/>
                  </w:tcBorders>
                  <w:noWrap/>
                  <w:vAlign w:val="center"/>
                </w:tcPr>
                <w:p w14:paraId="3BEEAC1A">
                  <w:pPr>
                    <w:jc w:val="center"/>
                    <w:rPr>
                      <w:rFonts w:cs="宋体"/>
                      <w:b/>
                      <w:color w:val="000000"/>
                      <w:szCs w:val="20"/>
                      <w:u w:val="none" w:color="auto"/>
                    </w:rPr>
                  </w:pPr>
                </w:p>
              </w:tc>
              <w:tc>
                <w:tcPr>
                  <w:tcW w:w="2039" w:type="pct"/>
                  <w:tcBorders>
                    <w:bottom w:val="single" w:color="auto" w:sz="8" w:space="0"/>
                  </w:tcBorders>
                  <w:noWrap/>
                  <w:vAlign w:val="center"/>
                </w:tcPr>
                <w:p w14:paraId="2645B8DD">
                  <w:pPr>
                    <w:jc w:val="center"/>
                    <w:rPr>
                      <w:rFonts w:cs="宋体"/>
                      <w:b/>
                      <w:color w:val="000000"/>
                      <w:szCs w:val="20"/>
                      <w:u w:val="none" w:color="auto"/>
                    </w:rPr>
                  </w:pPr>
                  <w:r>
                    <w:rPr>
                      <w:rFonts w:hint="eastAsia" w:cs="宋体"/>
                      <w:b/>
                      <w:color w:val="000000"/>
                      <w:szCs w:val="20"/>
                      <w:u w:val="none" w:color="auto"/>
                    </w:rPr>
                    <w:t>名称</w:t>
                  </w:r>
                </w:p>
              </w:tc>
              <w:tc>
                <w:tcPr>
                  <w:tcW w:w="1041" w:type="pct"/>
                  <w:tcBorders>
                    <w:bottom w:val="single" w:color="auto" w:sz="8" w:space="0"/>
                  </w:tcBorders>
                  <w:noWrap/>
                  <w:vAlign w:val="center"/>
                </w:tcPr>
                <w:p w14:paraId="28F781F6">
                  <w:pPr>
                    <w:jc w:val="center"/>
                    <w:rPr>
                      <w:rFonts w:cs="宋体"/>
                      <w:b/>
                      <w:color w:val="000000"/>
                      <w:szCs w:val="20"/>
                      <w:u w:val="none" w:color="auto"/>
                    </w:rPr>
                  </w:pPr>
                  <w:r>
                    <w:rPr>
                      <w:rFonts w:hint="eastAsia" w:cs="宋体"/>
                      <w:b/>
                      <w:color w:val="000000"/>
                      <w:szCs w:val="20"/>
                      <w:u w:val="none" w:color="auto"/>
                    </w:rPr>
                    <w:t>浓度限值</w:t>
                  </w:r>
                </w:p>
              </w:tc>
            </w:tr>
            <w:tr w14:paraId="094CC51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404" w:type="pct"/>
                  <w:vMerge w:val="restart"/>
                  <w:tcBorders>
                    <w:top w:val="single" w:color="auto" w:sz="8" w:space="0"/>
                  </w:tcBorders>
                  <w:noWrap/>
                  <w:vAlign w:val="center"/>
                </w:tcPr>
                <w:p w14:paraId="519834E5">
                  <w:pPr>
                    <w:contextualSpacing/>
                    <w:jc w:val="center"/>
                    <w:textAlignment w:val="baseline"/>
                    <w:rPr>
                      <w:color w:val="000000"/>
                      <w:kern w:val="0"/>
                      <w:szCs w:val="21"/>
                      <w:u w:val="none" w:color="auto"/>
                    </w:rPr>
                  </w:pPr>
                  <w:r>
                    <w:rPr>
                      <w:color w:val="000000"/>
                      <w:kern w:val="0"/>
                      <w:szCs w:val="21"/>
                      <w:u w:val="none" w:color="auto"/>
                    </w:rPr>
                    <w:t>1</w:t>
                  </w:r>
                </w:p>
              </w:tc>
              <w:tc>
                <w:tcPr>
                  <w:tcW w:w="699" w:type="pct"/>
                  <w:vMerge w:val="restart"/>
                  <w:tcBorders>
                    <w:top w:val="single" w:color="auto" w:sz="8" w:space="0"/>
                  </w:tcBorders>
                  <w:noWrap/>
                  <w:vAlign w:val="center"/>
                </w:tcPr>
                <w:p w14:paraId="3E854CEE">
                  <w:pPr>
                    <w:contextualSpacing/>
                    <w:jc w:val="center"/>
                    <w:textAlignment w:val="baseline"/>
                    <w:rPr>
                      <w:rFonts w:hint="eastAsia" w:eastAsia="宋体"/>
                      <w:color w:val="000000"/>
                      <w:kern w:val="0"/>
                      <w:szCs w:val="21"/>
                      <w:u w:val="none" w:color="auto"/>
                      <w:lang w:eastAsia="zh-CN"/>
                    </w:rPr>
                  </w:pPr>
                  <w:r>
                    <w:rPr>
                      <w:color w:val="000000"/>
                      <w:kern w:val="0"/>
                      <w:szCs w:val="21"/>
                      <w:u w:val="none" w:color="auto"/>
                    </w:rPr>
                    <w:t>DW00</w:t>
                  </w:r>
                  <w:r>
                    <w:rPr>
                      <w:rFonts w:hint="eastAsia"/>
                      <w:color w:val="000000"/>
                      <w:kern w:val="0"/>
                      <w:szCs w:val="21"/>
                      <w:u w:val="none" w:color="auto"/>
                      <w:lang w:val="en-US" w:eastAsia="zh-CN"/>
                    </w:rPr>
                    <w:t>1（生活污水排放口）</w:t>
                  </w:r>
                </w:p>
              </w:tc>
              <w:tc>
                <w:tcPr>
                  <w:tcW w:w="1289" w:type="dxa"/>
                  <w:tcBorders>
                    <w:top w:val="single" w:color="auto" w:sz="8" w:space="0"/>
                    <w:bottom w:val="single" w:color="auto" w:sz="4" w:space="0"/>
                  </w:tcBorders>
                  <w:noWrap/>
                  <w:vAlign w:val="center"/>
                </w:tcPr>
                <w:p w14:paraId="24CF3C1A">
                  <w:pPr>
                    <w:contextualSpacing/>
                    <w:jc w:val="center"/>
                    <w:textAlignment w:val="baseline"/>
                    <w:rPr>
                      <w:rFonts w:hint="default" w:ascii="Times New Roman" w:hAnsi="Times New Roman" w:eastAsia="宋体" w:cs="Times New Roman"/>
                      <w:color w:val="000000"/>
                      <w:kern w:val="0"/>
                      <w:szCs w:val="21"/>
                      <w:u w:val="none" w:color="auto"/>
                      <w:lang w:val="en-US" w:eastAsia="zh-CN"/>
                    </w:rPr>
                  </w:pPr>
                  <w:r>
                    <w:rPr>
                      <w:rFonts w:ascii="Times New Roman" w:hAnsi="Times New Roman" w:eastAsia="宋体" w:cs="Times New Roman"/>
                      <w:color w:val="000000"/>
                      <w:kern w:val="0"/>
                      <w:szCs w:val="21"/>
                      <w:u w:val="none" w:color="auto"/>
                    </w:rPr>
                    <w:t>COD</w:t>
                  </w:r>
                </w:p>
              </w:tc>
              <w:tc>
                <w:tcPr>
                  <w:tcW w:w="2039" w:type="pct"/>
                  <w:vMerge w:val="restart"/>
                  <w:tcBorders>
                    <w:top w:val="single" w:color="auto" w:sz="8" w:space="0"/>
                    <w:bottom w:val="single" w:color="auto" w:sz="4" w:space="0"/>
                  </w:tcBorders>
                  <w:noWrap/>
                  <w:vAlign w:val="center"/>
                </w:tcPr>
                <w:p w14:paraId="72B0DDF2">
                  <w:pPr>
                    <w:contextualSpacing/>
                    <w:jc w:val="center"/>
                    <w:textAlignment w:val="baseline"/>
                    <w:rPr>
                      <w:color w:val="000000"/>
                      <w:kern w:val="0"/>
                      <w:szCs w:val="21"/>
                      <w:u w:val="none" w:color="auto"/>
                    </w:rPr>
                  </w:pPr>
                  <w:r>
                    <w:rPr>
                      <w:rFonts w:hint="eastAsia"/>
                      <w:bCs/>
                      <w:szCs w:val="21"/>
                      <w:u w:val="none" w:color="auto"/>
                      <w:lang w:val="pt-BR"/>
                    </w:rPr>
                    <w:t>《污水综合排放标准》（GB 8978-1996）表 4 三级标准、新乡市贾屯污水处理厂收水标准，取严</w:t>
                  </w:r>
                </w:p>
              </w:tc>
              <w:tc>
                <w:tcPr>
                  <w:tcW w:w="1646" w:type="dxa"/>
                  <w:tcBorders>
                    <w:top w:val="single" w:color="auto" w:sz="8" w:space="0"/>
                    <w:bottom w:val="single" w:color="auto" w:sz="4" w:space="0"/>
                  </w:tcBorders>
                  <w:noWrap/>
                  <w:vAlign w:val="center"/>
                </w:tcPr>
                <w:p w14:paraId="4D3D5E4C">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eastAsia="宋体"/>
                      <w:color w:val="000000"/>
                      <w:kern w:val="0"/>
                      <w:szCs w:val="21"/>
                      <w:u w:val="none" w:color="auto"/>
                      <w:lang w:val="en-US" w:eastAsia="zh-CN"/>
                    </w:rPr>
                  </w:pPr>
                  <w:r>
                    <w:rPr>
                      <w:rFonts w:hint="eastAsia" w:ascii="Times New Roman" w:cs="Times New Roman"/>
                      <w:b w:val="0"/>
                      <w:bCs/>
                      <w:color w:val="000000"/>
                      <w:sz w:val="21"/>
                      <w:szCs w:val="21"/>
                      <w:highlight w:val="none"/>
                      <w:u w:val="none" w:color="auto"/>
                      <w:lang w:val="en-US" w:eastAsia="zh-CN"/>
                    </w:rPr>
                    <w:t>450mg/L</w:t>
                  </w:r>
                </w:p>
              </w:tc>
            </w:tr>
            <w:tr w14:paraId="4D52E85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4" w:type="pct"/>
                  <w:vMerge w:val="continue"/>
                  <w:noWrap/>
                  <w:vAlign w:val="center"/>
                </w:tcPr>
                <w:p w14:paraId="48B1072D">
                  <w:pPr>
                    <w:contextualSpacing/>
                    <w:jc w:val="center"/>
                    <w:textAlignment w:val="baseline"/>
                    <w:rPr>
                      <w:color w:val="000000"/>
                      <w:kern w:val="0"/>
                      <w:szCs w:val="21"/>
                      <w:u w:val="none" w:color="auto"/>
                    </w:rPr>
                  </w:pPr>
                </w:p>
              </w:tc>
              <w:tc>
                <w:tcPr>
                  <w:tcW w:w="699" w:type="pct"/>
                  <w:vMerge w:val="continue"/>
                  <w:noWrap/>
                  <w:vAlign w:val="center"/>
                </w:tcPr>
                <w:p w14:paraId="24BBA233">
                  <w:pPr>
                    <w:contextualSpacing/>
                    <w:jc w:val="center"/>
                    <w:textAlignment w:val="baseline"/>
                    <w:rPr>
                      <w:color w:val="000000"/>
                      <w:kern w:val="0"/>
                      <w:szCs w:val="21"/>
                      <w:u w:val="none" w:color="auto"/>
                    </w:rPr>
                  </w:pPr>
                </w:p>
              </w:tc>
              <w:tc>
                <w:tcPr>
                  <w:tcW w:w="1289" w:type="dxa"/>
                  <w:tcBorders>
                    <w:top w:val="single" w:color="auto" w:sz="8" w:space="0"/>
                    <w:bottom w:val="single" w:color="auto" w:sz="4" w:space="0"/>
                  </w:tcBorders>
                  <w:noWrap/>
                  <w:vAlign w:val="center"/>
                </w:tcPr>
                <w:p w14:paraId="03C0A8B7">
                  <w:pPr>
                    <w:contextualSpacing/>
                    <w:jc w:val="center"/>
                    <w:textAlignment w:val="baseline"/>
                    <w:rPr>
                      <w:rFonts w:hint="default" w:ascii="Times New Roman" w:hAnsi="Times New Roman" w:eastAsia="宋体" w:cs="Times New Roman"/>
                      <w:color w:val="000000"/>
                      <w:kern w:val="0"/>
                      <w:szCs w:val="21"/>
                      <w:u w:val="none" w:color="auto"/>
                      <w:lang w:val="en-US" w:eastAsia="zh-CN"/>
                    </w:rPr>
                  </w:pPr>
                  <w:r>
                    <w:rPr>
                      <w:rFonts w:ascii="Times New Roman" w:hAnsi="Times New Roman" w:eastAsia="宋体" w:cs="Times New Roman"/>
                      <w:color w:val="000000"/>
                      <w:kern w:val="0"/>
                      <w:szCs w:val="21"/>
                      <w:u w:val="none" w:color="auto"/>
                    </w:rPr>
                    <w:t>SS</w:t>
                  </w:r>
                </w:p>
              </w:tc>
              <w:tc>
                <w:tcPr>
                  <w:tcW w:w="2039" w:type="pct"/>
                  <w:vMerge w:val="continue"/>
                  <w:noWrap/>
                  <w:vAlign w:val="center"/>
                </w:tcPr>
                <w:p w14:paraId="18D454EE">
                  <w:pPr>
                    <w:contextualSpacing/>
                    <w:jc w:val="center"/>
                    <w:textAlignment w:val="baseline"/>
                    <w:rPr>
                      <w:color w:val="000000"/>
                      <w:kern w:val="0"/>
                      <w:szCs w:val="21"/>
                      <w:u w:val="none" w:color="auto"/>
                    </w:rPr>
                  </w:pPr>
                </w:p>
              </w:tc>
              <w:tc>
                <w:tcPr>
                  <w:tcW w:w="1646" w:type="dxa"/>
                  <w:tcBorders>
                    <w:top w:val="single" w:color="auto" w:sz="8" w:space="0"/>
                    <w:bottom w:val="single" w:color="auto" w:sz="4" w:space="0"/>
                  </w:tcBorders>
                  <w:noWrap/>
                  <w:vAlign w:val="center"/>
                </w:tcPr>
                <w:p w14:paraId="05C5469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eastAsia="宋体"/>
                      <w:color w:val="000000"/>
                      <w:kern w:val="0"/>
                      <w:szCs w:val="21"/>
                      <w:u w:val="none" w:color="auto"/>
                      <w:lang w:val="en-US" w:eastAsia="zh-CN"/>
                    </w:rPr>
                  </w:pPr>
                  <w:r>
                    <w:rPr>
                      <w:rFonts w:hint="eastAsia" w:ascii="Times New Roman" w:cs="Times New Roman"/>
                      <w:b w:val="0"/>
                      <w:bCs/>
                      <w:color w:val="000000"/>
                      <w:sz w:val="21"/>
                      <w:szCs w:val="21"/>
                      <w:highlight w:val="none"/>
                      <w:u w:val="none" w:color="auto"/>
                      <w:lang w:val="en-US" w:eastAsia="zh-CN"/>
                    </w:rPr>
                    <w:t>350mg/L</w:t>
                  </w:r>
                </w:p>
              </w:tc>
            </w:tr>
            <w:tr w14:paraId="6CAAB1E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404" w:type="pct"/>
                  <w:vMerge w:val="continue"/>
                  <w:noWrap/>
                  <w:vAlign w:val="center"/>
                </w:tcPr>
                <w:p w14:paraId="4ED5D78C">
                  <w:pPr>
                    <w:contextualSpacing/>
                    <w:jc w:val="center"/>
                    <w:textAlignment w:val="baseline"/>
                    <w:rPr>
                      <w:color w:val="000000"/>
                      <w:kern w:val="0"/>
                      <w:szCs w:val="21"/>
                      <w:u w:val="none" w:color="auto"/>
                    </w:rPr>
                  </w:pPr>
                </w:p>
              </w:tc>
              <w:tc>
                <w:tcPr>
                  <w:tcW w:w="699" w:type="pct"/>
                  <w:vMerge w:val="continue"/>
                  <w:noWrap/>
                  <w:vAlign w:val="center"/>
                </w:tcPr>
                <w:p w14:paraId="6D775D9B">
                  <w:pPr>
                    <w:contextualSpacing/>
                    <w:jc w:val="center"/>
                    <w:textAlignment w:val="baseline"/>
                    <w:rPr>
                      <w:color w:val="000000"/>
                      <w:kern w:val="0"/>
                      <w:szCs w:val="21"/>
                      <w:u w:val="none" w:color="auto"/>
                    </w:rPr>
                  </w:pPr>
                </w:p>
              </w:tc>
              <w:tc>
                <w:tcPr>
                  <w:tcW w:w="1289" w:type="dxa"/>
                  <w:tcBorders>
                    <w:top w:val="single" w:color="auto" w:sz="8" w:space="0"/>
                    <w:bottom w:val="single" w:color="auto" w:sz="4" w:space="0"/>
                  </w:tcBorders>
                  <w:noWrap/>
                  <w:vAlign w:val="center"/>
                </w:tcPr>
                <w:p w14:paraId="2A9D4EA6">
                  <w:pPr>
                    <w:contextualSpacing/>
                    <w:jc w:val="center"/>
                    <w:textAlignment w:val="baseline"/>
                    <w:rPr>
                      <w:rFonts w:hint="default" w:ascii="Times New Roman" w:hAnsi="Times New Roman" w:eastAsia="宋体" w:cs="Times New Roman"/>
                      <w:color w:val="000000"/>
                      <w:kern w:val="0"/>
                      <w:szCs w:val="21"/>
                      <w:u w:val="none" w:color="auto"/>
                      <w:lang w:val="en-US" w:eastAsia="zh-CN"/>
                    </w:rPr>
                  </w:pPr>
                  <w:r>
                    <w:rPr>
                      <w:color w:val="000000"/>
                      <w:kern w:val="0"/>
                      <w:szCs w:val="21"/>
                      <w:u w:val="none" w:color="auto"/>
                    </w:rPr>
                    <w:t>NH</w:t>
                  </w:r>
                  <w:r>
                    <w:rPr>
                      <w:color w:val="000000"/>
                      <w:kern w:val="0"/>
                      <w:szCs w:val="21"/>
                      <w:u w:val="none" w:color="auto"/>
                      <w:vertAlign w:val="subscript"/>
                    </w:rPr>
                    <w:t>3</w:t>
                  </w:r>
                  <w:r>
                    <w:rPr>
                      <w:color w:val="000000"/>
                      <w:kern w:val="0"/>
                      <w:szCs w:val="21"/>
                      <w:u w:val="none" w:color="auto"/>
                    </w:rPr>
                    <w:t>-N</w:t>
                  </w:r>
                </w:p>
              </w:tc>
              <w:tc>
                <w:tcPr>
                  <w:tcW w:w="2039" w:type="pct"/>
                  <w:vMerge w:val="continue"/>
                  <w:noWrap/>
                  <w:vAlign w:val="center"/>
                </w:tcPr>
                <w:p w14:paraId="5EB60649">
                  <w:pPr>
                    <w:contextualSpacing/>
                    <w:jc w:val="center"/>
                    <w:textAlignment w:val="baseline"/>
                    <w:rPr>
                      <w:color w:val="000000"/>
                      <w:kern w:val="0"/>
                      <w:szCs w:val="21"/>
                      <w:u w:val="none" w:color="auto"/>
                    </w:rPr>
                  </w:pPr>
                </w:p>
              </w:tc>
              <w:tc>
                <w:tcPr>
                  <w:tcW w:w="1646" w:type="dxa"/>
                  <w:tcBorders>
                    <w:top w:val="single" w:color="auto" w:sz="8" w:space="0"/>
                    <w:bottom w:val="single" w:color="auto" w:sz="4" w:space="0"/>
                  </w:tcBorders>
                  <w:noWrap/>
                  <w:vAlign w:val="center"/>
                </w:tcPr>
                <w:p w14:paraId="7D1B0260">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eastAsia="宋体"/>
                      <w:color w:val="000000"/>
                      <w:kern w:val="0"/>
                      <w:szCs w:val="21"/>
                      <w:u w:val="none" w:color="auto"/>
                      <w:lang w:val="en-US" w:eastAsia="zh-CN"/>
                    </w:rPr>
                  </w:pPr>
                  <w:r>
                    <w:rPr>
                      <w:rFonts w:hint="eastAsia" w:ascii="Times New Roman" w:cs="Times New Roman"/>
                      <w:b w:val="0"/>
                      <w:bCs/>
                      <w:color w:val="000000"/>
                      <w:sz w:val="21"/>
                      <w:szCs w:val="21"/>
                      <w:highlight w:val="none"/>
                      <w:u w:val="none" w:color="auto"/>
                      <w:lang w:val="en-US" w:eastAsia="zh-CN"/>
                    </w:rPr>
                    <w:t>35mg/L</w:t>
                  </w:r>
                </w:p>
              </w:tc>
            </w:tr>
            <w:tr w14:paraId="4C10B87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04" w:type="pct"/>
                  <w:vMerge w:val="continue"/>
                  <w:noWrap/>
                  <w:vAlign w:val="center"/>
                </w:tcPr>
                <w:p w14:paraId="5BD6C86E">
                  <w:pPr>
                    <w:contextualSpacing/>
                    <w:jc w:val="center"/>
                    <w:textAlignment w:val="baseline"/>
                    <w:rPr>
                      <w:color w:val="000000"/>
                      <w:kern w:val="0"/>
                      <w:szCs w:val="21"/>
                      <w:u w:val="none" w:color="auto"/>
                    </w:rPr>
                  </w:pPr>
                </w:p>
              </w:tc>
              <w:tc>
                <w:tcPr>
                  <w:tcW w:w="699" w:type="pct"/>
                  <w:vMerge w:val="continue"/>
                  <w:noWrap/>
                  <w:vAlign w:val="center"/>
                </w:tcPr>
                <w:p w14:paraId="0D7775C3">
                  <w:pPr>
                    <w:contextualSpacing/>
                    <w:jc w:val="center"/>
                    <w:textAlignment w:val="baseline"/>
                    <w:rPr>
                      <w:color w:val="000000"/>
                      <w:kern w:val="0"/>
                      <w:szCs w:val="21"/>
                      <w:u w:val="none" w:color="auto"/>
                    </w:rPr>
                  </w:pPr>
                </w:p>
              </w:tc>
              <w:tc>
                <w:tcPr>
                  <w:tcW w:w="1289" w:type="dxa"/>
                  <w:tcBorders>
                    <w:top w:val="single" w:color="auto" w:sz="8" w:space="0"/>
                    <w:bottom w:val="single" w:color="auto" w:sz="4" w:space="0"/>
                  </w:tcBorders>
                  <w:noWrap/>
                  <w:vAlign w:val="center"/>
                </w:tcPr>
                <w:p w14:paraId="4E5F1511">
                  <w:pPr>
                    <w:contextualSpacing/>
                    <w:jc w:val="center"/>
                    <w:textAlignment w:val="baseline"/>
                    <w:rPr>
                      <w:rFonts w:hint="default" w:ascii="Times New Roman" w:hAnsi="Times New Roman" w:eastAsia="宋体" w:cs="Times New Roman"/>
                      <w:color w:val="000000"/>
                      <w:kern w:val="0"/>
                      <w:szCs w:val="21"/>
                      <w:u w:val="none" w:color="auto"/>
                      <w:lang w:val="en-US" w:eastAsia="zh-CN"/>
                    </w:rPr>
                  </w:pPr>
                  <w:r>
                    <w:rPr>
                      <w:color w:val="000000"/>
                      <w:kern w:val="0"/>
                      <w:szCs w:val="21"/>
                      <w:u w:val="none" w:color="auto"/>
                    </w:rPr>
                    <w:t>TP</w:t>
                  </w:r>
                </w:p>
              </w:tc>
              <w:tc>
                <w:tcPr>
                  <w:tcW w:w="2039" w:type="pct"/>
                  <w:vMerge w:val="continue"/>
                  <w:noWrap/>
                  <w:vAlign w:val="center"/>
                </w:tcPr>
                <w:p w14:paraId="400AD391">
                  <w:pPr>
                    <w:contextualSpacing/>
                    <w:jc w:val="center"/>
                    <w:textAlignment w:val="baseline"/>
                    <w:rPr>
                      <w:color w:val="000000"/>
                      <w:kern w:val="0"/>
                      <w:szCs w:val="21"/>
                      <w:u w:val="none" w:color="auto"/>
                    </w:rPr>
                  </w:pPr>
                </w:p>
              </w:tc>
              <w:tc>
                <w:tcPr>
                  <w:tcW w:w="1646" w:type="dxa"/>
                  <w:tcBorders>
                    <w:top w:val="single" w:color="auto" w:sz="8" w:space="0"/>
                    <w:bottom w:val="single" w:color="auto" w:sz="4" w:space="0"/>
                  </w:tcBorders>
                  <w:noWrap/>
                  <w:vAlign w:val="center"/>
                </w:tcPr>
                <w:p w14:paraId="1BC4F29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eastAsia="宋体"/>
                      <w:color w:val="000000"/>
                      <w:kern w:val="0"/>
                      <w:szCs w:val="21"/>
                      <w:u w:val="none" w:color="auto"/>
                      <w:lang w:val="en-US" w:eastAsia="zh-CN"/>
                    </w:rPr>
                  </w:pPr>
                  <w:r>
                    <w:rPr>
                      <w:rFonts w:hint="eastAsia" w:ascii="Times New Roman" w:cs="Times New Roman"/>
                      <w:b w:val="0"/>
                      <w:bCs/>
                      <w:color w:val="auto"/>
                      <w:sz w:val="21"/>
                      <w:szCs w:val="21"/>
                      <w:u w:val="none" w:color="auto"/>
                      <w:lang w:val="en-US" w:eastAsia="zh-CN"/>
                    </w:rPr>
                    <w:t>6</w:t>
                  </w:r>
                  <w:r>
                    <w:rPr>
                      <w:rFonts w:hint="eastAsia" w:ascii="Times New Roman" w:cs="Times New Roman"/>
                      <w:b w:val="0"/>
                      <w:bCs/>
                      <w:color w:val="000000"/>
                      <w:sz w:val="21"/>
                      <w:szCs w:val="21"/>
                      <w:highlight w:val="none"/>
                      <w:u w:val="none" w:color="auto"/>
                      <w:lang w:val="en-US" w:eastAsia="zh-CN"/>
                    </w:rPr>
                    <w:t>mg/L</w:t>
                  </w:r>
                </w:p>
              </w:tc>
            </w:tr>
            <w:tr w14:paraId="6A7D7CC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04" w:type="pct"/>
                  <w:vMerge w:val="continue"/>
                  <w:tcBorders>
                    <w:bottom w:val="single" w:color="auto" w:sz="4" w:space="0"/>
                  </w:tcBorders>
                  <w:noWrap/>
                  <w:vAlign w:val="center"/>
                </w:tcPr>
                <w:p w14:paraId="64A0FFB5">
                  <w:pPr>
                    <w:contextualSpacing/>
                    <w:jc w:val="center"/>
                    <w:textAlignment w:val="baseline"/>
                    <w:rPr>
                      <w:color w:val="000000"/>
                      <w:kern w:val="0"/>
                      <w:szCs w:val="21"/>
                      <w:u w:val="none" w:color="auto"/>
                    </w:rPr>
                  </w:pPr>
                </w:p>
              </w:tc>
              <w:tc>
                <w:tcPr>
                  <w:tcW w:w="699" w:type="pct"/>
                  <w:vMerge w:val="continue"/>
                  <w:noWrap/>
                  <w:vAlign w:val="center"/>
                </w:tcPr>
                <w:p w14:paraId="455CD9EA">
                  <w:pPr>
                    <w:contextualSpacing/>
                    <w:jc w:val="center"/>
                    <w:textAlignment w:val="baseline"/>
                    <w:rPr>
                      <w:color w:val="000000"/>
                      <w:kern w:val="0"/>
                      <w:szCs w:val="21"/>
                      <w:u w:val="none" w:color="auto"/>
                    </w:rPr>
                  </w:pPr>
                </w:p>
              </w:tc>
              <w:tc>
                <w:tcPr>
                  <w:tcW w:w="1289" w:type="dxa"/>
                  <w:tcBorders>
                    <w:top w:val="single" w:color="auto" w:sz="4" w:space="0"/>
                    <w:bottom w:val="single" w:color="auto" w:sz="4" w:space="0"/>
                  </w:tcBorders>
                  <w:noWrap/>
                  <w:vAlign w:val="center"/>
                </w:tcPr>
                <w:p w14:paraId="037138EF">
                  <w:pPr>
                    <w:contextualSpacing/>
                    <w:jc w:val="center"/>
                    <w:textAlignment w:val="baseline"/>
                    <w:rPr>
                      <w:rFonts w:hint="default" w:ascii="Times New Roman" w:hAnsi="Times New Roman" w:eastAsia="宋体" w:cs="Times New Roman"/>
                      <w:color w:val="000000"/>
                      <w:kern w:val="0"/>
                      <w:szCs w:val="21"/>
                      <w:u w:val="none" w:color="auto"/>
                      <w:lang w:val="en-US" w:eastAsia="zh-CN"/>
                    </w:rPr>
                  </w:pPr>
                  <w:r>
                    <w:rPr>
                      <w:color w:val="000000"/>
                      <w:kern w:val="0"/>
                      <w:szCs w:val="21"/>
                      <w:u w:val="none" w:color="auto"/>
                    </w:rPr>
                    <w:t>TN</w:t>
                  </w:r>
                </w:p>
              </w:tc>
              <w:tc>
                <w:tcPr>
                  <w:tcW w:w="2039" w:type="pct"/>
                  <w:vMerge w:val="continue"/>
                  <w:tcBorders>
                    <w:top w:val="single" w:color="auto" w:sz="4" w:space="0"/>
                    <w:bottom w:val="single" w:color="auto" w:sz="4" w:space="0"/>
                  </w:tcBorders>
                  <w:noWrap/>
                  <w:vAlign w:val="center"/>
                </w:tcPr>
                <w:p w14:paraId="1E1DCF69">
                  <w:pPr>
                    <w:contextualSpacing/>
                    <w:jc w:val="center"/>
                    <w:textAlignment w:val="baseline"/>
                    <w:rPr>
                      <w:bCs/>
                      <w:szCs w:val="21"/>
                      <w:u w:val="none" w:color="auto"/>
                      <w:lang w:val="pt-BR"/>
                    </w:rPr>
                  </w:pPr>
                </w:p>
              </w:tc>
              <w:tc>
                <w:tcPr>
                  <w:tcW w:w="1646" w:type="dxa"/>
                  <w:tcBorders>
                    <w:top w:val="single" w:color="auto" w:sz="4" w:space="0"/>
                    <w:bottom w:val="single" w:color="auto" w:sz="4" w:space="0"/>
                  </w:tcBorders>
                  <w:noWrap/>
                  <w:vAlign w:val="center"/>
                </w:tcPr>
                <w:p w14:paraId="2CB2B61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eastAsia="宋体"/>
                      <w:color w:val="000000"/>
                      <w:kern w:val="0"/>
                      <w:szCs w:val="21"/>
                      <w:u w:val="none" w:color="auto"/>
                      <w:lang w:val="en-US" w:eastAsia="zh-CN"/>
                    </w:rPr>
                  </w:pPr>
                  <w:r>
                    <w:rPr>
                      <w:rFonts w:hint="eastAsia" w:ascii="Times New Roman" w:cs="Times New Roman"/>
                      <w:b w:val="0"/>
                      <w:bCs/>
                      <w:color w:val="auto"/>
                      <w:sz w:val="21"/>
                      <w:szCs w:val="21"/>
                      <w:u w:val="none" w:color="auto"/>
                      <w:lang w:val="en-US" w:eastAsia="zh-CN"/>
                    </w:rPr>
                    <w:t>45</w:t>
                  </w:r>
                  <w:r>
                    <w:rPr>
                      <w:rFonts w:hint="eastAsia" w:ascii="Times New Roman" w:cs="Times New Roman"/>
                      <w:b w:val="0"/>
                      <w:bCs/>
                      <w:color w:val="000000"/>
                      <w:sz w:val="21"/>
                      <w:szCs w:val="21"/>
                      <w:highlight w:val="none"/>
                      <w:u w:val="none" w:color="auto"/>
                      <w:lang w:val="en-US" w:eastAsia="zh-CN"/>
                    </w:rPr>
                    <w:t>mg/L</w:t>
                  </w:r>
                </w:p>
              </w:tc>
            </w:tr>
            <w:tr w14:paraId="672F1B8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4" w:type="pct"/>
                  <w:vMerge w:val="restart"/>
                  <w:noWrap/>
                  <w:vAlign w:val="center"/>
                </w:tcPr>
                <w:p w14:paraId="294D5F96">
                  <w:pPr>
                    <w:contextualSpacing/>
                    <w:jc w:val="center"/>
                    <w:textAlignment w:val="baseline"/>
                    <w:rPr>
                      <w:rFonts w:hint="eastAsia" w:eastAsia="宋体"/>
                      <w:color w:val="000000"/>
                      <w:kern w:val="0"/>
                      <w:szCs w:val="21"/>
                      <w:u w:val="none" w:color="auto"/>
                      <w:lang w:val="en-US" w:eastAsia="zh-CN"/>
                    </w:rPr>
                  </w:pPr>
                  <w:r>
                    <w:rPr>
                      <w:rFonts w:hint="eastAsia"/>
                      <w:color w:val="000000"/>
                      <w:kern w:val="0"/>
                      <w:szCs w:val="21"/>
                      <w:u w:val="none" w:color="auto"/>
                      <w:lang w:val="en-US" w:eastAsia="zh-CN"/>
                    </w:rPr>
                    <w:t>2</w:t>
                  </w:r>
                </w:p>
              </w:tc>
              <w:tc>
                <w:tcPr>
                  <w:tcW w:w="699" w:type="pct"/>
                  <w:vMerge w:val="restart"/>
                  <w:noWrap/>
                  <w:vAlign w:val="center"/>
                </w:tcPr>
                <w:p w14:paraId="751943AE">
                  <w:pPr>
                    <w:contextualSpacing/>
                    <w:jc w:val="center"/>
                    <w:textAlignment w:val="baseline"/>
                    <w:rPr>
                      <w:rFonts w:hint="eastAsia" w:eastAsia="宋体"/>
                      <w:color w:val="000000"/>
                      <w:kern w:val="0"/>
                      <w:szCs w:val="21"/>
                      <w:u w:val="none" w:color="auto"/>
                      <w:lang w:eastAsia="zh-CN"/>
                    </w:rPr>
                  </w:pPr>
                  <w:r>
                    <w:rPr>
                      <w:color w:val="000000"/>
                      <w:kern w:val="0"/>
                      <w:szCs w:val="21"/>
                      <w:u w:val="none" w:color="auto"/>
                    </w:rPr>
                    <w:t>DW00</w:t>
                  </w:r>
                  <w:r>
                    <w:rPr>
                      <w:rFonts w:hint="eastAsia"/>
                      <w:color w:val="000000"/>
                      <w:kern w:val="0"/>
                      <w:szCs w:val="21"/>
                      <w:u w:val="none" w:color="auto"/>
                      <w:lang w:val="en-US" w:eastAsia="zh-CN"/>
                    </w:rPr>
                    <w:t>2（生产废水排放口）</w:t>
                  </w:r>
                </w:p>
              </w:tc>
              <w:tc>
                <w:tcPr>
                  <w:tcW w:w="815" w:type="pct"/>
                  <w:noWrap/>
                  <w:vAlign w:val="center"/>
                </w:tcPr>
                <w:p w14:paraId="1AB7B0DF">
                  <w:pPr>
                    <w:contextualSpacing/>
                    <w:jc w:val="center"/>
                    <w:textAlignment w:val="baseline"/>
                    <w:rPr>
                      <w:rFonts w:hint="eastAsia"/>
                      <w:color w:val="000000"/>
                      <w:kern w:val="0"/>
                      <w:szCs w:val="21"/>
                      <w:u w:val="none" w:color="auto"/>
                      <w:lang w:val="en-US" w:eastAsia="zh-CN"/>
                    </w:rPr>
                  </w:pPr>
                  <w:r>
                    <w:rPr>
                      <w:rFonts w:ascii="Times New Roman" w:hAnsi="Times New Roman" w:eastAsia="宋体" w:cs="Times New Roman"/>
                      <w:color w:val="000000"/>
                      <w:kern w:val="0"/>
                      <w:szCs w:val="21"/>
                      <w:u w:val="none" w:color="auto"/>
                    </w:rPr>
                    <w:t>COD</w:t>
                  </w:r>
                </w:p>
              </w:tc>
              <w:tc>
                <w:tcPr>
                  <w:tcW w:w="2039" w:type="pct"/>
                  <w:vMerge w:val="restart"/>
                  <w:noWrap/>
                  <w:vAlign w:val="center"/>
                </w:tcPr>
                <w:p w14:paraId="60EBCD82">
                  <w:pPr>
                    <w:contextualSpacing/>
                    <w:jc w:val="center"/>
                    <w:textAlignment w:val="baseline"/>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bCs/>
                      <w:szCs w:val="21"/>
                      <w:u w:val="none" w:color="auto"/>
                      <w:lang w:val="pt-BR"/>
                    </w:rPr>
                    <w:t>《电池工业污染物排放标准》（GB30484-2013）表2</w:t>
                  </w:r>
                  <w:r>
                    <w:rPr>
                      <w:rFonts w:hint="eastAsia"/>
                      <w:bCs/>
                      <w:szCs w:val="21"/>
                      <w:u w:val="none" w:color="auto"/>
                      <w:lang w:val="pt-BR" w:eastAsia="zh-CN"/>
                    </w:rPr>
                    <w:t>、</w:t>
                  </w:r>
                  <w:r>
                    <w:rPr>
                      <w:rFonts w:hint="eastAsia"/>
                      <w:bCs/>
                      <w:szCs w:val="21"/>
                      <w:u w:val="none" w:color="auto"/>
                      <w:lang w:val="pt-BR"/>
                    </w:rPr>
                    <w:t>新乡市贾屯污水处理厂收水标准，取严</w:t>
                  </w:r>
                </w:p>
              </w:tc>
              <w:tc>
                <w:tcPr>
                  <w:tcW w:w="1041" w:type="pct"/>
                  <w:noWrap/>
                  <w:vAlign w:val="center"/>
                </w:tcPr>
                <w:p w14:paraId="4617F7B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color w:val="000000"/>
                      <w:kern w:val="0"/>
                      <w:szCs w:val="21"/>
                      <w:u w:val="none" w:color="auto"/>
                      <w:lang w:val="en-US" w:eastAsia="zh-CN"/>
                    </w:rPr>
                  </w:pPr>
                  <w:r>
                    <w:rPr>
                      <w:rFonts w:hint="eastAsia" w:ascii="Times New Roman" w:cs="Times New Roman"/>
                      <w:b w:val="0"/>
                      <w:bCs/>
                      <w:color w:val="000000"/>
                      <w:sz w:val="21"/>
                      <w:szCs w:val="21"/>
                      <w:highlight w:val="none"/>
                      <w:u w:val="none" w:color="auto"/>
                      <w:lang w:val="en-US" w:eastAsia="zh-CN"/>
                    </w:rPr>
                    <w:t>150mg/L</w:t>
                  </w:r>
                </w:p>
              </w:tc>
            </w:tr>
            <w:tr w14:paraId="6C1C1E4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4" w:type="pct"/>
                  <w:vMerge w:val="continue"/>
                  <w:noWrap/>
                  <w:vAlign w:val="center"/>
                </w:tcPr>
                <w:p w14:paraId="3D36804E">
                  <w:pPr>
                    <w:contextualSpacing/>
                    <w:jc w:val="center"/>
                    <w:textAlignment w:val="baseline"/>
                    <w:rPr>
                      <w:rFonts w:hint="default"/>
                      <w:color w:val="000000"/>
                      <w:kern w:val="0"/>
                      <w:szCs w:val="21"/>
                      <w:u w:val="none" w:color="auto"/>
                      <w:lang w:val="en-US" w:eastAsia="zh-CN"/>
                    </w:rPr>
                  </w:pPr>
                </w:p>
              </w:tc>
              <w:tc>
                <w:tcPr>
                  <w:tcW w:w="699" w:type="pct"/>
                  <w:vMerge w:val="continue"/>
                  <w:noWrap/>
                  <w:vAlign w:val="center"/>
                </w:tcPr>
                <w:p w14:paraId="2224E737">
                  <w:pPr>
                    <w:contextualSpacing/>
                    <w:jc w:val="center"/>
                    <w:textAlignment w:val="baseline"/>
                    <w:rPr>
                      <w:color w:val="000000"/>
                      <w:kern w:val="0"/>
                      <w:szCs w:val="21"/>
                      <w:u w:val="none" w:color="auto"/>
                    </w:rPr>
                  </w:pPr>
                </w:p>
              </w:tc>
              <w:tc>
                <w:tcPr>
                  <w:tcW w:w="815" w:type="pct"/>
                  <w:noWrap/>
                  <w:vAlign w:val="center"/>
                </w:tcPr>
                <w:p w14:paraId="73CF61B9">
                  <w:pPr>
                    <w:contextualSpacing/>
                    <w:jc w:val="center"/>
                    <w:textAlignment w:val="baseline"/>
                    <w:rPr>
                      <w:rFonts w:hint="eastAsia"/>
                      <w:color w:val="000000"/>
                      <w:kern w:val="0"/>
                      <w:szCs w:val="21"/>
                      <w:u w:val="none" w:color="auto"/>
                      <w:lang w:val="en-US" w:eastAsia="zh-CN"/>
                    </w:rPr>
                  </w:pPr>
                  <w:r>
                    <w:rPr>
                      <w:rFonts w:ascii="Times New Roman" w:hAnsi="Times New Roman" w:eastAsia="宋体" w:cs="Times New Roman"/>
                      <w:color w:val="000000"/>
                      <w:kern w:val="0"/>
                      <w:szCs w:val="21"/>
                      <w:u w:val="none" w:color="auto"/>
                    </w:rPr>
                    <w:t>SS</w:t>
                  </w:r>
                </w:p>
              </w:tc>
              <w:tc>
                <w:tcPr>
                  <w:tcW w:w="2039" w:type="pct"/>
                  <w:vMerge w:val="continue"/>
                  <w:noWrap/>
                  <w:vAlign w:val="center"/>
                </w:tcPr>
                <w:p w14:paraId="3B03F5AF">
                  <w:pPr>
                    <w:contextualSpacing/>
                    <w:jc w:val="center"/>
                    <w:textAlignment w:val="baseline"/>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p>
              </w:tc>
              <w:tc>
                <w:tcPr>
                  <w:tcW w:w="1041" w:type="pct"/>
                  <w:noWrap/>
                  <w:vAlign w:val="center"/>
                </w:tcPr>
                <w:p w14:paraId="6C8994D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color w:val="000000"/>
                      <w:kern w:val="0"/>
                      <w:szCs w:val="21"/>
                      <w:u w:val="none" w:color="auto"/>
                      <w:lang w:val="en-US" w:eastAsia="zh-CN"/>
                    </w:rPr>
                  </w:pPr>
                  <w:r>
                    <w:rPr>
                      <w:rFonts w:hint="eastAsia" w:ascii="Times New Roman" w:cs="Times New Roman"/>
                      <w:b w:val="0"/>
                      <w:bCs/>
                      <w:sz w:val="21"/>
                      <w:szCs w:val="21"/>
                      <w:u w:val="none" w:color="auto"/>
                      <w:vertAlign w:val="baseline"/>
                      <w:lang w:val="en-US" w:eastAsia="zh-CN"/>
                    </w:rPr>
                    <w:t>140</w:t>
                  </w:r>
                  <w:r>
                    <w:rPr>
                      <w:rFonts w:hint="eastAsia" w:ascii="Times New Roman" w:cs="Times New Roman"/>
                      <w:b w:val="0"/>
                      <w:bCs/>
                      <w:color w:val="000000"/>
                      <w:sz w:val="21"/>
                      <w:szCs w:val="21"/>
                      <w:highlight w:val="none"/>
                      <w:u w:val="none" w:color="auto"/>
                      <w:lang w:val="en-US" w:eastAsia="zh-CN"/>
                    </w:rPr>
                    <w:t>mg/L</w:t>
                  </w:r>
                </w:p>
              </w:tc>
            </w:tr>
            <w:tr w14:paraId="5FD2861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4" w:type="pct"/>
                  <w:vMerge w:val="continue"/>
                  <w:noWrap/>
                  <w:vAlign w:val="center"/>
                </w:tcPr>
                <w:p w14:paraId="251C9515">
                  <w:pPr>
                    <w:contextualSpacing/>
                    <w:jc w:val="center"/>
                    <w:textAlignment w:val="baseline"/>
                    <w:rPr>
                      <w:rFonts w:hint="default"/>
                      <w:color w:val="000000"/>
                      <w:kern w:val="0"/>
                      <w:szCs w:val="21"/>
                      <w:u w:val="none" w:color="auto"/>
                      <w:lang w:val="en-US" w:eastAsia="zh-CN"/>
                    </w:rPr>
                  </w:pPr>
                </w:p>
              </w:tc>
              <w:tc>
                <w:tcPr>
                  <w:tcW w:w="699" w:type="pct"/>
                  <w:vMerge w:val="continue"/>
                  <w:noWrap/>
                  <w:vAlign w:val="center"/>
                </w:tcPr>
                <w:p w14:paraId="7709D557">
                  <w:pPr>
                    <w:contextualSpacing/>
                    <w:jc w:val="center"/>
                    <w:textAlignment w:val="baseline"/>
                    <w:rPr>
                      <w:color w:val="000000"/>
                      <w:kern w:val="0"/>
                      <w:szCs w:val="21"/>
                      <w:u w:val="none" w:color="auto"/>
                    </w:rPr>
                  </w:pPr>
                </w:p>
              </w:tc>
              <w:tc>
                <w:tcPr>
                  <w:tcW w:w="815" w:type="pct"/>
                  <w:noWrap/>
                  <w:vAlign w:val="center"/>
                </w:tcPr>
                <w:p w14:paraId="343DD40A">
                  <w:pPr>
                    <w:contextualSpacing/>
                    <w:jc w:val="center"/>
                    <w:textAlignment w:val="baseline"/>
                    <w:rPr>
                      <w:rFonts w:hint="eastAsia"/>
                      <w:color w:val="000000"/>
                      <w:kern w:val="0"/>
                      <w:szCs w:val="21"/>
                      <w:u w:val="none" w:color="auto"/>
                      <w:lang w:val="en-US" w:eastAsia="zh-CN"/>
                    </w:rPr>
                  </w:pPr>
                  <w:r>
                    <w:rPr>
                      <w:color w:val="000000"/>
                      <w:kern w:val="0"/>
                      <w:szCs w:val="21"/>
                      <w:u w:val="none" w:color="auto"/>
                    </w:rPr>
                    <w:t>NH</w:t>
                  </w:r>
                  <w:r>
                    <w:rPr>
                      <w:color w:val="000000"/>
                      <w:kern w:val="0"/>
                      <w:szCs w:val="21"/>
                      <w:u w:val="none" w:color="auto"/>
                      <w:vertAlign w:val="subscript"/>
                    </w:rPr>
                    <w:t>3</w:t>
                  </w:r>
                  <w:r>
                    <w:rPr>
                      <w:color w:val="000000"/>
                      <w:kern w:val="0"/>
                      <w:szCs w:val="21"/>
                      <w:u w:val="none" w:color="auto"/>
                    </w:rPr>
                    <w:t>-N</w:t>
                  </w:r>
                </w:p>
              </w:tc>
              <w:tc>
                <w:tcPr>
                  <w:tcW w:w="2039" w:type="pct"/>
                  <w:vMerge w:val="continue"/>
                  <w:noWrap/>
                  <w:vAlign w:val="center"/>
                </w:tcPr>
                <w:p w14:paraId="7007748C">
                  <w:pPr>
                    <w:contextualSpacing/>
                    <w:jc w:val="center"/>
                    <w:textAlignment w:val="baseline"/>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p>
              </w:tc>
              <w:tc>
                <w:tcPr>
                  <w:tcW w:w="1041" w:type="pct"/>
                  <w:noWrap/>
                  <w:vAlign w:val="center"/>
                </w:tcPr>
                <w:p w14:paraId="538B0C7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color w:val="000000"/>
                      <w:kern w:val="0"/>
                      <w:szCs w:val="21"/>
                      <w:u w:val="none" w:color="auto"/>
                      <w:lang w:val="en-US" w:eastAsia="zh-CN"/>
                    </w:rPr>
                  </w:pPr>
                  <w:r>
                    <w:rPr>
                      <w:rFonts w:hint="eastAsia" w:ascii="Times New Roman" w:cs="Times New Roman"/>
                      <w:b w:val="0"/>
                      <w:bCs/>
                      <w:color w:val="000000"/>
                      <w:sz w:val="21"/>
                      <w:szCs w:val="21"/>
                      <w:highlight w:val="none"/>
                      <w:u w:val="none" w:color="auto"/>
                      <w:lang w:val="en-US" w:eastAsia="zh-CN"/>
                    </w:rPr>
                    <w:t>30mg/L</w:t>
                  </w:r>
                </w:p>
              </w:tc>
            </w:tr>
            <w:tr w14:paraId="184BC3D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4" w:type="pct"/>
                  <w:vMerge w:val="continue"/>
                  <w:noWrap/>
                  <w:vAlign w:val="center"/>
                </w:tcPr>
                <w:p w14:paraId="0471C5D7">
                  <w:pPr>
                    <w:contextualSpacing/>
                    <w:jc w:val="center"/>
                    <w:textAlignment w:val="baseline"/>
                    <w:rPr>
                      <w:rFonts w:hint="default"/>
                      <w:color w:val="000000"/>
                      <w:kern w:val="0"/>
                      <w:szCs w:val="21"/>
                      <w:u w:val="none" w:color="auto"/>
                      <w:lang w:val="en-US" w:eastAsia="zh-CN"/>
                    </w:rPr>
                  </w:pPr>
                </w:p>
              </w:tc>
              <w:tc>
                <w:tcPr>
                  <w:tcW w:w="699" w:type="pct"/>
                  <w:vMerge w:val="continue"/>
                  <w:noWrap/>
                  <w:vAlign w:val="center"/>
                </w:tcPr>
                <w:p w14:paraId="59F9204F">
                  <w:pPr>
                    <w:contextualSpacing/>
                    <w:jc w:val="center"/>
                    <w:textAlignment w:val="baseline"/>
                    <w:rPr>
                      <w:color w:val="000000"/>
                      <w:kern w:val="0"/>
                      <w:szCs w:val="21"/>
                      <w:u w:val="none" w:color="auto"/>
                    </w:rPr>
                  </w:pPr>
                </w:p>
              </w:tc>
              <w:tc>
                <w:tcPr>
                  <w:tcW w:w="815" w:type="pct"/>
                  <w:noWrap/>
                  <w:vAlign w:val="center"/>
                </w:tcPr>
                <w:p w14:paraId="757DDEC2">
                  <w:pPr>
                    <w:contextualSpacing/>
                    <w:jc w:val="center"/>
                    <w:textAlignment w:val="baseline"/>
                    <w:rPr>
                      <w:rFonts w:hint="eastAsia"/>
                      <w:color w:val="000000"/>
                      <w:kern w:val="0"/>
                      <w:szCs w:val="21"/>
                      <w:u w:val="none" w:color="auto"/>
                      <w:lang w:val="en-US" w:eastAsia="zh-CN"/>
                    </w:rPr>
                  </w:pPr>
                  <w:r>
                    <w:rPr>
                      <w:color w:val="000000"/>
                      <w:kern w:val="0"/>
                      <w:szCs w:val="21"/>
                      <w:u w:val="none" w:color="auto"/>
                    </w:rPr>
                    <w:t>TP</w:t>
                  </w:r>
                </w:p>
              </w:tc>
              <w:tc>
                <w:tcPr>
                  <w:tcW w:w="2039" w:type="pct"/>
                  <w:vMerge w:val="continue"/>
                  <w:noWrap/>
                  <w:vAlign w:val="center"/>
                </w:tcPr>
                <w:p w14:paraId="77194CD2">
                  <w:pPr>
                    <w:contextualSpacing/>
                    <w:jc w:val="center"/>
                    <w:textAlignment w:val="baseline"/>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p>
              </w:tc>
              <w:tc>
                <w:tcPr>
                  <w:tcW w:w="1041" w:type="pct"/>
                  <w:noWrap/>
                  <w:vAlign w:val="center"/>
                </w:tcPr>
                <w:p w14:paraId="746C0FF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color w:val="000000"/>
                      <w:kern w:val="0"/>
                      <w:szCs w:val="21"/>
                      <w:u w:val="none" w:color="auto"/>
                      <w:lang w:val="en-US" w:eastAsia="zh-CN"/>
                    </w:rPr>
                  </w:pPr>
                  <w:r>
                    <w:rPr>
                      <w:rFonts w:hint="eastAsia" w:ascii="Times New Roman" w:cs="Times New Roman"/>
                      <w:b w:val="0"/>
                      <w:bCs/>
                      <w:color w:val="000000"/>
                      <w:sz w:val="21"/>
                      <w:szCs w:val="21"/>
                      <w:highlight w:val="none"/>
                      <w:u w:val="none" w:color="auto"/>
                      <w:lang w:val="en-US" w:eastAsia="zh-CN"/>
                    </w:rPr>
                    <w:t>2.0mg/L</w:t>
                  </w:r>
                </w:p>
              </w:tc>
            </w:tr>
            <w:tr w14:paraId="7CD1993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4" w:type="pct"/>
                  <w:vMerge w:val="continue"/>
                  <w:noWrap/>
                  <w:vAlign w:val="center"/>
                </w:tcPr>
                <w:p w14:paraId="3029DB65">
                  <w:pPr>
                    <w:contextualSpacing/>
                    <w:jc w:val="center"/>
                    <w:textAlignment w:val="baseline"/>
                    <w:rPr>
                      <w:rFonts w:hint="default"/>
                      <w:color w:val="000000"/>
                      <w:kern w:val="0"/>
                      <w:szCs w:val="21"/>
                      <w:u w:val="none" w:color="auto"/>
                      <w:lang w:val="en-US" w:eastAsia="zh-CN"/>
                    </w:rPr>
                  </w:pPr>
                </w:p>
              </w:tc>
              <w:tc>
                <w:tcPr>
                  <w:tcW w:w="699" w:type="pct"/>
                  <w:vMerge w:val="continue"/>
                  <w:noWrap/>
                  <w:vAlign w:val="center"/>
                </w:tcPr>
                <w:p w14:paraId="2CDAA6AE">
                  <w:pPr>
                    <w:contextualSpacing/>
                    <w:jc w:val="center"/>
                    <w:textAlignment w:val="baseline"/>
                    <w:rPr>
                      <w:color w:val="000000"/>
                      <w:kern w:val="0"/>
                      <w:szCs w:val="21"/>
                      <w:u w:val="none" w:color="auto"/>
                    </w:rPr>
                  </w:pPr>
                </w:p>
              </w:tc>
              <w:tc>
                <w:tcPr>
                  <w:tcW w:w="815" w:type="pct"/>
                  <w:noWrap/>
                  <w:vAlign w:val="center"/>
                </w:tcPr>
                <w:p w14:paraId="5D1E2F23">
                  <w:pPr>
                    <w:contextualSpacing/>
                    <w:jc w:val="center"/>
                    <w:textAlignment w:val="baseline"/>
                    <w:rPr>
                      <w:rFonts w:hint="eastAsia"/>
                      <w:color w:val="000000"/>
                      <w:kern w:val="0"/>
                      <w:szCs w:val="21"/>
                      <w:u w:val="none" w:color="auto"/>
                      <w:lang w:val="en-US" w:eastAsia="zh-CN"/>
                    </w:rPr>
                  </w:pPr>
                  <w:r>
                    <w:rPr>
                      <w:color w:val="000000"/>
                      <w:kern w:val="0"/>
                      <w:szCs w:val="21"/>
                      <w:u w:val="none" w:color="auto"/>
                    </w:rPr>
                    <w:t>TN</w:t>
                  </w:r>
                </w:p>
              </w:tc>
              <w:tc>
                <w:tcPr>
                  <w:tcW w:w="2039" w:type="pct"/>
                  <w:vMerge w:val="continue"/>
                  <w:noWrap/>
                  <w:vAlign w:val="center"/>
                </w:tcPr>
                <w:p w14:paraId="5CE4D04E">
                  <w:pPr>
                    <w:contextualSpacing/>
                    <w:jc w:val="center"/>
                    <w:textAlignment w:val="baseline"/>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p>
              </w:tc>
              <w:tc>
                <w:tcPr>
                  <w:tcW w:w="1041" w:type="pct"/>
                  <w:noWrap/>
                  <w:vAlign w:val="center"/>
                </w:tcPr>
                <w:p w14:paraId="2D39071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color w:val="000000"/>
                      <w:kern w:val="0"/>
                      <w:szCs w:val="21"/>
                      <w:u w:val="none" w:color="auto"/>
                      <w:lang w:val="en-US" w:eastAsia="zh-CN"/>
                    </w:rPr>
                  </w:pPr>
                  <w:r>
                    <w:rPr>
                      <w:rFonts w:hint="eastAsia" w:ascii="Times New Roman" w:cs="Times New Roman"/>
                      <w:b w:val="0"/>
                      <w:bCs/>
                      <w:color w:val="auto"/>
                      <w:sz w:val="21"/>
                      <w:szCs w:val="21"/>
                      <w:u w:val="none" w:color="auto"/>
                      <w:lang w:val="en-US" w:eastAsia="zh-CN"/>
                    </w:rPr>
                    <w:t>40</w:t>
                  </w:r>
                  <w:r>
                    <w:rPr>
                      <w:rFonts w:hint="eastAsia" w:ascii="Times New Roman" w:cs="Times New Roman"/>
                      <w:b w:val="0"/>
                      <w:bCs/>
                      <w:color w:val="000000"/>
                      <w:sz w:val="21"/>
                      <w:szCs w:val="21"/>
                      <w:highlight w:val="none"/>
                      <w:u w:val="none" w:color="auto"/>
                      <w:lang w:val="en-US" w:eastAsia="zh-CN"/>
                    </w:rPr>
                    <w:t>mg/L</w:t>
                  </w:r>
                </w:p>
              </w:tc>
            </w:tr>
            <w:tr w14:paraId="2186217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4" w:type="pct"/>
                  <w:vMerge w:val="continue"/>
                  <w:noWrap/>
                  <w:vAlign w:val="center"/>
                </w:tcPr>
                <w:p w14:paraId="558B3647">
                  <w:pPr>
                    <w:contextualSpacing/>
                    <w:jc w:val="center"/>
                    <w:textAlignment w:val="baseline"/>
                    <w:rPr>
                      <w:rFonts w:hint="default"/>
                      <w:color w:val="000000"/>
                      <w:kern w:val="0"/>
                      <w:szCs w:val="21"/>
                      <w:u w:val="none" w:color="auto"/>
                      <w:lang w:val="en-US" w:eastAsia="zh-CN"/>
                    </w:rPr>
                  </w:pPr>
                </w:p>
              </w:tc>
              <w:tc>
                <w:tcPr>
                  <w:tcW w:w="699" w:type="pct"/>
                  <w:vMerge w:val="continue"/>
                  <w:noWrap/>
                  <w:vAlign w:val="center"/>
                </w:tcPr>
                <w:p w14:paraId="6BA706B7">
                  <w:pPr>
                    <w:contextualSpacing/>
                    <w:jc w:val="center"/>
                    <w:textAlignment w:val="baseline"/>
                    <w:rPr>
                      <w:color w:val="000000"/>
                      <w:kern w:val="0"/>
                      <w:szCs w:val="21"/>
                      <w:u w:val="none" w:color="auto"/>
                    </w:rPr>
                  </w:pPr>
                </w:p>
              </w:tc>
              <w:tc>
                <w:tcPr>
                  <w:tcW w:w="815" w:type="pct"/>
                  <w:noWrap/>
                  <w:vAlign w:val="center"/>
                </w:tcPr>
                <w:p w14:paraId="1FBB209D">
                  <w:pPr>
                    <w:contextualSpacing/>
                    <w:jc w:val="center"/>
                    <w:textAlignment w:val="baseline"/>
                    <w:rPr>
                      <w:rFonts w:hint="eastAsia" w:eastAsia="宋体"/>
                      <w:color w:val="000000"/>
                      <w:kern w:val="0"/>
                      <w:szCs w:val="21"/>
                      <w:u w:val="none" w:color="auto"/>
                      <w:lang w:val="en-US" w:eastAsia="zh-CN"/>
                    </w:rPr>
                  </w:pPr>
                  <w:r>
                    <w:rPr>
                      <w:rFonts w:hint="eastAsia"/>
                      <w:color w:val="000000"/>
                      <w:kern w:val="0"/>
                      <w:szCs w:val="21"/>
                      <w:u w:val="none" w:color="auto"/>
                      <w:lang w:val="en-US" w:eastAsia="zh-CN"/>
                    </w:rPr>
                    <w:t>总锰</w:t>
                  </w:r>
                </w:p>
              </w:tc>
              <w:tc>
                <w:tcPr>
                  <w:tcW w:w="2039" w:type="pct"/>
                  <w:vMerge w:val="continue"/>
                  <w:noWrap/>
                  <w:vAlign w:val="center"/>
                </w:tcPr>
                <w:p w14:paraId="5B73F11E">
                  <w:pPr>
                    <w:contextualSpacing/>
                    <w:jc w:val="center"/>
                    <w:textAlignment w:val="baseline"/>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p>
              </w:tc>
              <w:tc>
                <w:tcPr>
                  <w:tcW w:w="1041" w:type="pct"/>
                  <w:noWrap/>
                  <w:vAlign w:val="center"/>
                </w:tcPr>
                <w:p w14:paraId="0A96D59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color w:val="000000"/>
                      <w:kern w:val="0"/>
                      <w:szCs w:val="21"/>
                      <w:u w:val="none" w:color="auto"/>
                      <w:lang w:val="en-US" w:eastAsia="zh-CN"/>
                    </w:rPr>
                  </w:pPr>
                  <w:r>
                    <w:rPr>
                      <w:rFonts w:hint="eastAsia" w:ascii="Times New Roman" w:cs="Times New Roman"/>
                      <w:b w:val="0"/>
                      <w:bCs/>
                      <w:color w:val="auto"/>
                      <w:sz w:val="21"/>
                      <w:szCs w:val="21"/>
                      <w:u w:val="none" w:color="auto"/>
                      <w:lang w:val="en-US" w:eastAsia="zh-CN"/>
                    </w:rPr>
                    <w:t>1.5</w:t>
                  </w:r>
                  <w:r>
                    <w:rPr>
                      <w:rFonts w:hint="eastAsia" w:ascii="Times New Roman" w:cs="Times New Roman"/>
                      <w:b w:val="0"/>
                      <w:bCs/>
                      <w:color w:val="000000"/>
                      <w:sz w:val="21"/>
                      <w:szCs w:val="21"/>
                      <w:highlight w:val="none"/>
                      <w:u w:val="none" w:color="auto"/>
                      <w:lang w:val="en-US" w:eastAsia="zh-CN"/>
                    </w:rPr>
                    <w:t>mg/L</w:t>
                  </w:r>
                </w:p>
              </w:tc>
            </w:tr>
            <w:tr w14:paraId="4973023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9" w:type="dxa"/>
                  <w:vMerge w:val="restart"/>
                  <w:noWrap/>
                  <w:vAlign w:val="center"/>
                </w:tcPr>
                <w:p w14:paraId="4D6044FF">
                  <w:pPr>
                    <w:contextualSpacing/>
                    <w:jc w:val="center"/>
                    <w:textAlignment w:val="baseline"/>
                    <w:rPr>
                      <w:rFonts w:hint="default"/>
                      <w:color w:val="000000"/>
                      <w:kern w:val="0"/>
                      <w:szCs w:val="21"/>
                      <w:u w:val="none" w:color="auto"/>
                      <w:lang w:val="en-US" w:eastAsia="zh-CN"/>
                    </w:rPr>
                  </w:pPr>
                  <w:r>
                    <w:rPr>
                      <w:rFonts w:hint="eastAsia"/>
                      <w:color w:val="000000"/>
                      <w:kern w:val="0"/>
                      <w:szCs w:val="21"/>
                      <w:u w:val="none" w:color="auto"/>
                      <w:lang w:val="en-US" w:eastAsia="zh-CN"/>
                    </w:rPr>
                    <w:t>3</w:t>
                  </w:r>
                </w:p>
              </w:tc>
              <w:tc>
                <w:tcPr>
                  <w:tcW w:w="1105" w:type="dxa"/>
                  <w:vMerge w:val="restart"/>
                  <w:noWrap/>
                  <w:vAlign w:val="center"/>
                </w:tcPr>
                <w:p w14:paraId="689F8DA9">
                  <w:pPr>
                    <w:contextualSpacing/>
                    <w:jc w:val="center"/>
                    <w:textAlignment w:val="baseline"/>
                    <w:rPr>
                      <w:color w:val="000000"/>
                      <w:kern w:val="0"/>
                      <w:szCs w:val="21"/>
                      <w:u w:val="none" w:color="auto"/>
                    </w:rPr>
                  </w:pPr>
                  <w:r>
                    <w:rPr>
                      <w:color w:val="000000"/>
                      <w:kern w:val="0"/>
                      <w:szCs w:val="21"/>
                      <w:u w:val="none" w:color="auto"/>
                    </w:rPr>
                    <w:t>DW00</w:t>
                  </w:r>
                  <w:r>
                    <w:rPr>
                      <w:rFonts w:hint="eastAsia"/>
                      <w:color w:val="000000"/>
                      <w:kern w:val="0"/>
                      <w:szCs w:val="21"/>
                      <w:u w:val="none" w:color="auto"/>
                      <w:lang w:val="en-US" w:eastAsia="zh-CN"/>
                    </w:rPr>
                    <w:t>3</w:t>
                  </w:r>
                  <w:r>
                    <w:rPr>
                      <w:rFonts w:hint="eastAsia"/>
                      <w:color w:val="000000"/>
                      <w:kern w:val="0"/>
                      <w:szCs w:val="21"/>
                      <w:u w:val="none" w:color="auto"/>
                      <w:lang w:eastAsia="zh-CN"/>
                    </w:rPr>
                    <w:t>（</w:t>
                  </w:r>
                  <w:r>
                    <w:rPr>
                      <w:rFonts w:hint="eastAsia"/>
                      <w:color w:val="000000"/>
                      <w:kern w:val="0"/>
                      <w:szCs w:val="21"/>
                      <w:u w:val="none" w:color="auto"/>
                      <w:lang w:val="en-US" w:eastAsia="zh-CN"/>
                    </w:rPr>
                    <w:t>车间处理设施排放口</w:t>
                  </w:r>
                  <w:r>
                    <w:rPr>
                      <w:rFonts w:hint="eastAsia"/>
                      <w:color w:val="000000"/>
                      <w:kern w:val="0"/>
                      <w:szCs w:val="21"/>
                      <w:u w:val="none" w:color="auto"/>
                      <w:lang w:eastAsia="zh-CN"/>
                    </w:rPr>
                    <w:t>）</w:t>
                  </w:r>
                </w:p>
              </w:tc>
              <w:tc>
                <w:tcPr>
                  <w:tcW w:w="1289" w:type="dxa"/>
                  <w:noWrap/>
                  <w:vAlign w:val="center"/>
                </w:tcPr>
                <w:p w14:paraId="228ACBC8">
                  <w:pPr>
                    <w:contextualSpacing/>
                    <w:jc w:val="center"/>
                    <w:textAlignment w:val="baseline"/>
                    <w:rPr>
                      <w:rFonts w:hint="eastAsia"/>
                      <w:color w:val="000000"/>
                      <w:kern w:val="0"/>
                      <w:szCs w:val="21"/>
                      <w:u w:val="none" w:color="auto"/>
                      <w:lang w:val="en-US" w:eastAsia="zh-CN"/>
                    </w:rPr>
                  </w:pPr>
                  <w:r>
                    <w:rPr>
                      <w:rFonts w:hint="eastAsia" w:cs="Times New Roman"/>
                      <w:color w:val="000000"/>
                      <w:kern w:val="0"/>
                      <w:szCs w:val="21"/>
                      <w:u w:val="none" w:color="auto"/>
                      <w:lang w:val="en-US" w:eastAsia="zh-CN"/>
                    </w:rPr>
                    <w:t>总镍</w:t>
                  </w:r>
                </w:p>
              </w:tc>
              <w:tc>
                <w:tcPr>
                  <w:tcW w:w="3224" w:type="dxa"/>
                  <w:vMerge w:val="restart"/>
                  <w:noWrap/>
                  <w:vAlign w:val="center"/>
                </w:tcPr>
                <w:p w14:paraId="1DF574DA">
                  <w:pPr>
                    <w:contextualSpacing/>
                    <w:jc w:val="center"/>
                    <w:textAlignment w:val="baseline"/>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bCs/>
                      <w:szCs w:val="21"/>
                      <w:u w:val="none" w:color="auto"/>
                      <w:lang w:val="pt-BR"/>
                    </w:rPr>
                    <w:t>《电池工业污染物排放标准》（GB30484-2013）表2</w:t>
                  </w:r>
                  <w:r>
                    <w:rPr>
                      <w:rFonts w:hint="eastAsia" w:ascii="Times New Roman" w:cs="Times New Roman"/>
                      <w:b w:val="0"/>
                      <w:bCs/>
                      <w:sz w:val="21"/>
                      <w:szCs w:val="21"/>
                      <w:u w:val="none" w:color="auto"/>
                      <w:lang w:val="en-US" w:eastAsia="zh-CN"/>
                    </w:rPr>
                    <w:t>车间处理设施总排口</w:t>
                  </w:r>
                </w:p>
              </w:tc>
              <w:tc>
                <w:tcPr>
                  <w:tcW w:w="1646" w:type="dxa"/>
                  <w:noWrap/>
                  <w:vAlign w:val="center"/>
                </w:tcPr>
                <w:p w14:paraId="0F594687">
                  <w:pPr>
                    <w:contextualSpacing/>
                    <w:jc w:val="center"/>
                    <w:textAlignment w:val="baseline"/>
                    <w:rPr>
                      <w:rFonts w:hint="eastAsia" w:ascii="Times New Roman" w:cs="Times New Roman"/>
                      <w:b w:val="0"/>
                      <w:bCs/>
                      <w:color w:val="auto"/>
                      <w:sz w:val="21"/>
                      <w:szCs w:val="21"/>
                      <w:u w:val="none" w:color="auto"/>
                      <w:lang w:val="en-US" w:eastAsia="zh-CN"/>
                    </w:rPr>
                  </w:pPr>
                  <w:r>
                    <w:rPr>
                      <w:rFonts w:hint="eastAsia"/>
                      <w:color w:val="000000"/>
                      <w:kern w:val="0"/>
                      <w:szCs w:val="21"/>
                      <w:u w:val="none" w:color="auto"/>
                      <w:lang w:val="en-US" w:eastAsia="zh-CN"/>
                    </w:rPr>
                    <w:t>0.5mg/L</w:t>
                  </w:r>
                </w:p>
              </w:tc>
            </w:tr>
            <w:tr w14:paraId="4421D13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9" w:type="dxa"/>
                  <w:vMerge w:val="continue"/>
                  <w:noWrap/>
                  <w:vAlign w:val="center"/>
                </w:tcPr>
                <w:p w14:paraId="49997904">
                  <w:pPr>
                    <w:contextualSpacing/>
                    <w:jc w:val="center"/>
                    <w:textAlignment w:val="baseline"/>
                    <w:rPr>
                      <w:rFonts w:hint="default"/>
                      <w:color w:val="000000"/>
                      <w:kern w:val="0"/>
                      <w:szCs w:val="21"/>
                      <w:u w:val="none" w:color="auto"/>
                      <w:lang w:val="en-US" w:eastAsia="zh-CN"/>
                    </w:rPr>
                  </w:pPr>
                </w:p>
              </w:tc>
              <w:tc>
                <w:tcPr>
                  <w:tcW w:w="1105" w:type="dxa"/>
                  <w:vMerge w:val="continue"/>
                  <w:noWrap/>
                  <w:vAlign w:val="center"/>
                </w:tcPr>
                <w:p w14:paraId="1513D0AB">
                  <w:pPr>
                    <w:contextualSpacing/>
                    <w:jc w:val="center"/>
                    <w:textAlignment w:val="baseline"/>
                    <w:rPr>
                      <w:rFonts w:hint="eastAsia" w:eastAsia="宋体"/>
                      <w:color w:val="000000"/>
                      <w:kern w:val="0"/>
                      <w:szCs w:val="21"/>
                      <w:u w:val="none" w:color="auto"/>
                      <w:lang w:eastAsia="zh-CN"/>
                    </w:rPr>
                  </w:pPr>
                </w:p>
              </w:tc>
              <w:tc>
                <w:tcPr>
                  <w:tcW w:w="1289" w:type="dxa"/>
                  <w:noWrap/>
                  <w:vAlign w:val="center"/>
                </w:tcPr>
                <w:p w14:paraId="7D72FA4D">
                  <w:pPr>
                    <w:contextualSpacing/>
                    <w:jc w:val="center"/>
                    <w:textAlignment w:val="baseline"/>
                    <w:rPr>
                      <w:rFonts w:hint="eastAsia"/>
                      <w:color w:val="000000"/>
                      <w:kern w:val="0"/>
                      <w:szCs w:val="21"/>
                      <w:u w:val="none" w:color="auto"/>
                      <w:lang w:val="en-US" w:eastAsia="zh-CN"/>
                    </w:rPr>
                  </w:pPr>
                  <w:r>
                    <w:rPr>
                      <w:rFonts w:hint="eastAsia" w:cs="Times New Roman"/>
                      <w:color w:val="000000"/>
                      <w:kern w:val="0"/>
                      <w:szCs w:val="21"/>
                      <w:u w:val="none" w:color="auto"/>
                      <w:lang w:val="en-US" w:eastAsia="zh-CN"/>
                    </w:rPr>
                    <w:t>总钴</w:t>
                  </w:r>
                </w:p>
              </w:tc>
              <w:tc>
                <w:tcPr>
                  <w:tcW w:w="3224" w:type="dxa"/>
                  <w:vMerge w:val="continue"/>
                  <w:noWrap/>
                  <w:vAlign w:val="center"/>
                </w:tcPr>
                <w:p w14:paraId="2C2785D1">
                  <w:pPr>
                    <w:contextualSpacing/>
                    <w:jc w:val="center"/>
                    <w:textAlignment w:val="baseline"/>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p>
              </w:tc>
              <w:tc>
                <w:tcPr>
                  <w:tcW w:w="1646" w:type="dxa"/>
                  <w:noWrap/>
                  <w:vAlign w:val="center"/>
                </w:tcPr>
                <w:p w14:paraId="79A1540F">
                  <w:pPr>
                    <w:contextualSpacing/>
                    <w:jc w:val="center"/>
                    <w:textAlignment w:val="baseline"/>
                    <w:rPr>
                      <w:rFonts w:hint="eastAsia" w:ascii="Times New Roman" w:cs="Times New Roman"/>
                      <w:b w:val="0"/>
                      <w:bCs/>
                      <w:color w:val="auto"/>
                      <w:sz w:val="21"/>
                      <w:szCs w:val="21"/>
                      <w:u w:val="none" w:color="auto"/>
                      <w:lang w:val="en-US" w:eastAsia="zh-CN"/>
                    </w:rPr>
                  </w:pPr>
                  <w:r>
                    <w:rPr>
                      <w:rFonts w:hint="eastAsia"/>
                      <w:color w:val="000000"/>
                      <w:kern w:val="0"/>
                      <w:szCs w:val="21"/>
                      <w:u w:val="none" w:color="auto"/>
                      <w:lang w:val="en-US" w:eastAsia="zh-CN"/>
                    </w:rPr>
                    <w:t>0.1mg/L</w:t>
                  </w:r>
                </w:p>
              </w:tc>
            </w:tr>
            <w:tr w14:paraId="50B8BA8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noWrap/>
                  <w:vAlign w:val="center"/>
                </w:tcPr>
                <w:p w14:paraId="77694989">
                  <w:pPr>
                    <w:contextualSpacing/>
                    <w:jc w:val="both"/>
                    <w:textAlignment w:val="baseline"/>
                    <w:rPr>
                      <w:rFonts w:hint="default"/>
                      <w:color w:val="000000"/>
                      <w:kern w:val="0"/>
                      <w:szCs w:val="21"/>
                      <w:u w:val="none" w:color="auto"/>
                      <w:lang w:val="en-US" w:eastAsia="zh-CN"/>
                    </w:rPr>
                  </w:pPr>
                  <w:r>
                    <w:rPr>
                      <w:rFonts w:hint="eastAsia"/>
                      <w:color w:val="000000"/>
                      <w:kern w:val="0"/>
                      <w:szCs w:val="21"/>
                      <w:u w:val="none" w:color="auto"/>
                      <w:lang w:val="en-US" w:eastAsia="zh-CN"/>
                    </w:rPr>
                    <w:t>备注：</w:t>
                  </w:r>
                  <w:r>
                    <w:rPr>
                      <w:rFonts w:hint="eastAsia"/>
                      <w:szCs w:val="21"/>
                      <w:u w:val="none" w:color="auto"/>
                      <w:lang w:val="en-US" w:eastAsia="zh-CN"/>
                    </w:rPr>
                    <w:t>总镍参照镉镍/氢镍电池</w:t>
                  </w:r>
                  <w:r>
                    <w:rPr>
                      <w:rFonts w:hint="eastAsia" w:ascii="Times New Roman" w:cs="Times New Roman"/>
                      <w:b w:val="0"/>
                      <w:bCs/>
                      <w:sz w:val="21"/>
                      <w:szCs w:val="21"/>
                      <w:u w:val="none" w:color="auto"/>
                      <w:lang w:val="en-US" w:eastAsia="zh-CN"/>
                    </w:rPr>
                    <w:t>车间或车间处理设施总排口</w:t>
                  </w:r>
                  <w:r>
                    <w:rPr>
                      <w:rFonts w:hint="eastAsia" w:cs="Times New Roman"/>
                      <w:b w:val="0"/>
                      <w:bCs/>
                      <w:sz w:val="21"/>
                      <w:szCs w:val="21"/>
                      <w:u w:val="none" w:color="auto"/>
                      <w:lang w:val="en-US" w:eastAsia="zh-CN"/>
                    </w:rPr>
                    <w:t>限值，</w:t>
                  </w:r>
                  <w:r>
                    <w:rPr>
                      <w:rFonts w:hint="eastAsia"/>
                      <w:szCs w:val="21"/>
                      <w:u w:val="none" w:color="auto"/>
                      <w:lang w:val="en-US" w:eastAsia="zh-CN"/>
                    </w:rPr>
                    <w:t>总锰参照</w:t>
                  </w:r>
                  <w:r>
                    <w:rPr>
                      <w:szCs w:val="21"/>
                      <w:u w:val="none" w:color="auto"/>
                    </w:rPr>
                    <w:t>《电池工业污染物排放标准》（GB30484-2013）</w:t>
                  </w:r>
                  <w:r>
                    <w:rPr>
                      <w:rFonts w:hint="eastAsia"/>
                      <w:szCs w:val="21"/>
                      <w:u w:val="none" w:color="auto"/>
                      <w:lang w:val="en-US" w:eastAsia="zh-CN"/>
                    </w:rPr>
                    <w:t>表2中污染物锌锰/锌银/锌空气电池直接排放标准。</w:t>
                  </w:r>
                </w:p>
              </w:tc>
            </w:tr>
          </w:tbl>
          <w:p w14:paraId="6802DC28">
            <w:pPr>
              <w:pStyle w:val="17"/>
              <w:keepNext/>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 w:val="0"/>
                <w:color w:val="auto"/>
                <w:kern w:val="0"/>
                <w:sz w:val="24"/>
                <w:szCs w:val="20"/>
                <w:u w:val="none" w:color="auto"/>
                <w:lang w:val="en-US" w:eastAsia="zh-CN" w:bidi="ar-SA"/>
              </w:rPr>
            </w:pPr>
            <w:r>
              <w:rPr>
                <w:rFonts w:hint="default" w:ascii="Times New Roman" w:hAnsi="Times New Roman" w:eastAsia="宋体" w:cs="Times New Roman"/>
                <w:b w:val="0"/>
                <w:color w:val="auto"/>
                <w:kern w:val="0"/>
                <w:sz w:val="24"/>
                <w:szCs w:val="20"/>
                <w:u w:val="none" w:color="auto"/>
                <w:lang w:val="en-US" w:eastAsia="zh-CN" w:bidi="ar-SA"/>
              </w:rPr>
              <w:t>（</w:t>
            </w:r>
            <w:r>
              <w:rPr>
                <w:rFonts w:hint="eastAsia" w:eastAsia="宋体" w:cs="Times New Roman"/>
                <w:b w:val="0"/>
                <w:color w:val="auto"/>
                <w:kern w:val="0"/>
                <w:sz w:val="24"/>
                <w:szCs w:val="20"/>
                <w:u w:val="none" w:color="auto"/>
                <w:lang w:val="en-US" w:eastAsia="zh-CN" w:bidi="ar-SA"/>
              </w:rPr>
              <w:t>4</w:t>
            </w:r>
            <w:r>
              <w:rPr>
                <w:rFonts w:hint="default" w:ascii="Times New Roman" w:hAnsi="Times New Roman" w:eastAsia="宋体" w:cs="Times New Roman"/>
                <w:b w:val="0"/>
                <w:color w:val="auto"/>
                <w:kern w:val="0"/>
                <w:sz w:val="24"/>
                <w:szCs w:val="20"/>
                <w:u w:val="none" w:color="auto"/>
                <w:lang w:val="en-US" w:eastAsia="zh-CN" w:bidi="ar-SA"/>
              </w:rPr>
              <w:t>）废水污染物排放</w:t>
            </w:r>
            <w:r>
              <w:rPr>
                <w:rFonts w:hint="eastAsia" w:eastAsia="宋体" w:cs="Times New Roman"/>
                <w:b w:val="0"/>
                <w:color w:val="auto"/>
                <w:kern w:val="0"/>
                <w:sz w:val="24"/>
                <w:szCs w:val="20"/>
                <w:u w:val="none" w:color="auto"/>
                <w:lang w:val="en-US" w:eastAsia="zh-CN" w:bidi="ar-SA"/>
              </w:rPr>
              <w:t>信息表</w:t>
            </w:r>
          </w:p>
          <w:p w14:paraId="78F8C86C">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2" w:firstLineChars="200"/>
              <w:jc w:val="center"/>
              <w:textAlignment w:val="auto"/>
              <w:rPr>
                <w:rFonts w:hint="eastAsia" w:ascii="Times New Roman" w:hAnsi="Times New Roman" w:eastAsia="宋体" w:cs="Times New Roman"/>
                <w:b/>
                <w:color w:val="000000"/>
                <w:sz w:val="24"/>
                <w:u w:val="none" w:color="auto"/>
                <w:lang w:val="en-US" w:eastAsia="zh-CN"/>
              </w:rPr>
            </w:pPr>
            <w:r>
              <w:rPr>
                <w:rFonts w:hint="default" w:ascii="Times New Roman" w:hAnsi="Times New Roman" w:eastAsia="宋体" w:cs="Times New Roman"/>
                <w:b/>
                <w:color w:val="000000"/>
                <w:sz w:val="24"/>
                <w:u w:val="none" w:color="auto"/>
                <w:lang w:val="en-US" w:eastAsia="zh-CN"/>
              </w:rPr>
              <w:t>表</w:t>
            </w:r>
            <w:r>
              <w:rPr>
                <w:rFonts w:hint="eastAsia" w:ascii="Times New Roman" w:hAnsi="Times New Roman" w:eastAsia="宋体" w:cs="Times New Roman"/>
                <w:b/>
                <w:color w:val="000000"/>
                <w:sz w:val="24"/>
                <w:u w:val="none" w:color="auto"/>
                <w:lang w:val="en-US" w:eastAsia="zh-CN"/>
              </w:rPr>
              <w:t>4-1</w:t>
            </w:r>
            <w:r>
              <w:rPr>
                <w:rFonts w:hint="eastAsia" w:cs="Times New Roman"/>
                <w:b/>
                <w:color w:val="000000"/>
                <w:sz w:val="24"/>
                <w:u w:val="none" w:color="auto"/>
                <w:lang w:val="en-US" w:eastAsia="zh-CN"/>
              </w:rPr>
              <w:t>8</w:t>
            </w:r>
            <w:r>
              <w:rPr>
                <w:rFonts w:hint="default" w:ascii="Times New Roman" w:hAnsi="Times New Roman" w:eastAsia="宋体" w:cs="Times New Roman"/>
                <w:b/>
                <w:color w:val="000000"/>
                <w:sz w:val="24"/>
                <w:u w:val="none" w:color="auto"/>
                <w:lang w:val="en-US" w:eastAsia="zh-CN"/>
              </w:rPr>
              <w:t xml:space="preserve"> </w:t>
            </w:r>
            <w:r>
              <w:rPr>
                <w:rFonts w:hint="eastAsia" w:ascii="Times New Roman" w:hAnsi="Times New Roman" w:eastAsia="宋体" w:cs="Times New Roman"/>
                <w:b/>
                <w:color w:val="000000"/>
                <w:sz w:val="24"/>
                <w:u w:val="none" w:color="auto"/>
                <w:lang w:val="en-US" w:eastAsia="zh-CN"/>
              </w:rPr>
              <w:t xml:space="preserve">  </w:t>
            </w:r>
            <w:r>
              <w:rPr>
                <w:rFonts w:hint="default" w:ascii="Times New Roman" w:hAnsi="Times New Roman" w:eastAsia="宋体" w:cs="Times New Roman"/>
                <w:b/>
                <w:color w:val="000000"/>
                <w:sz w:val="24"/>
                <w:u w:val="none" w:color="auto"/>
                <w:lang w:val="en-US" w:eastAsia="zh-CN"/>
              </w:rPr>
              <w:t xml:space="preserve"> </w:t>
            </w:r>
            <w:r>
              <w:rPr>
                <w:rFonts w:hint="eastAsia" w:ascii="Times New Roman" w:hAnsi="Times New Roman" w:eastAsia="宋体" w:cs="Times New Roman"/>
                <w:b/>
                <w:color w:val="000000"/>
                <w:sz w:val="24"/>
                <w:u w:val="none" w:color="auto"/>
                <w:lang w:val="en-US" w:eastAsia="zh-CN"/>
              </w:rPr>
              <w:t>本项目</w:t>
            </w:r>
            <w:r>
              <w:rPr>
                <w:rFonts w:hint="default" w:ascii="Times New Roman" w:hAnsi="Times New Roman" w:eastAsia="宋体" w:cs="Times New Roman"/>
                <w:b/>
                <w:color w:val="000000"/>
                <w:sz w:val="24"/>
                <w:u w:val="none" w:color="auto"/>
                <w:lang w:val="en-US" w:eastAsia="zh-CN"/>
              </w:rPr>
              <w:t>废水污染物</w:t>
            </w:r>
            <w:r>
              <w:rPr>
                <w:rFonts w:hint="eastAsia" w:ascii="Times New Roman" w:hAnsi="Times New Roman" w:eastAsia="宋体" w:cs="Times New Roman"/>
                <w:b/>
                <w:color w:val="000000"/>
                <w:sz w:val="24"/>
                <w:u w:val="none" w:color="auto"/>
                <w:lang w:val="en-US" w:eastAsia="zh-CN"/>
              </w:rPr>
              <w:t>排放信息表</w:t>
            </w:r>
          </w:p>
          <w:tbl>
            <w:tblPr>
              <w:tblStyle w:val="32"/>
              <w:tblW w:w="8057"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677"/>
              <w:gridCol w:w="1677"/>
              <w:gridCol w:w="1836"/>
              <w:gridCol w:w="2008"/>
            </w:tblGrid>
            <w:tr w14:paraId="6BC9D8E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59" w:type="dxa"/>
                  <w:tcBorders>
                    <w:bottom w:val="single" w:color="auto" w:sz="8" w:space="0"/>
                  </w:tcBorders>
                  <w:noWrap/>
                  <w:vAlign w:val="center"/>
                </w:tcPr>
                <w:p w14:paraId="14B95D9D">
                  <w:pPr>
                    <w:jc w:val="center"/>
                    <w:rPr>
                      <w:rFonts w:cs="宋体"/>
                      <w:b/>
                      <w:color w:val="000000"/>
                      <w:szCs w:val="21"/>
                      <w:u w:val="none" w:color="auto"/>
                    </w:rPr>
                  </w:pPr>
                  <w:r>
                    <w:rPr>
                      <w:rFonts w:hint="eastAsia" w:cs="宋体"/>
                      <w:b/>
                      <w:color w:val="000000"/>
                      <w:szCs w:val="21"/>
                      <w:u w:val="none" w:color="auto"/>
                    </w:rPr>
                    <w:t>序号</w:t>
                  </w:r>
                </w:p>
              </w:tc>
              <w:tc>
                <w:tcPr>
                  <w:tcW w:w="1677" w:type="dxa"/>
                  <w:tcBorders>
                    <w:bottom w:val="single" w:color="auto" w:sz="8" w:space="0"/>
                  </w:tcBorders>
                  <w:noWrap/>
                  <w:vAlign w:val="center"/>
                </w:tcPr>
                <w:p w14:paraId="031B6414">
                  <w:pPr>
                    <w:jc w:val="center"/>
                    <w:rPr>
                      <w:rFonts w:cs="宋体"/>
                      <w:b/>
                      <w:color w:val="000000"/>
                      <w:szCs w:val="21"/>
                      <w:u w:val="none" w:color="auto"/>
                    </w:rPr>
                  </w:pPr>
                  <w:r>
                    <w:rPr>
                      <w:rFonts w:hint="eastAsia" w:cs="宋体"/>
                      <w:b/>
                      <w:color w:val="000000"/>
                      <w:szCs w:val="21"/>
                      <w:u w:val="none" w:color="auto"/>
                    </w:rPr>
                    <w:t>排放口编号</w:t>
                  </w:r>
                </w:p>
              </w:tc>
              <w:tc>
                <w:tcPr>
                  <w:tcW w:w="1677" w:type="dxa"/>
                  <w:tcBorders>
                    <w:bottom w:val="single" w:color="auto" w:sz="8" w:space="0"/>
                  </w:tcBorders>
                  <w:noWrap/>
                  <w:vAlign w:val="center"/>
                </w:tcPr>
                <w:p w14:paraId="3554A362">
                  <w:pPr>
                    <w:jc w:val="center"/>
                    <w:rPr>
                      <w:rFonts w:cs="宋体"/>
                      <w:b/>
                      <w:color w:val="000000"/>
                      <w:szCs w:val="21"/>
                      <w:u w:val="none" w:color="auto"/>
                    </w:rPr>
                  </w:pPr>
                  <w:r>
                    <w:rPr>
                      <w:rFonts w:hint="eastAsia" w:cs="宋体"/>
                      <w:b/>
                      <w:color w:val="000000"/>
                      <w:szCs w:val="21"/>
                      <w:u w:val="none" w:color="auto"/>
                    </w:rPr>
                    <w:t>污染物种类</w:t>
                  </w:r>
                </w:p>
              </w:tc>
              <w:tc>
                <w:tcPr>
                  <w:tcW w:w="1836" w:type="dxa"/>
                  <w:tcBorders>
                    <w:bottom w:val="single" w:color="auto" w:sz="8" w:space="0"/>
                  </w:tcBorders>
                  <w:noWrap/>
                  <w:vAlign w:val="center"/>
                </w:tcPr>
                <w:p w14:paraId="0BC33B50">
                  <w:pPr>
                    <w:jc w:val="center"/>
                    <w:rPr>
                      <w:rFonts w:cs="宋体"/>
                      <w:b/>
                      <w:color w:val="000000"/>
                      <w:szCs w:val="21"/>
                      <w:u w:val="none" w:color="auto"/>
                    </w:rPr>
                  </w:pPr>
                  <w:r>
                    <w:rPr>
                      <w:rFonts w:hint="eastAsia" w:cs="宋体"/>
                      <w:b/>
                      <w:color w:val="000000"/>
                      <w:szCs w:val="21"/>
                      <w:u w:val="none" w:color="auto"/>
                    </w:rPr>
                    <w:t>排放浓度</w:t>
                  </w:r>
                  <w:r>
                    <w:rPr>
                      <w:rFonts w:cs="宋体"/>
                      <w:b/>
                      <w:color w:val="000000"/>
                      <w:szCs w:val="21"/>
                      <w:u w:val="none" w:color="auto"/>
                    </w:rPr>
                    <w:t>/</w:t>
                  </w:r>
                  <w:r>
                    <w:rPr>
                      <w:rFonts w:hint="eastAsia" w:cs="宋体"/>
                      <w:b/>
                      <w:color w:val="000000"/>
                      <w:szCs w:val="21"/>
                      <w:u w:val="none" w:color="auto"/>
                    </w:rPr>
                    <w:t>（</w:t>
                  </w:r>
                  <w:r>
                    <w:rPr>
                      <w:rFonts w:cs="宋体"/>
                      <w:b/>
                      <w:color w:val="000000"/>
                      <w:szCs w:val="21"/>
                      <w:u w:val="none" w:color="auto"/>
                    </w:rPr>
                    <w:t>mg/L</w:t>
                  </w:r>
                  <w:r>
                    <w:rPr>
                      <w:rFonts w:hint="eastAsia" w:cs="宋体"/>
                      <w:b/>
                      <w:color w:val="000000"/>
                      <w:szCs w:val="21"/>
                      <w:u w:val="none" w:color="auto"/>
                    </w:rPr>
                    <w:t>）</w:t>
                  </w:r>
                </w:p>
              </w:tc>
              <w:tc>
                <w:tcPr>
                  <w:tcW w:w="2008" w:type="dxa"/>
                  <w:tcBorders>
                    <w:bottom w:val="single" w:color="auto" w:sz="8" w:space="0"/>
                  </w:tcBorders>
                  <w:noWrap/>
                  <w:vAlign w:val="center"/>
                </w:tcPr>
                <w:p w14:paraId="1F0C9A77">
                  <w:pPr>
                    <w:jc w:val="center"/>
                    <w:rPr>
                      <w:rFonts w:cs="宋体"/>
                      <w:b/>
                      <w:color w:val="000000"/>
                      <w:szCs w:val="21"/>
                      <w:u w:val="none" w:color="auto"/>
                    </w:rPr>
                  </w:pPr>
                  <w:r>
                    <w:rPr>
                      <w:rFonts w:hint="eastAsia" w:cs="宋体"/>
                      <w:b/>
                      <w:color w:val="000000"/>
                      <w:szCs w:val="21"/>
                      <w:u w:val="none" w:color="auto"/>
                    </w:rPr>
                    <w:t>年排放量</w:t>
                  </w:r>
                  <w:r>
                    <w:rPr>
                      <w:rFonts w:cs="宋体"/>
                      <w:b/>
                      <w:color w:val="000000"/>
                      <w:szCs w:val="21"/>
                      <w:u w:val="none" w:color="auto"/>
                    </w:rPr>
                    <w:t>/</w:t>
                  </w:r>
                  <w:r>
                    <w:rPr>
                      <w:rFonts w:hint="eastAsia" w:cs="宋体"/>
                      <w:b/>
                      <w:color w:val="000000"/>
                      <w:szCs w:val="21"/>
                      <w:u w:val="none" w:color="auto"/>
                    </w:rPr>
                    <w:t>（</w:t>
                  </w:r>
                  <w:r>
                    <w:rPr>
                      <w:rFonts w:cs="宋体"/>
                      <w:b/>
                      <w:color w:val="000000"/>
                      <w:szCs w:val="21"/>
                      <w:u w:val="none" w:color="auto"/>
                    </w:rPr>
                    <w:t>t/a</w:t>
                  </w:r>
                  <w:r>
                    <w:rPr>
                      <w:rFonts w:hint="eastAsia" w:cs="宋体"/>
                      <w:b/>
                      <w:color w:val="000000"/>
                      <w:szCs w:val="21"/>
                      <w:u w:val="none" w:color="auto"/>
                    </w:rPr>
                    <w:t>）</w:t>
                  </w:r>
                </w:p>
              </w:tc>
            </w:tr>
            <w:tr w14:paraId="566C4A3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9" w:type="dxa"/>
                  <w:vMerge w:val="restart"/>
                  <w:tcBorders>
                    <w:top w:val="single" w:color="auto" w:sz="8" w:space="0"/>
                  </w:tcBorders>
                  <w:noWrap/>
                  <w:vAlign w:val="center"/>
                </w:tcPr>
                <w:p w14:paraId="4EA93DD0">
                  <w:pPr>
                    <w:contextualSpacing/>
                    <w:jc w:val="center"/>
                    <w:textAlignment w:val="baseline"/>
                    <w:rPr>
                      <w:color w:val="000000"/>
                      <w:kern w:val="0"/>
                      <w:szCs w:val="21"/>
                      <w:u w:val="none" w:color="auto"/>
                    </w:rPr>
                  </w:pPr>
                  <w:r>
                    <w:rPr>
                      <w:rFonts w:hint="eastAsia"/>
                      <w:color w:val="000000"/>
                      <w:kern w:val="0"/>
                      <w:szCs w:val="21"/>
                      <w:u w:val="none" w:color="auto"/>
                    </w:rPr>
                    <w:t>1</w:t>
                  </w:r>
                </w:p>
              </w:tc>
              <w:tc>
                <w:tcPr>
                  <w:tcW w:w="1677" w:type="dxa"/>
                  <w:vMerge w:val="restart"/>
                  <w:tcBorders>
                    <w:top w:val="single" w:color="auto" w:sz="8" w:space="0"/>
                  </w:tcBorders>
                  <w:noWrap/>
                  <w:vAlign w:val="center"/>
                </w:tcPr>
                <w:p w14:paraId="596F4FA3">
                  <w:pPr>
                    <w:tabs>
                      <w:tab w:val="left" w:pos="3620"/>
                    </w:tabs>
                    <w:adjustRightInd w:val="0"/>
                    <w:snapToGrid w:val="0"/>
                    <w:jc w:val="center"/>
                    <w:rPr>
                      <w:rFonts w:hint="default" w:ascii="Times New Roman" w:hAnsi="Times New Roman" w:eastAsia="宋体" w:cs="Times New Roman"/>
                      <w:color w:val="000000" w:themeColor="text1"/>
                      <w:sz w:val="21"/>
                      <w:szCs w:val="21"/>
                      <w:u w:val="none" w:color="auto"/>
                      <w14:textFill>
                        <w14:solidFill>
                          <w14:schemeClr w14:val="tx1"/>
                        </w14:solidFill>
                      </w14:textFill>
                    </w:rPr>
                  </w:pPr>
                  <w:r>
                    <w:rPr>
                      <w:rFonts w:hint="eastAsia" w:cs="Times New Roman"/>
                      <w:color w:val="000000" w:themeColor="text1"/>
                      <w:sz w:val="21"/>
                      <w:szCs w:val="21"/>
                      <w:u w:val="none" w:color="auto"/>
                      <w:lang w:val="en-US" w:eastAsia="zh-CN"/>
                      <w14:textFill>
                        <w14:solidFill>
                          <w14:schemeClr w14:val="tx1"/>
                        </w14:solidFill>
                      </w14:textFill>
                    </w:rPr>
                    <w:t>车间排放口</w:t>
                  </w:r>
                  <w:r>
                    <w:rPr>
                      <w:rFonts w:hint="eastAsia" w:cs="Times New Roman"/>
                      <w:color w:val="000000" w:themeColor="text1"/>
                      <w:sz w:val="21"/>
                      <w:szCs w:val="21"/>
                      <w:u w:val="none" w:color="auto"/>
                      <w:lang w:eastAsia="zh-CN"/>
                      <w14:textFill>
                        <w14:solidFill>
                          <w14:schemeClr w14:val="tx1"/>
                        </w14:solidFill>
                      </w14:textFill>
                    </w:rPr>
                    <w:t>（</w:t>
                  </w:r>
                  <w:r>
                    <w:rPr>
                      <w:rFonts w:hint="eastAsia" w:cs="Times New Roman"/>
                      <w:color w:val="000000" w:themeColor="text1"/>
                      <w:sz w:val="21"/>
                      <w:szCs w:val="21"/>
                      <w:u w:val="none" w:color="auto"/>
                      <w:lang w:val="en-US" w:eastAsia="zh-CN"/>
                      <w14:textFill>
                        <w14:solidFill>
                          <w14:schemeClr w14:val="tx1"/>
                        </w14:solidFill>
                      </w14:textFill>
                    </w:rPr>
                    <w:t>DW003</w:t>
                  </w:r>
                  <w:r>
                    <w:rPr>
                      <w:rFonts w:hint="eastAsia" w:cs="Times New Roman"/>
                      <w:color w:val="000000" w:themeColor="text1"/>
                      <w:sz w:val="21"/>
                      <w:szCs w:val="21"/>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1"/>
                      <w:szCs w:val="21"/>
                      <w:u w:val="none" w:color="auto"/>
                      <w14:textFill>
                        <w14:solidFill>
                          <w14:schemeClr w14:val="tx1"/>
                        </w14:solidFill>
                      </w14:textFill>
                    </w:rPr>
                    <w:t>（</w:t>
                  </w:r>
                  <w:r>
                    <w:rPr>
                      <w:rFonts w:hint="eastAsia" w:cs="Times New Roman"/>
                      <w:color w:val="000000" w:themeColor="text1"/>
                      <w:sz w:val="21"/>
                      <w:szCs w:val="21"/>
                      <w:u w:val="none" w:color="auto"/>
                      <w:lang w:val="en-US" w:eastAsia="zh-CN"/>
                      <w14:textFill>
                        <w14:solidFill>
                          <w14:schemeClr w14:val="tx1"/>
                        </w14:solidFill>
                      </w14:textFill>
                    </w:rPr>
                    <w:t>442.2</w:t>
                  </w:r>
                  <w:r>
                    <w:rPr>
                      <w:rFonts w:hint="default" w:ascii="Times New Roman" w:hAnsi="Times New Roman" w:eastAsia="宋体" w:cs="Times New Roman"/>
                      <w:color w:val="000000" w:themeColor="text1"/>
                      <w:sz w:val="21"/>
                      <w:szCs w:val="21"/>
                      <w:u w:val="none" w:color="auto"/>
                      <w14:textFill>
                        <w14:solidFill>
                          <w14:schemeClr w14:val="tx1"/>
                        </w14:solidFill>
                      </w14:textFill>
                    </w:rPr>
                    <w:t>t/a）</w:t>
                  </w:r>
                </w:p>
              </w:tc>
              <w:tc>
                <w:tcPr>
                  <w:tcW w:w="1677" w:type="dxa"/>
                  <w:tcBorders>
                    <w:top w:val="single" w:color="auto" w:sz="8" w:space="0"/>
                  </w:tcBorders>
                  <w:noWrap/>
                  <w:vAlign w:val="center"/>
                </w:tcPr>
                <w:p w14:paraId="6D94FD12">
                  <w:pPr>
                    <w:contextualSpacing/>
                    <w:jc w:val="center"/>
                    <w:textAlignment w:val="baseline"/>
                    <w:rPr>
                      <w:rFonts w:hint="default" w:ascii="Times New Roman" w:hAnsi="Times New Roman" w:eastAsia="宋体" w:cs="Times New Roman"/>
                      <w:color w:val="000000"/>
                      <w:kern w:val="0"/>
                      <w:sz w:val="21"/>
                      <w:szCs w:val="21"/>
                      <w:u w:val="none" w:color="auto"/>
                      <w:lang w:val="en-US" w:eastAsia="zh-CN"/>
                    </w:rPr>
                  </w:pPr>
                  <w:r>
                    <w:rPr>
                      <w:rFonts w:hint="eastAsia" w:cs="Times New Roman"/>
                      <w:color w:val="000000"/>
                      <w:kern w:val="0"/>
                      <w:sz w:val="21"/>
                      <w:szCs w:val="21"/>
                      <w:u w:val="none" w:color="auto"/>
                      <w:lang w:val="en-US" w:eastAsia="zh-CN"/>
                    </w:rPr>
                    <w:t>总镍</w:t>
                  </w:r>
                </w:p>
              </w:tc>
              <w:tc>
                <w:tcPr>
                  <w:tcW w:w="1836" w:type="dxa"/>
                  <w:tcBorders>
                    <w:top w:val="single" w:color="auto" w:sz="8" w:space="0"/>
                  </w:tcBorders>
                  <w:noWrap/>
                  <w:vAlign w:val="center"/>
                </w:tcPr>
                <w:p w14:paraId="67F065ED">
                  <w:pPr>
                    <w:keepNext w:val="0"/>
                    <w:keepLines w:val="0"/>
                    <w:widowControl/>
                    <w:suppressLineNumbers w:val="0"/>
                    <w:jc w:val="center"/>
                    <w:textAlignment w:val="center"/>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0.05</w:t>
                  </w:r>
                </w:p>
              </w:tc>
              <w:tc>
                <w:tcPr>
                  <w:tcW w:w="2008" w:type="dxa"/>
                  <w:tcBorders>
                    <w:top w:val="single" w:color="auto" w:sz="8" w:space="0"/>
                  </w:tcBorders>
                  <w:noWrap/>
                  <w:vAlign w:val="center"/>
                </w:tcPr>
                <w:p w14:paraId="7704131F">
                  <w:pPr>
                    <w:keepNext w:val="0"/>
                    <w:keepLines w:val="0"/>
                    <w:widowControl/>
                    <w:suppressLineNumbers w:val="0"/>
                    <w:jc w:val="center"/>
                    <w:textAlignment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0.000022</w:t>
                  </w:r>
                </w:p>
              </w:tc>
            </w:tr>
            <w:tr w14:paraId="7E96808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379B59C4">
                  <w:pPr>
                    <w:contextualSpacing/>
                    <w:jc w:val="center"/>
                    <w:textAlignment w:val="baseline"/>
                    <w:rPr>
                      <w:color w:val="000000"/>
                      <w:kern w:val="0"/>
                      <w:szCs w:val="21"/>
                      <w:u w:val="none" w:color="auto"/>
                    </w:rPr>
                  </w:pPr>
                </w:p>
              </w:tc>
              <w:tc>
                <w:tcPr>
                  <w:tcW w:w="1677" w:type="dxa"/>
                  <w:vMerge w:val="continue"/>
                  <w:noWrap/>
                  <w:vAlign w:val="center"/>
                </w:tcPr>
                <w:p w14:paraId="465C91DC">
                  <w:pPr>
                    <w:contextualSpacing/>
                    <w:jc w:val="center"/>
                    <w:textAlignment w:val="baseline"/>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p>
              </w:tc>
              <w:tc>
                <w:tcPr>
                  <w:tcW w:w="1677" w:type="dxa"/>
                  <w:noWrap/>
                  <w:vAlign w:val="center"/>
                </w:tcPr>
                <w:p w14:paraId="75B7F0DA">
                  <w:pPr>
                    <w:contextualSpacing/>
                    <w:jc w:val="center"/>
                    <w:textAlignment w:val="baseline"/>
                    <w:rPr>
                      <w:rFonts w:hint="default" w:ascii="Times New Roman" w:hAnsi="Times New Roman" w:eastAsia="宋体" w:cs="Times New Roman"/>
                      <w:color w:val="000000"/>
                      <w:kern w:val="0"/>
                      <w:sz w:val="21"/>
                      <w:szCs w:val="21"/>
                      <w:u w:val="none" w:color="auto"/>
                      <w:lang w:val="en-US" w:eastAsia="zh-CN"/>
                    </w:rPr>
                  </w:pPr>
                  <w:r>
                    <w:rPr>
                      <w:rFonts w:hint="eastAsia" w:cs="Times New Roman"/>
                      <w:color w:val="000000"/>
                      <w:kern w:val="0"/>
                      <w:sz w:val="21"/>
                      <w:szCs w:val="21"/>
                      <w:u w:val="none" w:color="auto"/>
                      <w:lang w:val="en-US" w:eastAsia="zh-CN"/>
                    </w:rPr>
                    <w:t>总钴</w:t>
                  </w:r>
                </w:p>
              </w:tc>
              <w:tc>
                <w:tcPr>
                  <w:tcW w:w="1836" w:type="dxa"/>
                  <w:noWrap/>
                  <w:vAlign w:val="center"/>
                </w:tcPr>
                <w:p w14:paraId="731920EA">
                  <w:pPr>
                    <w:keepNext w:val="0"/>
                    <w:keepLines w:val="0"/>
                    <w:widowControl/>
                    <w:suppressLineNumbers w:val="0"/>
                    <w:jc w:val="center"/>
                    <w:textAlignment w:val="center"/>
                    <w:rPr>
                      <w:rFonts w:hint="default"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color w:val="000000"/>
                      <w:sz w:val="21"/>
                      <w:szCs w:val="21"/>
                      <w:u w:val="none" w:color="auto"/>
                      <w:lang w:val="en-US" w:eastAsia="zh-CN"/>
                    </w:rPr>
                    <w:t>0.039</w:t>
                  </w:r>
                </w:p>
              </w:tc>
              <w:tc>
                <w:tcPr>
                  <w:tcW w:w="2008" w:type="dxa"/>
                  <w:noWrap/>
                  <w:vAlign w:val="center"/>
                </w:tcPr>
                <w:p w14:paraId="5CF7DF0C">
                  <w:pPr>
                    <w:keepNext w:val="0"/>
                    <w:keepLines w:val="0"/>
                    <w:widowControl/>
                    <w:suppressLineNumbers w:val="0"/>
                    <w:jc w:val="center"/>
                    <w:textAlignment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0.000017</w:t>
                  </w:r>
                </w:p>
              </w:tc>
            </w:tr>
            <w:tr w14:paraId="4900845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restart"/>
                  <w:noWrap/>
                  <w:vAlign w:val="center"/>
                </w:tcPr>
                <w:p w14:paraId="3D4C65B4">
                  <w:pPr>
                    <w:contextualSpacing/>
                    <w:jc w:val="center"/>
                    <w:textAlignment w:val="baseline"/>
                    <w:rPr>
                      <w:rFonts w:hint="eastAsia" w:eastAsia="宋体"/>
                      <w:color w:val="000000"/>
                      <w:kern w:val="0"/>
                      <w:szCs w:val="21"/>
                      <w:u w:val="none" w:color="auto"/>
                      <w:lang w:val="en-US" w:eastAsia="zh-CN"/>
                    </w:rPr>
                  </w:pPr>
                  <w:r>
                    <w:rPr>
                      <w:rFonts w:hint="eastAsia"/>
                      <w:color w:val="000000"/>
                      <w:kern w:val="0"/>
                      <w:szCs w:val="21"/>
                      <w:u w:val="none" w:color="auto"/>
                      <w:lang w:val="en-US" w:eastAsia="zh-CN"/>
                    </w:rPr>
                    <w:t>2</w:t>
                  </w:r>
                </w:p>
              </w:tc>
              <w:tc>
                <w:tcPr>
                  <w:tcW w:w="1677" w:type="dxa"/>
                  <w:vMerge w:val="restart"/>
                  <w:noWrap/>
                  <w:vAlign w:val="center"/>
                </w:tcPr>
                <w:p w14:paraId="2FA32199">
                  <w:pPr>
                    <w:contextualSpacing/>
                    <w:jc w:val="center"/>
                    <w:textAlignment w:val="baseline"/>
                    <w:rPr>
                      <w:rFonts w:hint="default" w:ascii="Times New Roman" w:hAnsi="Times New Roman" w:eastAsia="宋体" w:cs="Times New Roman"/>
                      <w:color w:val="000000" w:themeColor="text1"/>
                      <w:kern w:val="0"/>
                      <w:sz w:val="21"/>
                      <w:szCs w:val="21"/>
                      <w:u w:val="none" w:color="auto"/>
                      <w:lang w:val="en-US" w:eastAsia="zh-CN"/>
                      <w14:textFill>
                        <w14:solidFill>
                          <w14:schemeClr w14:val="tx1"/>
                        </w14:solidFill>
                      </w14:textFill>
                    </w:rPr>
                  </w:pPr>
                  <w:r>
                    <w:rPr>
                      <w:rFonts w:hint="eastAsia" w:cs="Times New Roman"/>
                      <w:color w:val="000000" w:themeColor="text1"/>
                      <w:kern w:val="0"/>
                      <w:sz w:val="21"/>
                      <w:szCs w:val="21"/>
                      <w:u w:val="none" w:color="auto"/>
                      <w:lang w:val="en-US" w:eastAsia="zh-CN"/>
                      <w14:textFill>
                        <w14:solidFill>
                          <w14:schemeClr w14:val="tx1"/>
                        </w14:solidFill>
                      </w14:textFill>
                    </w:rPr>
                    <w:t>生产废水排放口（DW002）(28667.1</w:t>
                  </w:r>
                  <w:r>
                    <w:rPr>
                      <w:rFonts w:hint="eastAsia" w:cs="Times New Roman"/>
                      <w:color w:val="000000" w:themeColor="text1"/>
                      <w:sz w:val="21"/>
                      <w:szCs w:val="21"/>
                      <w:u w:val="none" w:color="auto"/>
                      <w:lang w:val="en-US" w:eastAsia="zh-CN"/>
                      <w14:textFill>
                        <w14:solidFill>
                          <w14:schemeClr w14:val="tx1"/>
                        </w14:solidFill>
                      </w14:textFill>
                    </w:rPr>
                    <w:t>t/a</w:t>
                  </w:r>
                  <w:r>
                    <w:rPr>
                      <w:rFonts w:hint="eastAsia" w:cs="Times New Roman"/>
                      <w:color w:val="000000" w:themeColor="text1"/>
                      <w:kern w:val="0"/>
                      <w:sz w:val="21"/>
                      <w:szCs w:val="21"/>
                      <w:u w:val="none" w:color="auto"/>
                      <w:lang w:val="en-US" w:eastAsia="zh-CN"/>
                      <w14:textFill>
                        <w14:solidFill>
                          <w14:schemeClr w14:val="tx1"/>
                        </w14:solidFill>
                      </w14:textFill>
                    </w:rPr>
                    <w:t>)</w:t>
                  </w:r>
                </w:p>
              </w:tc>
              <w:tc>
                <w:tcPr>
                  <w:tcW w:w="1677" w:type="dxa"/>
                  <w:noWrap/>
                  <w:vAlign w:val="center"/>
                </w:tcPr>
                <w:p w14:paraId="712A2A7E">
                  <w:pPr>
                    <w:contextualSpacing/>
                    <w:jc w:val="center"/>
                    <w:textAlignment w:val="baseline"/>
                    <w:rPr>
                      <w:rFonts w:hint="eastAsia" w:cs="Times New Roman"/>
                      <w:color w:val="000000"/>
                      <w:kern w:val="0"/>
                      <w:sz w:val="21"/>
                      <w:szCs w:val="21"/>
                      <w:u w:val="none" w:color="auto"/>
                      <w:lang w:val="en-US" w:eastAsia="zh-CN"/>
                    </w:rPr>
                  </w:pPr>
                  <w:r>
                    <w:rPr>
                      <w:rFonts w:hint="default" w:ascii="Times New Roman" w:hAnsi="Times New Roman" w:eastAsia="宋体" w:cs="Times New Roman"/>
                      <w:color w:val="000000"/>
                      <w:kern w:val="0"/>
                      <w:sz w:val="21"/>
                      <w:szCs w:val="21"/>
                      <w:u w:val="none" w:color="auto"/>
                    </w:rPr>
                    <w:t>COD</w:t>
                  </w:r>
                </w:p>
              </w:tc>
              <w:tc>
                <w:tcPr>
                  <w:tcW w:w="1836" w:type="dxa"/>
                  <w:noWrap/>
                  <w:vAlign w:val="center"/>
                </w:tcPr>
                <w:p w14:paraId="59D27A73">
                  <w:pPr>
                    <w:keepNext w:val="0"/>
                    <w:keepLines w:val="0"/>
                    <w:widowControl/>
                    <w:suppressLineNumbers w:val="0"/>
                    <w:jc w:val="center"/>
                    <w:textAlignment w:val="center"/>
                    <w:rPr>
                      <w:rFonts w:hint="default" w:cs="Times New Roman"/>
                      <w:color w:val="000000"/>
                      <w:sz w:val="21"/>
                      <w:szCs w:val="21"/>
                      <w:u w:val="none" w:color="auto"/>
                      <w:lang w:val="en-US" w:eastAsia="zh-CN"/>
                    </w:rPr>
                  </w:pPr>
                  <w:r>
                    <w:rPr>
                      <w:rFonts w:hint="default" w:cs="Times New Roman"/>
                      <w:color w:val="000000"/>
                      <w:sz w:val="21"/>
                      <w:szCs w:val="21"/>
                      <w:u w:val="none" w:color="auto"/>
                      <w:lang w:val="en-US" w:eastAsia="zh-CN"/>
                    </w:rPr>
                    <w:t>45.57</w:t>
                  </w:r>
                </w:p>
              </w:tc>
              <w:tc>
                <w:tcPr>
                  <w:tcW w:w="2008" w:type="dxa"/>
                  <w:noWrap/>
                  <w:vAlign w:val="center"/>
                </w:tcPr>
                <w:p w14:paraId="1CBC5BC3">
                  <w:pPr>
                    <w:keepNext w:val="0"/>
                    <w:keepLines w:val="0"/>
                    <w:widowControl/>
                    <w:suppressLineNumbers w:val="0"/>
                    <w:jc w:val="center"/>
                    <w:textAlignment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1.3064</w:t>
                  </w:r>
                </w:p>
              </w:tc>
            </w:tr>
            <w:tr w14:paraId="07075D5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57859B3E">
                  <w:pPr>
                    <w:contextualSpacing/>
                    <w:jc w:val="center"/>
                    <w:textAlignment w:val="baseline"/>
                    <w:rPr>
                      <w:color w:val="000000"/>
                      <w:kern w:val="0"/>
                      <w:szCs w:val="21"/>
                      <w:u w:val="none" w:color="auto"/>
                    </w:rPr>
                  </w:pPr>
                </w:p>
              </w:tc>
              <w:tc>
                <w:tcPr>
                  <w:tcW w:w="1677" w:type="dxa"/>
                  <w:vMerge w:val="continue"/>
                  <w:noWrap/>
                  <w:vAlign w:val="center"/>
                </w:tcPr>
                <w:p w14:paraId="3BAE730D">
                  <w:pPr>
                    <w:contextualSpacing/>
                    <w:jc w:val="center"/>
                    <w:textAlignment w:val="baseline"/>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p>
              </w:tc>
              <w:tc>
                <w:tcPr>
                  <w:tcW w:w="1677" w:type="dxa"/>
                  <w:noWrap/>
                  <w:vAlign w:val="center"/>
                </w:tcPr>
                <w:p w14:paraId="4C31A588">
                  <w:pPr>
                    <w:contextualSpacing/>
                    <w:jc w:val="center"/>
                    <w:textAlignment w:val="baseline"/>
                    <w:rPr>
                      <w:rFonts w:hint="eastAsia" w:cs="Times New Roman"/>
                      <w:color w:val="000000"/>
                      <w:kern w:val="0"/>
                      <w:sz w:val="21"/>
                      <w:szCs w:val="21"/>
                      <w:u w:val="none" w:color="auto"/>
                      <w:lang w:val="en-US" w:eastAsia="zh-CN"/>
                    </w:rPr>
                  </w:pPr>
                  <w:r>
                    <w:rPr>
                      <w:rFonts w:hint="default" w:ascii="Times New Roman" w:hAnsi="Times New Roman" w:eastAsia="宋体" w:cs="Times New Roman"/>
                      <w:color w:val="000000"/>
                      <w:kern w:val="0"/>
                      <w:sz w:val="21"/>
                      <w:szCs w:val="21"/>
                      <w:u w:val="none" w:color="auto"/>
                    </w:rPr>
                    <w:t>SS</w:t>
                  </w:r>
                </w:p>
              </w:tc>
              <w:tc>
                <w:tcPr>
                  <w:tcW w:w="1836" w:type="dxa"/>
                  <w:noWrap/>
                  <w:vAlign w:val="center"/>
                </w:tcPr>
                <w:p w14:paraId="498E32A2">
                  <w:pPr>
                    <w:keepNext w:val="0"/>
                    <w:keepLines w:val="0"/>
                    <w:widowControl/>
                    <w:suppressLineNumbers w:val="0"/>
                    <w:jc w:val="center"/>
                    <w:textAlignment w:val="center"/>
                    <w:rPr>
                      <w:rFonts w:hint="default" w:cs="Times New Roman"/>
                      <w:color w:val="000000"/>
                      <w:sz w:val="21"/>
                      <w:szCs w:val="21"/>
                      <w:u w:val="none" w:color="auto"/>
                      <w:lang w:val="en-US" w:eastAsia="zh-CN"/>
                    </w:rPr>
                  </w:pPr>
                  <w:r>
                    <w:rPr>
                      <w:rFonts w:hint="default" w:cs="Times New Roman"/>
                      <w:color w:val="000000"/>
                      <w:sz w:val="21"/>
                      <w:szCs w:val="21"/>
                      <w:u w:val="none" w:color="auto"/>
                      <w:lang w:val="en-US" w:eastAsia="zh-CN"/>
                    </w:rPr>
                    <w:t>41.82</w:t>
                  </w:r>
                </w:p>
              </w:tc>
              <w:tc>
                <w:tcPr>
                  <w:tcW w:w="2008" w:type="dxa"/>
                  <w:noWrap/>
                  <w:vAlign w:val="center"/>
                </w:tcPr>
                <w:p w14:paraId="693909D5">
                  <w:pPr>
                    <w:keepNext w:val="0"/>
                    <w:keepLines w:val="0"/>
                    <w:widowControl/>
                    <w:suppressLineNumbers w:val="0"/>
                    <w:jc w:val="center"/>
                    <w:textAlignment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1.1989</w:t>
                  </w:r>
                </w:p>
              </w:tc>
            </w:tr>
            <w:tr w14:paraId="439777E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32456FED">
                  <w:pPr>
                    <w:contextualSpacing/>
                    <w:jc w:val="center"/>
                    <w:textAlignment w:val="baseline"/>
                    <w:rPr>
                      <w:color w:val="000000"/>
                      <w:kern w:val="0"/>
                      <w:szCs w:val="21"/>
                      <w:u w:val="none" w:color="auto"/>
                    </w:rPr>
                  </w:pPr>
                </w:p>
              </w:tc>
              <w:tc>
                <w:tcPr>
                  <w:tcW w:w="1677" w:type="dxa"/>
                  <w:vMerge w:val="continue"/>
                  <w:noWrap/>
                  <w:vAlign w:val="center"/>
                </w:tcPr>
                <w:p w14:paraId="0FD6AC16">
                  <w:pPr>
                    <w:contextualSpacing/>
                    <w:jc w:val="center"/>
                    <w:textAlignment w:val="baseline"/>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p>
              </w:tc>
              <w:tc>
                <w:tcPr>
                  <w:tcW w:w="1677" w:type="dxa"/>
                  <w:noWrap/>
                  <w:vAlign w:val="center"/>
                </w:tcPr>
                <w:p w14:paraId="05242DC2">
                  <w:pPr>
                    <w:contextualSpacing/>
                    <w:jc w:val="center"/>
                    <w:textAlignment w:val="baseline"/>
                    <w:rPr>
                      <w:rFonts w:hint="eastAsia" w:cs="Times New Roman"/>
                      <w:color w:val="000000"/>
                      <w:kern w:val="0"/>
                      <w:sz w:val="21"/>
                      <w:szCs w:val="21"/>
                      <w:u w:val="none" w:color="auto"/>
                      <w:lang w:val="en-US" w:eastAsia="zh-CN"/>
                    </w:rPr>
                  </w:pPr>
                  <w:r>
                    <w:rPr>
                      <w:rFonts w:hint="default" w:ascii="Times New Roman" w:hAnsi="Times New Roman" w:eastAsia="宋体" w:cs="Times New Roman"/>
                      <w:color w:val="000000"/>
                      <w:kern w:val="0"/>
                      <w:sz w:val="21"/>
                      <w:szCs w:val="21"/>
                      <w:u w:val="none" w:color="auto"/>
                    </w:rPr>
                    <w:t>NH</w:t>
                  </w:r>
                  <w:r>
                    <w:rPr>
                      <w:rFonts w:hint="default" w:ascii="Times New Roman" w:hAnsi="Times New Roman" w:eastAsia="宋体" w:cs="Times New Roman"/>
                      <w:color w:val="000000"/>
                      <w:kern w:val="0"/>
                      <w:sz w:val="21"/>
                      <w:szCs w:val="21"/>
                      <w:u w:val="none" w:color="auto"/>
                      <w:vertAlign w:val="subscript"/>
                    </w:rPr>
                    <w:t>3</w:t>
                  </w:r>
                  <w:r>
                    <w:rPr>
                      <w:rFonts w:hint="default" w:ascii="Times New Roman" w:hAnsi="Times New Roman" w:eastAsia="宋体" w:cs="Times New Roman"/>
                      <w:color w:val="000000"/>
                      <w:kern w:val="0"/>
                      <w:sz w:val="21"/>
                      <w:szCs w:val="21"/>
                      <w:u w:val="none" w:color="auto"/>
                    </w:rPr>
                    <w:t>-N</w:t>
                  </w:r>
                </w:p>
              </w:tc>
              <w:tc>
                <w:tcPr>
                  <w:tcW w:w="1836" w:type="dxa"/>
                  <w:noWrap/>
                  <w:vAlign w:val="center"/>
                </w:tcPr>
                <w:p w14:paraId="4CE70455">
                  <w:pPr>
                    <w:keepNext w:val="0"/>
                    <w:keepLines w:val="0"/>
                    <w:widowControl/>
                    <w:suppressLineNumbers w:val="0"/>
                    <w:jc w:val="center"/>
                    <w:textAlignment w:val="center"/>
                    <w:rPr>
                      <w:rFonts w:hint="default" w:cs="Times New Roman"/>
                      <w:color w:val="000000"/>
                      <w:sz w:val="21"/>
                      <w:szCs w:val="21"/>
                      <w:u w:val="none" w:color="auto"/>
                      <w:lang w:val="en-US" w:eastAsia="zh-CN"/>
                    </w:rPr>
                  </w:pPr>
                  <w:r>
                    <w:rPr>
                      <w:rFonts w:hint="default" w:cs="Times New Roman"/>
                      <w:color w:val="000000"/>
                      <w:sz w:val="21"/>
                      <w:szCs w:val="21"/>
                      <w:u w:val="none" w:color="auto"/>
                      <w:lang w:val="en-US" w:eastAsia="zh-CN"/>
                    </w:rPr>
                    <w:t>0.82</w:t>
                  </w:r>
                </w:p>
              </w:tc>
              <w:tc>
                <w:tcPr>
                  <w:tcW w:w="2008" w:type="dxa"/>
                  <w:noWrap/>
                  <w:vAlign w:val="center"/>
                </w:tcPr>
                <w:p w14:paraId="6E27A217">
                  <w:pPr>
                    <w:keepNext w:val="0"/>
                    <w:keepLines w:val="0"/>
                    <w:widowControl/>
                    <w:suppressLineNumbers w:val="0"/>
                    <w:jc w:val="center"/>
                    <w:textAlignment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0.0235</w:t>
                  </w:r>
                </w:p>
              </w:tc>
            </w:tr>
            <w:tr w14:paraId="00C39D2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5095E215">
                  <w:pPr>
                    <w:contextualSpacing/>
                    <w:jc w:val="center"/>
                    <w:textAlignment w:val="baseline"/>
                    <w:rPr>
                      <w:color w:val="000000"/>
                      <w:kern w:val="0"/>
                      <w:szCs w:val="21"/>
                      <w:u w:val="none" w:color="auto"/>
                    </w:rPr>
                  </w:pPr>
                </w:p>
              </w:tc>
              <w:tc>
                <w:tcPr>
                  <w:tcW w:w="1677" w:type="dxa"/>
                  <w:vMerge w:val="continue"/>
                  <w:noWrap/>
                  <w:vAlign w:val="center"/>
                </w:tcPr>
                <w:p w14:paraId="33F5016E">
                  <w:pPr>
                    <w:contextualSpacing/>
                    <w:jc w:val="center"/>
                    <w:textAlignment w:val="baseline"/>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p>
              </w:tc>
              <w:tc>
                <w:tcPr>
                  <w:tcW w:w="1677" w:type="dxa"/>
                  <w:noWrap/>
                  <w:vAlign w:val="center"/>
                </w:tcPr>
                <w:p w14:paraId="3E6E2EF5">
                  <w:pPr>
                    <w:contextualSpacing/>
                    <w:jc w:val="center"/>
                    <w:textAlignment w:val="baseline"/>
                    <w:rPr>
                      <w:rFonts w:hint="eastAsia" w:cs="Times New Roman"/>
                      <w:color w:val="000000"/>
                      <w:kern w:val="0"/>
                      <w:sz w:val="21"/>
                      <w:szCs w:val="21"/>
                      <w:u w:val="none" w:color="auto"/>
                      <w:lang w:val="en-US" w:eastAsia="zh-CN"/>
                    </w:rPr>
                  </w:pPr>
                  <w:r>
                    <w:rPr>
                      <w:rFonts w:hint="default" w:ascii="Times New Roman" w:hAnsi="Times New Roman" w:eastAsia="宋体" w:cs="Times New Roman"/>
                      <w:color w:val="000000"/>
                      <w:kern w:val="0"/>
                      <w:sz w:val="21"/>
                      <w:szCs w:val="21"/>
                      <w:u w:val="none" w:color="auto"/>
                    </w:rPr>
                    <w:t>TP</w:t>
                  </w:r>
                </w:p>
              </w:tc>
              <w:tc>
                <w:tcPr>
                  <w:tcW w:w="1836" w:type="dxa"/>
                  <w:noWrap/>
                  <w:vAlign w:val="center"/>
                </w:tcPr>
                <w:p w14:paraId="08F257BE">
                  <w:pPr>
                    <w:keepNext w:val="0"/>
                    <w:keepLines w:val="0"/>
                    <w:widowControl/>
                    <w:suppressLineNumbers w:val="0"/>
                    <w:jc w:val="center"/>
                    <w:textAlignment w:val="center"/>
                    <w:rPr>
                      <w:rFonts w:hint="default" w:cs="Times New Roman"/>
                      <w:color w:val="000000"/>
                      <w:sz w:val="21"/>
                      <w:szCs w:val="21"/>
                      <w:u w:val="none" w:color="auto"/>
                      <w:lang w:val="en-US" w:eastAsia="zh-CN"/>
                    </w:rPr>
                  </w:pPr>
                  <w:r>
                    <w:rPr>
                      <w:rFonts w:hint="default" w:cs="Times New Roman"/>
                      <w:color w:val="000000"/>
                      <w:sz w:val="21"/>
                      <w:szCs w:val="21"/>
                      <w:u w:val="none" w:color="auto"/>
                      <w:lang w:val="en-US" w:eastAsia="zh-CN"/>
                    </w:rPr>
                    <w:t>0.58</w:t>
                  </w:r>
                </w:p>
              </w:tc>
              <w:tc>
                <w:tcPr>
                  <w:tcW w:w="2008" w:type="dxa"/>
                  <w:noWrap/>
                  <w:vAlign w:val="center"/>
                </w:tcPr>
                <w:p w14:paraId="50134DAB">
                  <w:pPr>
                    <w:keepNext w:val="0"/>
                    <w:keepLines w:val="0"/>
                    <w:widowControl/>
                    <w:suppressLineNumbers w:val="0"/>
                    <w:jc w:val="center"/>
                    <w:textAlignment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0.0166</w:t>
                  </w:r>
                </w:p>
              </w:tc>
            </w:tr>
            <w:tr w14:paraId="478A360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2BA73A49">
                  <w:pPr>
                    <w:contextualSpacing/>
                    <w:jc w:val="center"/>
                    <w:textAlignment w:val="baseline"/>
                    <w:rPr>
                      <w:color w:val="000000"/>
                      <w:kern w:val="0"/>
                      <w:szCs w:val="21"/>
                      <w:u w:val="none" w:color="auto"/>
                    </w:rPr>
                  </w:pPr>
                </w:p>
              </w:tc>
              <w:tc>
                <w:tcPr>
                  <w:tcW w:w="1677" w:type="dxa"/>
                  <w:vMerge w:val="continue"/>
                  <w:noWrap/>
                  <w:vAlign w:val="center"/>
                </w:tcPr>
                <w:p w14:paraId="08A4A579">
                  <w:pPr>
                    <w:contextualSpacing/>
                    <w:jc w:val="center"/>
                    <w:textAlignment w:val="baseline"/>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p>
              </w:tc>
              <w:tc>
                <w:tcPr>
                  <w:tcW w:w="1677" w:type="dxa"/>
                  <w:noWrap/>
                  <w:vAlign w:val="center"/>
                </w:tcPr>
                <w:p w14:paraId="731B6B13">
                  <w:pPr>
                    <w:contextualSpacing/>
                    <w:jc w:val="center"/>
                    <w:textAlignment w:val="baseline"/>
                    <w:rPr>
                      <w:rFonts w:hint="default" w:ascii="Times New Roman" w:hAnsi="Times New Roman" w:eastAsia="宋体" w:cs="Times New Roman"/>
                      <w:color w:val="000000"/>
                      <w:kern w:val="0"/>
                      <w:sz w:val="21"/>
                      <w:szCs w:val="21"/>
                      <w:u w:val="none" w:color="auto"/>
                    </w:rPr>
                  </w:pPr>
                  <w:r>
                    <w:rPr>
                      <w:rFonts w:hint="default" w:ascii="Times New Roman" w:hAnsi="Times New Roman" w:eastAsia="宋体" w:cs="Times New Roman"/>
                      <w:color w:val="000000"/>
                      <w:kern w:val="0"/>
                      <w:sz w:val="21"/>
                      <w:szCs w:val="21"/>
                      <w:u w:val="none" w:color="auto"/>
                    </w:rPr>
                    <w:t>TN</w:t>
                  </w:r>
                </w:p>
              </w:tc>
              <w:tc>
                <w:tcPr>
                  <w:tcW w:w="1836" w:type="dxa"/>
                  <w:noWrap/>
                  <w:vAlign w:val="center"/>
                </w:tcPr>
                <w:p w14:paraId="5427FFDC">
                  <w:pPr>
                    <w:keepNext w:val="0"/>
                    <w:keepLines w:val="0"/>
                    <w:widowControl/>
                    <w:suppressLineNumbers w:val="0"/>
                    <w:jc w:val="center"/>
                    <w:textAlignment w:val="center"/>
                    <w:rPr>
                      <w:rFonts w:hint="eastAsia" w:cs="Times New Roman"/>
                      <w:color w:val="000000"/>
                      <w:sz w:val="21"/>
                      <w:szCs w:val="21"/>
                      <w:u w:val="none" w:color="auto"/>
                      <w:lang w:val="en-US" w:eastAsia="zh-CN"/>
                    </w:rPr>
                  </w:pPr>
                  <w:r>
                    <w:rPr>
                      <w:rFonts w:hint="eastAsia" w:cs="Times New Roman"/>
                      <w:color w:val="000000"/>
                      <w:sz w:val="21"/>
                      <w:szCs w:val="21"/>
                      <w:u w:val="none" w:color="auto"/>
                      <w:lang w:val="en-US" w:eastAsia="zh-CN"/>
                    </w:rPr>
                    <w:t>2.53</w:t>
                  </w:r>
                </w:p>
              </w:tc>
              <w:tc>
                <w:tcPr>
                  <w:tcW w:w="2008" w:type="dxa"/>
                  <w:noWrap/>
                  <w:vAlign w:val="center"/>
                </w:tcPr>
                <w:p w14:paraId="0333A3A7">
                  <w:pPr>
                    <w:keepNext w:val="0"/>
                    <w:keepLines w:val="0"/>
                    <w:widowControl/>
                    <w:suppressLineNumbers w:val="0"/>
                    <w:jc w:val="center"/>
                    <w:textAlignment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0.0725</w:t>
                  </w:r>
                </w:p>
              </w:tc>
            </w:tr>
            <w:tr w14:paraId="1104AC6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7CB98C3F">
                  <w:pPr>
                    <w:contextualSpacing/>
                    <w:jc w:val="center"/>
                    <w:textAlignment w:val="baseline"/>
                    <w:rPr>
                      <w:color w:val="000000"/>
                      <w:kern w:val="0"/>
                      <w:szCs w:val="21"/>
                      <w:u w:val="none" w:color="auto"/>
                    </w:rPr>
                  </w:pPr>
                </w:p>
              </w:tc>
              <w:tc>
                <w:tcPr>
                  <w:tcW w:w="1677" w:type="dxa"/>
                  <w:vMerge w:val="continue"/>
                  <w:noWrap/>
                  <w:vAlign w:val="center"/>
                </w:tcPr>
                <w:p w14:paraId="79E73D52">
                  <w:pPr>
                    <w:contextualSpacing/>
                    <w:jc w:val="center"/>
                    <w:textAlignment w:val="baseline"/>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p>
              </w:tc>
              <w:tc>
                <w:tcPr>
                  <w:tcW w:w="1677" w:type="dxa"/>
                  <w:noWrap/>
                  <w:vAlign w:val="center"/>
                </w:tcPr>
                <w:p w14:paraId="04691D57">
                  <w:pPr>
                    <w:contextualSpacing/>
                    <w:jc w:val="center"/>
                    <w:textAlignment w:val="baseline"/>
                    <w:rPr>
                      <w:rFonts w:hint="default" w:cs="Times New Roman"/>
                      <w:color w:val="000000"/>
                      <w:kern w:val="0"/>
                      <w:sz w:val="21"/>
                      <w:szCs w:val="21"/>
                      <w:u w:val="none" w:color="auto"/>
                      <w:lang w:val="en-US" w:eastAsia="zh-CN"/>
                    </w:rPr>
                  </w:pPr>
                  <w:r>
                    <w:rPr>
                      <w:rFonts w:hint="eastAsia" w:cs="Times New Roman"/>
                      <w:color w:val="000000"/>
                      <w:kern w:val="0"/>
                      <w:sz w:val="21"/>
                      <w:szCs w:val="21"/>
                      <w:u w:val="none" w:color="auto"/>
                      <w:lang w:val="en-US" w:eastAsia="zh-CN"/>
                    </w:rPr>
                    <w:t>总锰</w:t>
                  </w:r>
                </w:p>
              </w:tc>
              <w:tc>
                <w:tcPr>
                  <w:tcW w:w="1836" w:type="dxa"/>
                  <w:noWrap/>
                  <w:vAlign w:val="center"/>
                </w:tcPr>
                <w:p w14:paraId="02986E7E">
                  <w:pPr>
                    <w:keepNext w:val="0"/>
                    <w:keepLines w:val="0"/>
                    <w:widowControl/>
                    <w:suppressLineNumbers w:val="0"/>
                    <w:jc w:val="center"/>
                    <w:textAlignment w:val="center"/>
                    <w:rPr>
                      <w:rFonts w:hint="default" w:cs="Times New Roman"/>
                      <w:color w:val="000000"/>
                      <w:sz w:val="21"/>
                      <w:szCs w:val="21"/>
                      <w:u w:val="none" w:color="auto"/>
                      <w:lang w:val="en-US" w:eastAsia="zh-CN"/>
                    </w:rPr>
                  </w:pPr>
                  <w:r>
                    <w:rPr>
                      <w:rFonts w:hint="default" w:cs="Times New Roman"/>
                      <w:color w:val="000000"/>
                      <w:sz w:val="21"/>
                      <w:szCs w:val="21"/>
                      <w:u w:val="none" w:color="auto"/>
                      <w:lang w:val="en-US" w:eastAsia="zh-CN"/>
                    </w:rPr>
                    <w:t>0.0012</w:t>
                  </w:r>
                </w:p>
              </w:tc>
              <w:tc>
                <w:tcPr>
                  <w:tcW w:w="2008" w:type="dxa"/>
                  <w:shd w:val="clear" w:color="auto" w:fill="auto"/>
                  <w:noWrap/>
                  <w:vAlign w:val="center"/>
                </w:tcPr>
                <w:p w14:paraId="0D2D073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Times New Roman" w:hAnsi="Times New Roman" w:eastAsia="宋体" w:cs="Times New Roman"/>
                      <w:color w:val="000000"/>
                      <w:sz w:val="21"/>
                      <w:szCs w:val="21"/>
                      <w:u w:val="none" w:color="auto"/>
                      <w:lang w:val="en-US" w:eastAsia="zh-CN"/>
                    </w:rPr>
                    <w:t>0.00003</w:t>
                  </w:r>
                </w:p>
              </w:tc>
            </w:tr>
            <w:tr w14:paraId="616C251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restart"/>
                  <w:noWrap/>
                  <w:vAlign w:val="center"/>
                </w:tcPr>
                <w:p w14:paraId="7D002FD1">
                  <w:pPr>
                    <w:contextualSpacing/>
                    <w:jc w:val="center"/>
                    <w:textAlignment w:val="baseline"/>
                    <w:rPr>
                      <w:rFonts w:hint="eastAsia" w:eastAsia="宋体"/>
                      <w:color w:val="000000"/>
                      <w:kern w:val="0"/>
                      <w:szCs w:val="21"/>
                      <w:u w:val="none" w:color="auto"/>
                      <w:lang w:val="en-US" w:eastAsia="zh-CN"/>
                    </w:rPr>
                  </w:pPr>
                  <w:r>
                    <w:rPr>
                      <w:rFonts w:hint="eastAsia"/>
                      <w:color w:val="000000"/>
                      <w:kern w:val="0"/>
                      <w:szCs w:val="21"/>
                      <w:u w:val="none" w:color="auto"/>
                      <w:lang w:val="en-US" w:eastAsia="zh-CN"/>
                    </w:rPr>
                    <w:t>3</w:t>
                  </w:r>
                </w:p>
              </w:tc>
              <w:tc>
                <w:tcPr>
                  <w:tcW w:w="1677" w:type="dxa"/>
                  <w:vMerge w:val="restart"/>
                  <w:noWrap/>
                  <w:vAlign w:val="center"/>
                </w:tcPr>
                <w:p w14:paraId="7C14B8BF">
                  <w:pPr>
                    <w:tabs>
                      <w:tab w:val="left" w:pos="3620"/>
                    </w:tabs>
                    <w:adjustRightInd w:val="0"/>
                    <w:snapToGrid w:val="0"/>
                    <w:jc w:val="center"/>
                    <w:rPr>
                      <w:rFonts w:hint="eastAsia" w:cs="Times New Roman"/>
                      <w:color w:val="000000" w:themeColor="text1"/>
                      <w:sz w:val="21"/>
                      <w:szCs w:val="21"/>
                      <w:u w:val="none" w:color="auto"/>
                      <w:lang w:val="en-US" w:eastAsia="zh-CN"/>
                      <w14:textFill>
                        <w14:solidFill>
                          <w14:schemeClr w14:val="tx1"/>
                        </w14:solidFill>
                      </w14:textFill>
                    </w:rPr>
                  </w:pPr>
                  <w:r>
                    <w:rPr>
                      <w:rFonts w:hint="eastAsia" w:cs="Times New Roman"/>
                      <w:color w:val="000000" w:themeColor="text1"/>
                      <w:sz w:val="21"/>
                      <w:szCs w:val="21"/>
                      <w:u w:val="none" w:color="auto"/>
                      <w:lang w:val="en-US" w:eastAsia="zh-CN"/>
                      <w14:textFill>
                        <w14:solidFill>
                          <w14:schemeClr w14:val="tx1"/>
                        </w14:solidFill>
                      </w14:textFill>
                    </w:rPr>
                    <w:t>DW001</w:t>
                  </w:r>
                </w:p>
                <w:p w14:paraId="53895E26">
                  <w:pPr>
                    <w:contextualSpacing/>
                    <w:jc w:val="center"/>
                    <w:textAlignment w:val="baseline"/>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sz w:val="21"/>
                      <w:szCs w:val="21"/>
                      <w:u w:val="none" w:color="auto"/>
                      <w:lang w:val="en-US" w:eastAsia="zh-CN"/>
                      <w14:textFill>
                        <w14:solidFill>
                          <w14:schemeClr w14:val="tx1"/>
                        </w14:solidFill>
                      </w14:textFill>
                    </w:rPr>
                    <w:t>（生活污水排放口）（1188t/a）</w:t>
                  </w:r>
                </w:p>
              </w:tc>
              <w:tc>
                <w:tcPr>
                  <w:tcW w:w="1677" w:type="dxa"/>
                  <w:noWrap/>
                  <w:vAlign w:val="center"/>
                </w:tcPr>
                <w:p w14:paraId="0B9A49BC">
                  <w:pPr>
                    <w:contextualSpacing/>
                    <w:jc w:val="center"/>
                    <w:textAlignment w:val="baseline"/>
                    <w:rPr>
                      <w:rFonts w:hint="eastAsia" w:cs="Times New Roman"/>
                      <w:color w:val="000000"/>
                      <w:kern w:val="0"/>
                      <w:sz w:val="21"/>
                      <w:szCs w:val="21"/>
                      <w:u w:val="none" w:color="auto"/>
                      <w:lang w:val="en-US" w:eastAsia="zh-CN"/>
                    </w:rPr>
                  </w:pPr>
                  <w:r>
                    <w:rPr>
                      <w:rFonts w:hint="default" w:ascii="Times New Roman" w:hAnsi="Times New Roman" w:eastAsia="宋体" w:cs="Times New Roman"/>
                      <w:color w:val="000000"/>
                      <w:kern w:val="0"/>
                      <w:sz w:val="21"/>
                      <w:szCs w:val="21"/>
                      <w:u w:val="none" w:color="auto"/>
                    </w:rPr>
                    <w:t>COD</w:t>
                  </w:r>
                </w:p>
              </w:tc>
              <w:tc>
                <w:tcPr>
                  <w:tcW w:w="1836" w:type="dxa"/>
                  <w:noWrap/>
                  <w:vAlign w:val="center"/>
                </w:tcPr>
                <w:p w14:paraId="5CFAFE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225</w:t>
                  </w:r>
                </w:p>
              </w:tc>
              <w:tc>
                <w:tcPr>
                  <w:tcW w:w="2008" w:type="dxa"/>
                  <w:noWrap/>
                  <w:vAlign w:val="center"/>
                </w:tcPr>
                <w:p w14:paraId="3C2EAC7E">
                  <w:pPr>
                    <w:keepNext w:val="0"/>
                    <w:keepLines w:val="0"/>
                    <w:widowControl/>
                    <w:suppressLineNumbers w:val="0"/>
                    <w:jc w:val="center"/>
                    <w:textAlignment w:val="center"/>
                    <w:rPr>
                      <w:rFonts w:hint="eastAsia"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0.2673</w:t>
                  </w:r>
                </w:p>
              </w:tc>
            </w:tr>
            <w:tr w14:paraId="21D5D8B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44814F22">
                  <w:pPr>
                    <w:contextualSpacing/>
                    <w:jc w:val="center"/>
                    <w:textAlignment w:val="baseline"/>
                    <w:rPr>
                      <w:color w:val="000000"/>
                      <w:kern w:val="0"/>
                      <w:szCs w:val="21"/>
                      <w:u w:val="none" w:color="auto"/>
                    </w:rPr>
                  </w:pPr>
                </w:p>
              </w:tc>
              <w:tc>
                <w:tcPr>
                  <w:tcW w:w="1677" w:type="dxa"/>
                  <w:vMerge w:val="continue"/>
                  <w:noWrap/>
                  <w:vAlign w:val="center"/>
                </w:tcPr>
                <w:p w14:paraId="69BF2DA8">
                  <w:pPr>
                    <w:contextualSpacing/>
                    <w:jc w:val="center"/>
                    <w:textAlignment w:val="baseline"/>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p>
              </w:tc>
              <w:tc>
                <w:tcPr>
                  <w:tcW w:w="1677" w:type="dxa"/>
                  <w:noWrap/>
                  <w:vAlign w:val="center"/>
                </w:tcPr>
                <w:p w14:paraId="6A44D036">
                  <w:pPr>
                    <w:contextualSpacing/>
                    <w:jc w:val="center"/>
                    <w:textAlignment w:val="baseline"/>
                    <w:rPr>
                      <w:rFonts w:hint="eastAsia" w:cs="Times New Roman"/>
                      <w:color w:val="000000"/>
                      <w:kern w:val="0"/>
                      <w:sz w:val="21"/>
                      <w:szCs w:val="21"/>
                      <w:u w:val="none" w:color="auto"/>
                      <w:lang w:val="en-US" w:eastAsia="zh-CN"/>
                    </w:rPr>
                  </w:pPr>
                  <w:r>
                    <w:rPr>
                      <w:rFonts w:hint="default" w:ascii="Times New Roman" w:hAnsi="Times New Roman" w:eastAsia="宋体" w:cs="Times New Roman"/>
                      <w:color w:val="000000"/>
                      <w:kern w:val="0"/>
                      <w:sz w:val="21"/>
                      <w:szCs w:val="21"/>
                      <w:u w:val="none" w:color="auto"/>
                    </w:rPr>
                    <w:t>SS</w:t>
                  </w:r>
                </w:p>
              </w:tc>
              <w:tc>
                <w:tcPr>
                  <w:tcW w:w="1836" w:type="dxa"/>
                  <w:noWrap/>
                  <w:vAlign w:val="center"/>
                </w:tcPr>
                <w:p w14:paraId="17E3F0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140</w:t>
                  </w:r>
                </w:p>
              </w:tc>
              <w:tc>
                <w:tcPr>
                  <w:tcW w:w="2008" w:type="dxa"/>
                  <w:noWrap/>
                  <w:vAlign w:val="center"/>
                </w:tcPr>
                <w:p w14:paraId="6FCA646D">
                  <w:pPr>
                    <w:keepNext w:val="0"/>
                    <w:keepLines w:val="0"/>
                    <w:widowControl/>
                    <w:suppressLineNumbers w:val="0"/>
                    <w:jc w:val="center"/>
                    <w:textAlignment w:val="center"/>
                    <w:rPr>
                      <w:rFonts w:hint="eastAsia"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0.1663</w:t>
                  </w:r>
                </w:p>
              </w:tc>
            </w:tr>
            <w:tr w14:paraId="72E5BAC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3D3F630D">
                  <w:pPr>
                    <w:contextualSpacing/>
                    <w:jc w:val="center"/>
                    <w:textAlignment w:val="baseline"/>
                    <w:rPr>
                      <w:color w:val="000000"/>
                      <w:kern w:val="0"/>
                      <w:szCs w:val="21"/>
                      <w:u w:val="none" w:color="auto"/>
                    </w:rPr>
                  </w:pPr>
                </w:p>
              </w:tc>
              <w:tc>
                <w:tcPr>
                  <w:tcW w:w="1677" w:type="dxa"/>
                  <w:vMerge w:val="continue"/>
                  <w:noWrap/>
                  <w:vAlign w:val="center"/>
                </w:tcPr>
                <w:p w14:paraId="29A4D1FF">
                  <w:pPr>
                    <w:contextualSpacing/>
                    <w:jc w:val="center"/>
                    <w:textAlignment w:val="baseline"/>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p>
              </w:tc>
              <w:tc>
                <w:tcPr>
                  <w:tcW w:w="1677" w:type="dxa"/>
                  <w:noWrap/>
                  <w:vAlign w:val="center"/>
                </w:tcPr>
                <w:p w14:paraId="61793480">
                  <w:pPr>
                    <w:contextualSpacing/>
                    <w:jc w:val="center"/>
                    <w:textAlignment w:val="baseline"/>
                    <w:rPr>
                      <w:rFonts w:hint="eastAsia" w:cs="Times New Roman"/>
                      <w:color w:val="000000"/>
                      <w:kern w:val="0"/>
                      <w:sz w:val="21"/>
                      <w:szCs w:val="21"/>
                      <w:u w:val="none" w:color="auto"/>
                      <w:lang w:val="en-US" w:eastAsia="zh-CN"/>
                    </w:rPr>
                  </w:pPr>
                  <w:r>
                    <w:rPr>
                      <w:rFonts w:hint="default" w:ascii="Times New Roman" w:hAnsi="Times New Roman" w:eastAsia="宋体" w:cs="Times New Roman"/>
                      <w:color w:val="000000"/>
                      <w:kern w:val="0"/>
                      <w:sz w:val="21"/>
                      <w:szCs w:val="21"/>
                      <w:u w:val="none" w:color="auto"/>
                    </w:rPr>
                    <w:t>NH</w:t>
                  </w:r>
                  <w:r>
                    <w:rPr>
                      <w:rFonts w:hint="default" w:ascii="Times New Roman" w:hAnsi="Times New Roman" w:eastAsia="宋体" w:cs="Times New Roman"/>
                      <w:color w:val="000000"/>
                      <w:kern w:val="0"/>
                      <w:sz w:val="21"/>
                      <w:szCs w:val="21"/>
                      <w:u w:val="none" w:color="auto"/>
                      <w:vertAlign w:val="subscript"/>
                    </w:rPr>
                    <w:t>3</w:t>
                  </w:r>
                  <w:r>
                    <w:rPr>
                      <w:rFonts w:hint="default" w:ascii="Times New Roman" w:hAnsi="Times New Roman" w:eastAsia="宋体" w:cs="Times New Roman"/>
                      <w:color w:val="000000"/>
                      <w:kern w:val="0"/>
                      <w:sz w:val="21"/>
                      <w:szCs w:val="21"/>
                      <w:u w:val="none" w:color="auto"/>
                    </w:rPr>
                    <w:t>-N</w:t>
                  </w:r>
                </w:p>
              </w:tc>
              <w:tc>
                <w:tcPr>
                  <w:tcW w:w="1836" w:type="dxa"/>
                  <w:noWrap/>
                  <w:vAlign w:val="center"/>
                </w:tcPr>
                <w:p w14:paraId="4ECE2A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28.5</w:t>
                  </w:r>
                </w:p>
              </w:tc>
              <w:tc>
                <w:tcPr>
                  <w:tcW w:w="2008" w:type="dxa"/>
                  <w:noWrap/>
                  <w:vAlign w:val="center"/>
                </w:tcPr>
                <w:p w14:paraId="08F70FF4">
                  <w:pPr>
                    <w:keepNext w:val="0"/>
                    <w:keepLines w:val="0"/>
                    <w:widowControl/>
                    <w:suppressLineNumbers w:val="0"/>
                    <w:jc w:val="center"/>
                    <w:textAlignment w:val="center"/>
                    <w:rPr>
                      <w:rFonts w:hint="eastAsia"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0.0339</w:t>
                  </w:r>
                </w:p>
              </w:tc>
            </w:tr>
            <w:tr w14:paraId="3D08756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7A2CCFB7">
                  <w:pPr>
                    <w:contextualSpacing/>
                    <w:jc w:val="center"/>
                    <w:textAlignment w:val="baseline"/>
                    <w:rPr>
                      <w:color w:val="000000"/>
                      <w:kern w:val="0"/>
                      <w:szCs w:val="21"/>
                      <w:u w:val="none" w:color="auto"/>
                    </w:rPr>
                  </w:pPr>
                </w:p>
              </w:tc>
              <w:tc>
                <w:tcPr>
                  <w:tcW w:w="1677" w:type="dxa"/>
                  <w:vMerge w:val="continue"/>
                  <w:noWrap/>
                  <w:vAlign w:val="center"/>
                </w:tcPr>
                <w:p w14:paraId="7E58EC98">
                  <w:pPr>
                    <w:contextualSpacing/>
                    <w:jc w:val="center"/>
                    <w:textAlignment w:val="baseline"/>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p>
              </w:tc>
              <w:tc>
                <w:tcPr>
                  <w:tcW w:w="1677" w:type="dxa"/>
                  <w:noWrap/>
                  <w:vAlign w:val="center"/>
                </w:tcPr>
                <w:p w14:paraId="0B83609A">
                  <w:pPr>
                    <w:contextualSpacing/>
                    <w:jc w:val="center"/>
                    <w:textAlignment w:val="baseline"/>
                    <w:rPr>
                      <w:rFonts w:hint="eastAsia" w:cs="Times New Roman"/>
                      <w:color w:val="000000"/>
                      <w:kern w:val="0"/>
                      <w:sz w:val="21"/>
                      <w:szCs w:val="21"/>
                      <w:u w:val="none" w:color="auto"/>
                      <w:lang w:val="en-US" w:eastAsia="zh-CN"/>
                    </w:rPr>
                  </w:pPr>
                  <w:r>
                    <w:rPr>
                      <w:rFonts w:hint="default" w:ascii="Times New Roman" w:hAnsi="Times New Roman" w:eastAsia="宋体" w:cs="Times New Roman"/>
                      <w:color w:val="000000"/>
                      <w:kern w:val="0"/>
                      <w:sz w:val="21"/>
                      <w:szCs w:val="21"/>
                      <w:u w:val="none" w:color="auto"/>
                    </w:rPr>
                    <w:t>TP</w:t>
                  </w:r>
                </w:p>
              </w:tc>
              <w:tc>
                <w:tcPr>
                  <w:tcW w:w="1836" w:type="dxa"/>
                  <w:noWrap/>
                  <w:vAlign w:val="center"/>
                </w:tcPr>
                <w:p w14:paraId="4F2A0F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2008" w:type="dxa"/>
                  <w:noWrap/>
                  <w:vAlign w:val="center"/>
                </w:tcPr>
                <w:p w14:paraId="34CC0A41">
                  <w:pPr>
                    <w:keepNext w:val="0"/>
                    <w:keepLines w:val="0"/>
                    <w:widowControl/>
                    <w:suppressLineNumbers w:val="0"/>
                    <w:jc w:val="center"/>
                    <w:textAlignment w:val="center"/>
                    <w:rPr>
                      <w:rFonts w:hint="eastAsia"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0.0036</w:t>
                  </w:r>
                </w:p>
              </w:tc>
            </w:tr>
            <w:tr w14:paraId="6C30A67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14174204">
                  <w:pPr>
                    <w:contextualSpacing/>
                    <w:jc w:val="center"/>
                    <w:textAlignment w:val="baseline"/>
                    <w:rPr>
                      <w:color w:val="000000"/>
                      <w:kern w:val="0"/>
                      <w:szCs w:val="21"/>
                      <w:u w:val="none" w:color="auto"/>
                    </w:rPr>
                  </w:pPr>
                </w:p>
              </w:tc>
              <w:tc>
                <w:tcPr>
                  <w:tcW w:w="1677" w:type="dxa"/>
                  <w:vMerge w:val="continue"/>
                  <w:noWrap/>
                  <w:vAlign w:val="center"/>
                </w:tcPr>
                <w:p w14:paraId="6753728E">
                  <w:pPr>
                    <w:contextualSpacing/>
                    <w:jc w:val="center"/>
                    <w:textAlignment w:val="baseline"/>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p>
              </w:tc>
              <w:tc>
                <w:tcPr>
                  <w:tcW w:w="1677" w:type="dxa"/>
                  <w:noWrap/>
                  <w:vAlign w:val="center"/>
                </w:tcPr>
                <w:p w14:paraId="396B1AC3">
                  <w:pPr>
                    <w:contextualSpacing/>
                    <w:jc w:val="center"/>
                    <w:textAlignment w:val="baseline"/>
                    <w:rPr>
                      <w:rFonts w:hint="eastAsia" w:cs="Times New Roman"/>
                      <w:color w:val="000000"/>
                      <w:kern w:val="0"/>
                      <w:sz w:val="21"/>
                      <w:szCs w:val="21"/>
                      <w:u w:val="none" w:color="auto"/>
                      <w:lang w:val="en-US" w:eastAsia="zh-CN"/>
                    </w:rPr>
                  </w:pPr>
                  <w:r>
                    <w:rPr>
                      <w:rFonts w:hint="default" w:ascii="Times New Roman" w:hAnsi="Times New Roman" w:eastAsia="宋体" w:cs="Times New Roman"/>
                      <w:color w:val="000000"/>
                      <w:kern w:val="0"/>
                      <w:sz w:val="21"/>
                      <w:szCs w:val="21"/>
                      <w:u w:val="none" w:color="auto"/>
                    </w:rPr>
                    <w:t>TN</w:t>
                  </w:r>
                </w:p>
              </w:tc>
              <w:tc>
                <w:tcPr>
                  <w:tcW w:w="1836" w:type="dxa"/>
                  <w:noWrap/>
                  <w:vAlign w:val="center"/>
                </w:tcPr>
                <w:p w14:paraId="79B946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31.5</w:t>
                  </w:r>
                </w:p>
              </w:tc>
              <w:tc>
                <w:tcPr>
                  <w:tcW w:w="2008" w:type="dxa"/>
                  <w:noWrap/>
                  <w:vAlign w:val="center"/>
                </w:tcPr>
                <w:p w14:paraId="5324D4AC">
                  <w:pPr>
                    <w:keepNext w:val="0"/>
                    <w:keepLines w:val="0"/>
                    <w:widowControl/>
                    <w:suppressLineNumbers w:val="0"/>
                    <w:jc w:val="center"/>
                    <w:textAlignment w:val="center"/>
                    <w:rPr>
                      <w:rFonts w:hint="eastAsia" w:ascii="Times New Roman" w:hAnsi="Times New Roman" w:eastAsia="宋体" w:cs="Times New Roman"/>
                      <w:color w:val="000000"/>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0.0374</w:t>
                  </w:r>
                </w:p>
              </w:tc>
            </w:tr>
            <w:tr w14:paraId="18669E5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restart"/>
                  <w:noWrap/>
                  <w:vAlign w:val="center"/>
                </w:tcPr>
                <w:p w14:paraId="5FDD706B">
                  <w:pPr>
                    <w:contextualSpacing/>
                    <w:jc w:val="center"/>
                    <w:textAlignment w:val="baseline"/>
                    <w:rPr>
                      <w:rFonts w:hint="eastAsia" w:eastAsia="宋体"/>
                      <w:color w:val="000000"/>
                      <w:kern w:val="0"/>
                      <w:szCs w:val="21"/>
                      <w:u w:val="none" w:color="auto"/>
                      <w:lang w:eastAsia="zh-CN"/>
                    </w:rPr>
                  </w:pPr>
                  <w:r>
                    <w:rPr>
                      <w:rFonts w:hint="eastAsia"/>
                      <w:color w:val="000000"/>
                      <w:kern w:val="0"/>
                      <w:szCs w:val="21"/>
                      <w:u w:val="none" w:color="auto"/>
                      <w:lang w:val="en-US" w:eastAsia="zh-CN"/>
                    </w:rPr>
                    <w:t>4</w:t>
                  </w:r>
                </w:p>
              </w:tc>
              <w:tc>
                <w:tcPr>
                  <w:tcW w:w="1677" w:type="dxa"/>
                  <w:vMerge w:val="restart"/>
                  <w:noWrap/>
                  <w:vAlign w:val="center"/>
                </w:tcPr>
                <w:p w14:paraId="6C503D9C">
                  <w:pPr>
                    <w:tabs>
                      <w:tab w:val="left" w:pos="3620"/>
                    </w:tabs>
                    <w:adjustRightInd w:val="0"/>
                    <w:snapToGrid w:val="0"/>
                    <w:jc w:val="center"/>
                    <w:rPr>
                      <w:rFonts w:hint="default" w:ascii="Times New Roman" w:hAnsi="Times New Roman" w:eastAsia="宋体" w:cs="Times New Roman"/>
                      <w:color w:val="000000" w:themeColor="text1"/>
                      <w:sz w:val="21"/>
                      <w:szCs w:val="21"/>
                      <w:u w:val="none" w:color="auto"/>
                      <w14:textFill>
                        <w14:solidFill>
                          <w14:schemeClr w14:val="tx1"/>
                        </w14:solidFill>
                      </w14:textFill>
                    </w:rPr>
                  </w:pPr>
                  <w:r>
                    <w:rPr>
                      <w:rFonts w:hint="default" w:ascii="Times New Roman" w:hAnsi="Times New Roman" w:eastAsia="宋体" w:cs="Times New Roman"/>
                      <w:color w:val="000000" w:themeColor="text1"/>
                      <w:kern w:val="0"/>
                      <w:sz w:val="21"/>
                      <w:szCs w:val="21"/>
                      <w:u w:val="none" w:color="auto"/>
                      <w:lang w:val="en-US" w:eastAsia="zh-CN"/>
                      <w14:textFill>
                        <w14:solidFill>
                          <w14:schemeClr w14:val="tx1"/>
                        </w14:solidFill>
                      </w14:textFill>
                    </w:rPr>
                    <w:t>新乡市贾屯</w:t>
                  </w:r>
                  <w:r>
                    <w:rPr>
                      <w:rFonts w:hint="default" w:ascii="Times New Roman" w:hAnsi="Times New Roman" w:eastAsia="宋体" w:cs="Times New Roman"/>
                      <w:color w:val="000000" w:themeColor="text1"/>
                      <w:kern w:val="0"/>
                      <w:sz w:val="21"/>
                      <w:szCs w:val="21"/>
                      <w:u w:val="none" w:color="auto"/>
                      <w14:textFill>
                        <w14:solidFill>
                          <w14:schemeClr w14:val="tx1"/>
                        </w14:solidFill>
                      </w14:textFill>
                    </w:rPr>
                    <w:t>污水处理厂</w:t>
                  </w:r>
                  <w:r>
                    <w:rPr>
                      <w:rFonts w:hint="default" w:ascii="Times New Roman" w:hAnsi="Times New Roman" w:eastAsia="宋体" w:cs="Times New Roman"/>
                      <w:color w:val="000000" w:themeColor="text1"/>
                      <w:sz w:val="21"/>
                      <w:szCs w:val="21"/>
                      <w:u w:val="none" w:color="auto"/>
                      <w14:textFill>
                        <w14:solidFill>
                          <w14:schemeClr w14:val="tx1"/>
                        </w14:solidFill>
                      </w14:textFill>
                    </w:rPr>
                    <w:t>出水口</w:t>
                  </w:r>
                  <w:r>
                    <w:rPr>
                      <w:rFonts w:hint="eastAsia" w:cs="Times New Roman"/>
                      <w:color w:val="000000" w:themeColor="text1"/>
                      <w:kern w:val="0"/>
                      <w:sz w:val="21"/>
                      <w:szCs w:val="21"/>
                      <w:u w:val="none" w:color="auto"/>
                      <w:lang w:val="en-US" w:eastAsia="zh-CN"/>
                      <w14:textFill>
                        <w14:solidFill>
                          <w14:schemeClr w14:val="tx1"/>
                        </w14:solidFill>
                      </w14:textFill>
                    </w:rPr>
                    <w:t>(29855.1</w:t>
                  </w:r>
                  <w:r>
                    <w:rPr>
                      <w:rFonts w:hint="default" w:ascii="Times New Roman" w:hAnsi="Times New Roman" w:eastAsia="宋体" w:cs="Times New Roman"/>
                      <w:color w:val="000000" w:themeColor="text1"/>
                      <w:sz w:val="21"/>
                      <w:szCs w:val="21"/>
                      <w:u w:val="none" w:color="auto"/>
                      <w14:textFill>
                        <w14:solidFill>
                          <w14:schemeClr w14:val="tx1"/>
                        </w14:solidFill>
                      </w14:textFill>
                    </w:rPr>
                    <w:t>t/a</w:t>
                  </w:r>
                  <w:r>
                    <w:rPr>
                      <w:rFonts w:hint="eastAsia" w:cs="Times New Roman"/>
                      <w:color w:val="000000" w:themeColor="text1"/>
                      <w:kern w:val="0"/>
                      <w:sz w:val="21"/>
                      <w:szCs w:val="21"/>
                      <w:u w:val="none" w:color="auto"/>
                      <w:lang w:val="en-US" w:eastAsia="zh-CN"/>
                      <w14:textFill>
                        <w14:solidFill>
                          <w14:schemeClr w14:val="tx1"/>
                        </w14:solidFill>
                      </w14:textFill>
                    </w:rPr>
                    <w:t>)</w:t>
                  </w:r>
                </w:p>
              </w:tc>
              <w:tc>
                <w:tcPr>
                  <w:tcW w:w="1677" w:type="dxa"/>
                  <w:noWrap/>
                  <w:vAlign w:val="center"/>
                </w:tcPr>
                <w:p w14:paraId="2B26C596">
                  <w:pPr>
                    <w:contextualSpacing/>
                    <w:jc w:val="center"/>
                    <w:textAlignment w:val="baseline"/>
                    <w:rPr>
                      <w:rFonts w:hint="default" w:ascii="Times New Roman" w:hAnsi="Times New Roman" w:eastAsia="宋体" w:cs="Times New Roman"/>
                      <w:color w:val="000000"/>
                      <w:kern w:val="0"/>
                      <w:sz w:val="21"/>
                      <w:szCs w:val="21"/>
                      <w:u w:val="none" w:color="auto"/>
                    </w:rPr>
                  </w:pPr>
                  <w:r>
                    <w:rPr>
                      <w:rFonts w:hint="default" w:ascii="Times New Roman" w:hAnsi="Times New Roman" w:eastAsia="宋体" w:cs="Times New Roman"/>
                      <w:color w:val="000000"/>
                      <w:kern w:val="0"/>
                      <w:sz w:val="21"/>
                      <w:szCs w:val="21"/>
                      <w:u w:val="none" w:color="auto"/>
                    </w:rPr>
                    <w:t>COD</w:t>
                  </w:r>
                </w:p>
              </w:tc>
              <w:tc>
                <w:tcPr>
                  <w:tcW w:w="1836" w:type="dxa"/>
                  <w:noWrap/>
                  <w:vAlign w:val="center"/>
                </w:tcPr>
                <w:p w14:paraId="460C8F2C">
                  <w:pPr>
                    <w:jc w:val="center"/>
                    <w:rPr>
                      <w:rFonts w:hint="default" w:ascii="Times New Roman" w:hAnsi="Times New Roman" w:eastAsia="宋体" w:cs="Times New Roman"/>
                      <w:color w:val="000000"/>
                      <w:sz w:val="21"/>
                      <w:szCs w:val="21"/>
                      <w:u w:val="none" w:color="auto"/>
                    </w:rPr>
                  </w:pPr>
                  <w:r>
                    <w:rPr>
                      <w:rFonts w:hint="default" w:ascii="Times New Roman" w:hAnsi="Times New Roman" w:eastAsia="宋体" w:cs="Times New Roman"/>
                      <w:color w:val="000000"/>
                      <w:sz w:val="21"/>
                      <w:szCs w:val="21"/>
                      <w:u w:val="none" w:color="auto"/>
                    </w:rPr>
                    <w:t>40</w:t>
                  </w:r>
                </w:p>
              </w:tc>
              <w:tc>
                <w:tcPr>
                  <w:tcW w:w="2008" w:type="dxa"/>
                  <w:noWrap/>
                  <w:vAlign w:val="center"/>
                </w:tcPr>
                <w:p w14:paraId="18BC583D">
                  <w:pPr>
                    <w:jc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 xml:space="preserve">1.1942 </w:t>
                  </w:r>
                </w:p>
              </w:tc>
            </w:tr>
            <w:tr w14:paraId="34C0960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0C3A0374">
                  <w:pPr>
                    <w:contextualSpacing/>
                    <w:jc w:val="center"/>
                    <w:textAlignment w:val="baseline"/>
                    <w:rPr>
                      <w:color w:val="000000"/>
                      <w:kern w:val="0"/>
                      <w:szCs w:val="21"/>
                      <w:u w:val="none" w:color="auto"/>
                    </w:rPr>
                  </w:pPr>
                </w:p>
              </w:tc>
              <w:tc>
                <w:tcPr>
                  <w:tcW w:w="1677" w:type="dxa"/>
                  <w:vMerge w:val="continue"/>
                  <w:noWrap/>
                  <w:vAlign w:val="center"/>
                </w:tcPr>
                <w:p w14:paraId="27314150">
                  <w:pPr>
                    <w:contextualSpacing/>
                    <w:jc w:val="center"/>
                    <w:textAlignment w:val="baseline"/>
                    <w:rPr>
                      <w:rFonts w:hint="default" w:ascii="Times New Roman" w:hAnsi="Times New Roman" w:eastAsia="宋体" w:cs="Times New Roman"/>
                      <w:color w:val="000000"/>
                      <w:kern w:val="0"/>
                      <w:sz w:val="21"/>
                      <w:szCs w:val="21"/>
                      <w:u w:val="none" w:color="auto"/>
                    </w:rPr>
                  </w:pPr>
                </w:p>
              </w:tc>
              <w:tc>
                <w:tcPr>
                  <w:tcW w:w="1677" w:type="dxa"/>
                  <w:noWrap/>
                  <w:vAlign w:val="center"/>
                </w:tcPr>
                <w:p w14:paraId="3388A601">
                  <w:pPr>
                    <w:contextualSpacing/>
                    <w:jc w:val="center"/>
                    <w:textAlignment w:val="baseline"/>
                    <w:rPr>
                      <w:rFonts w:hint="default" w:ascii="Times New Roman" w:hAnsi="Times New Roman" w:eastAsia="宋体" w:cs="Times New Roman"/>
                      <w:color w:val="000000"/>
                      <w:kern w:val="0"/>
                      <w:sz w:val="21"/>
                      <w:szCs w:val="21"/>
                      <w:u w:val="none" w:color="auto"/>
                    </w:rPr>
                  </w:pPr>
                  <w:r>
                    <w:rPr>
                      <w:rFonts w:hint="default" w:ascii="Times New Roman" w:hAnsi="Times New Roman" w:eastAsia="宋体" w:cs="Times New Roman"/>
                      <w:color w:val="000000"/>
                      <w:kern w:val="0"/>
                      <w:sz w:val="21"/>
                      <w:szCs w:val="21"/>
                      <w:u w:val="none" w:color="auto"/>
                    </w:rPr>
                    <w:t>SS</w:t>
                  </w:r>
                </w:p>
              </w:tc>
              <w:tc>
                <w:tcPr>
                  <w:tcW w:w="1836" w:type="dxa"/>
                  <w:noWrap/>
                  <w:vAlign w:val="center"/>
                </w:tcPr>
                <w:p w14:paraId="103C2529">
                  <w:pPr>
                    <w:jc w:val="center"/>
                    <w:rPr>
                      <w:rFonts w:hint="default" w:ascii="Times New Roman" w:hAnsi="Times New Roman" w:eastAsia="宋体" w:cs="Times New Roman"/>
                      <w:color w:val="000000"/>
                      <w:sz w:val="21"/>
                      <w:szCs w:val="21"/>
                      <w:u w:val="none" w:color="auto"/>
                    </w:rPr>
                  </w:pPr>
                  <w:r>
                    <w:rPr>
                      <w:rFonts w:hint="default" w:ascii="Times New Roman" w:hAnsi="Times New Roman" w:eastAsia="宋体" w:cs="Times New Roman"/>
                      <w:color w:val="000000"/>
                      <w:sz w:val="21"/>
                      <w:szCs w:val="21"/>
                      <w:u w:val="none" w:color="auto"/>
                    </w:rPr>
                    <w:t>10</w:t>
                  </w:r>
                </w:p>
              </w:tc>
              <w:tc>
                <w:tcPr>
                  <w:tcW w:w="2008" w:type="dxa"/>
                  <w:noWrap/>
                  <w:vAlign w:val="center"/>
                </w:tcPr>
                <w:p w14:paraId="4D02AA7C">
                  <w:pPr>
                    <w:jc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0.298</w:t>
                  </w:r>
                  <w:r>
                    <w:rPr>
                      <w:rFonts w:hint="eastAsia" w:cs="Times New Roman"/>
                      <w:color w:val="000000"/>
                      <w:sz w:val="21"/>
                      <w:szCs w:val="21"/>
                      <w:u w:val="none" w:color="auto"/>
                      <w:lang w:val="en-US" w:eastAsia="zh-CN"/>
                    </w:rPr>
                    <w:t>6</w:t>
                  </w:r>
                  <w:r>
                    <w:rPr>
                      <w:rFonts w:hint="eastAsia" w:ascii="Times New Roman" w:hAnsi="Times New Roman" w:eastAsia="宋体" w:cs="Times New Roman"/>
                      <w:color w:val="000000"/>
                      <w:sz w:val="21"/>
                      <w:szCs w:val="21"/>
                      <w:u w:val="none" w:color="auto"/>
                      <w:lang w:val="en-US" w:eastAsia="zh-CN"/>
                    </w:rPr>
                    <w:t xml:space="preserve"> </w:t>
                  </w:r>
                </w:p>
              </w:tc>
            </w:tr>
            <w:tr w14:paraId="2B49E90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5330A8B2">
                  <w:pPr>
                    <w:contextualSpacing/>
                    <w:jc w:val="center"/>
                    <w:textAlignment w:val="baseline"/>
                    <w:rPr>
                      <w:color w:val="000000"/>
                      <w:kern w:val="0"/>
                      <w:szCs w:val="21"/>
                      <w:u w:val="none" w:color="auto"/>
                    </w:rPr>
                  </w:pPr>
                </w:p>
              </w:tc>
              <w:tc>
                <w:tcPr>
                  <w:tcW w:w="1677" w:type="dxa"/>
                  <w:vMerge w:val="continue"/>
                  <w:noWrap/>
                  <w:vAlign w:val="center"/>
                </w:tcPr>
                <w:p w14:paraId="11696114">
                  <w:pPr>
                    <w:contextualSpacing/>
                    <w:jc w:val="center"/>
                    <w:textAlignment w:val="baseline"/>
                    <w:rPr>
                      <w:rFonts w:hint="default" w:ascii="Times New Roman" w:hAnsi="Times New Roman" w:eastAsia="宋体" w:cs="Times New Roman"/>
                      <w:color w:val="000000"/>
                      <w:kern w:val="0"/>
                      <w:sz w:val="21"/>
                      <w:szCs w:val="21"/>
                      <w:u w:val="none" w:color="auto"/>
                    </w:rPr>
                  </w:pPr>
                </w:p>
              </w:tc>
              <w:tc>
                <w:tcPr>
                  <w:tcW w:w="1677" w:type="dxa"/>
                  <w:noWrap/>
                  <w:vAlign w:val="center"/>
                </w:tcPr>
                <w:p w14:paraId="2B6792FA">
                  <w:pPr>
                    <w:contextualSpacing/>
                    <w:jc w:val="center"/>
                    <w:textAlignment w:val="baseline"/>
                    <w:rPr>
                      <w:rFonts w:hint="default" w:ascii="Times New Roman" w:hAnsi="Times New Roman" w:eastAsia="宋体" w:cs="Times New Roman"/>
                      <w:color w:val="000000"/>
                      <w:kern w:val="0"/>
                      <w:sz w:val="21"/>
                      <w:szCs w:val="21"/>
                      <w:u w:val="none" w:color="auto"/>
                    </w:rPr>
                  </w:pPr>
                  <w:r>
                    <w:rPr>
                      <w:rFonts w:hint="default" w:ascii="Times New Roman" w:hAnsi="Times New Roman" w:eastAsia="宋体" w:cs="Times New Roman"/>
                      <w:color w:val="000000"/>
                      <w:kern w:val="0"/>
                      <w:sz w:val="21"/>
                      <w:szCs w:val="21"/>
                      <w:u w:val="none" w:color="auto"/>
                    </w:rPr>
                    <w:t>NH</w:t>
                  </w:r>
                  <w:r>
                    <w:rPr>
                      <w:rFonts w:hint="default" w:ascii="Times New Roman" w:hAnsi="Times New Roman" w:eastAsia="宋体" w:cs="Times New Roman"/>
                      <w:color w:val="000000"/>
                      <w:kern w:val="0"/>
                      <w:sz w:val="21"/>
                      <w:szCs w:val="21"/>
                      <w:u w:val="none" w:color="auto"/>
                      <w:vertAlign w:val="subscript"/>
                    </w:rPr>
                    <w:t>3</w:t>
                  </w:r>
                  <w:r>
                    <w:rPr>
                      <w:rFonts w:hint="default" w:ascii="Times New Roman" w:hAnsi="Times New Roman" w:eastAsia="宋体" w:cs="Times New Roman"/>
                      <w:color w:val="000000"/>
                      <w:kern w:val="0"/>
                      <w:sz w:val="21"/>
                      <w:szCs w:val="21"/>
                      <w:u w:val="none" w:color="auto"/>
                    </w:rPr>
                    <w:t>-N</w:t>
                  </w:r>
                </w:p>
              </w:tc>
              <w:tc>
                <w:tcPr>
                  <w:tcW w:w="1836" w:type="dxa"/>
                  <w:noWrap/>
                  <w:vAlign w:val="center"/>
                </w:tcPr>
                <w:p w14:paraId="01810605">
                  <w:pPr>
                    <w:jc w:val="center"/>
                    <w:rPr>
                      <w:rFonts w:hint="default" w:ascii="Times New Roman" w:hAnsi="Times New Roman" w:eastAsia="宋体" w:cs="Times New Roman"/>
                      <w:color w:val="000000"/>
                      <w:sz w:val="21"/>
                      <w:szCs w:val="21"/>
                      <w:u w:val="none" w:color="auto"/>
                    </w:rPr>
                  </w:pPr>
                  <w:r>
                    <w:rPr>
                      <w:rFonts w:hint="default" w:ascii="Times New Roman" w:hAnsi="Times New Roman" w:eastAsia="宋体" w:cs="Times New Roman"/>
                      <w:color w:val="000000"/>
                      <w:sz w:val="21"/>
                      <w:szCs w:val="21"/>
                      <w:u w:val="none" w:color="auto"/>
                    </w:rPr>
                    <w:t>2</w:t>
                  </w:r>
                </w:p>
              </w:tc>
              <w:tc>
                <w:tcPr>
                  <w:tcW w:w="2008" w:type="dxa"/>
                  <w:noWrap/>
                  <w:vAlign w:val="center"/>
                </w:tcPr>
                <w:p w14:paraId="58BE7E86">
                  <w:pPr>
                    <w:jc w:val="center"/>
                    <w:rPr>
                      <w:rFonts w:hint="default" w:ascii="Times New Roman" w:hAnsi="Times New Roman" w:eastAsia="宋体" w:cs="Times New Roman"/>
                      <w:color w:val="000000"/>
                      <w:sz w:val="21"/>
                      <w:szCs w:val="21"/>
                      <w:u w:val="none" w:color="auto"/>
                      <w:lang w:val="en-US" w:eastAsia="zh-CN"/>
                    </w:rPr>
                  </w:pPr>
                  <w:r>
                    <w:rPr>
                      <w:rFonts w:hint="eastAsia" w:cs="Times New Roman"/>
                      <w:color w:val="000000"/>
                      <w:sz w:val="21"/>
                      <w:szCs w:val="21"/>
                      <w:u w:val="none" w:color="auto"/>
                      <w:lang w:val="en-US" w:eastAsia="zh-CN"/>
                    </w:rPr>
                    <w:t>0.0259</w:t>
                  </w:r>
                </w:p>
              </w:tc>
            </w:tr>
            <w:tr w14:paraId="22451EA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59" w:type="dxa"/>
                  <w:vMerge w:val="continue"/>
                  <w:noWrap/>
                  <w:vAlign w:val="center"/>
                </w:tcPr>
                <w:p w14:paraId="4E2587C2">
                  <w:pPr>
                    <w:contextualSpacing/>
                    <w:jc w:val="center"/>
                    <w:textAlignment w:val="baseline"/>
                    <w:rPr>
                      <w:color w:val="000000"/>
                      <w:kern w:val="0"/>
                      <w:szCs w:val="21"/>
                      <w:u w:val="none" w:color="auto"/>
                    </w:rPr>
                  </w:pPr>
                </w:p>
              </w:tc>
              <w:tc>
                <w:tcPr>
                  <w:tcW w:w="1677" w:type="dxa"/>
                  <w:vMerge w:val="continue"/>
                  <w:noWrap/>
                  <w:vAlign w:val="center"/>
                </w:tcPr>
                <w:p w14:paraId="757B6F68">
                  <w:pPr>
                    <w:contextualSpacing/>
                    <w:jc w:val="center"/>
                    <w:textAlignment w:val="baseline"/>
                    <w:rPr>
                      <w:rFonts w:hint="default" w:ascii="Times New Roman" w:hAnsi="Times New Roman" w:eastAsia="宋体" w:cs="Times New Roman"/>
                      <w:color w:val="000000"/>
                      <w:kern w:val="0"/>
                      <w:sz w:val="21"/>
                      <w:szCs w:val="21"/>
                      <w:u w:val="none" w:color="auto"/>
                    </w:rPr>
                  </w:pPr>
                </w:p>
              </w:tc>
              <w:tc>
                <w:tcPr>
                  <w:tcW w:w="1677" w:type="dxa"/>
                  <w:noWrap/>
                  <w:vAlign w:val="center"/>
                </w:tcPr>
                <w:p w14:paraId="0EDAC346">
                  <w:pPr>
                    <w:contextualSpacing/>
                    <w:jc w:val="center"/>
                    <w:textAlignment w:val="baseline"/>
                    <w:rPr>
                      <w:rFonts w:hint="default" w:ascii="Times New Roman" w:hAnsi="Times New Roman" w:eastAsia="宋体" w:cs="Times New Roman"/>
                      <w:color w:val="000000"/>
                      <w:kern w:val="0"/>
                      <w:sz w:val="21"/>
                      <w:szCs w:val="21"/>
                      <w:u w:val="none" w:color="auto"/>
                    </w:rPr>
                  </w:pPr>
                  <w:r>
                    <w:rPr>
                      <w:rFonts w:hint="default" w:ascii="Times New Roman" w:hAnsi="Times New Roman" w:eastAsia="宋体" w:cs="Times New Roman"/>
                      <w:color w:val="000000"/>
                      <w:kern w:val="0"/>
                      <w:sz w:val="21"/>
                      <w:szCs w:val="21"/>
                      <w:u w:val="none" w:color="auto"/>
                    </w:rPr>
                    <w:t>TP</w:t>
                  </w:r>
                </w:p>
              </w:tc>
              <w:tc>
                <w:tcPr>
                  <w:tcW w:w="1836" w:type="dxa"/>
                  <w:noWrap/>
                  <w:vAlign w:val="center"/>
                </w:tcPr>
                <w:p w14:paraId="3AE5F362">
                  <w:pPr>
                    <w:jc w:val="center"/>
                    <w:rPr>
                      <w:rFonts w:hint="default" w:ascii="Times New Roman" w:hAnsi="Times New Roman" w:eastAsia="宋体" w:cs="Times New Roman"/>
                      <w:color w:val="000000"/>
                      <w:sz w:val="21"/>
                      <w:szCs w:val="21"/>
                      <w:u w:val="none" w:color="auto"/>
                    </w:rPr>
                  </w:pPr>
                  <w:r>
                    <w:rPr>
                      <w:rFonts w:hint="default" w:ascii="Times New Roman" w:hAnsi="Times New Roman" w:eastAsia="宋体" w:cs="Times New Roman"/>
                      <w:color w:val="000000"/>
                      <w:sz w:val="21"/>
                      <w:szCs w:val="21"/>
                      <w:u w:val="none" w:color="auto"/>
                    </w:rPr>
                    <w:t>0.4</w:t>
                  </w:r>
                </w:p>
              </w:tc>
              <w:tc>
                <w:tcPr>
                  <w:tcW w:w="2008" w:type="dxa"/>
                  <w:noWrap/>
                  <w:vAlign w:val="center"/>
                </w:tcPr>
                <w:p w14:paraId="6216F2CB">
                  <w:pPr>
                    <w:jc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0.0119</w:t>
                  </w:r>
                </w:p>
              </w:tc>
            </w:tr>
            <w:tr w14:paraId="026BF90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59" w:type="dxa"/>
                  <w:vMerge w:val="continue"/>
                  <w:noWrap/>
                  <w:vAlign w:val="center"/>
                </w:tcPr>
                <w:p w14:paraId="16D4C442">
                  <w:pPr>
                    <w:contextualSpacing/>
                    <w:jc w:val="center"/>
                    <w:textAlignment w:val="baseline"/>
                    <w:rPr>
                      <w:color w:val="000000"/>
                      <w:kern w:val="0"/>
                      <w:szCs w:val="21"/>
                      <w:u w:val="none" w:color="auto"/>
                    </w:rPr>
                  </w:pPr>
                </w:p>
              </w:tc>
              <w:tc>
                <w:tcPr>
                  <w:tcW w:w="1677" w:type="dxa"/>
                  <w:vMerge w:val="continue"/>
                  <w:noWrap/>
                  <w:vAlign w:val="center"/>
                </w:tcPr>
                <w:p w14:paraId="11678727">
                  <w:pPr>
                    <w:contextualSpacing/>
                    <w:jc w:val="center"/>
                    <w:textAlignment w:val="baseline"/>
                    <w:rPr>
                      <w:rFonts w:hint="default" w:ascii="Times New Roman" w:hAnsi="Times New Roman" w:eastAsia="宋体" w:cs="Times New Roman"/>
                      <w:color w:val="000000"/>
                      <w:kern w:val="0"/>
                      <w:sz w:val="21"/>
                      <w:szCs w:val="21"/>
                      <w:u w:val="none" w:color="auto"/>
                    </w:rPr>
                  </w:pPr>
                </w:p>
              </w:tc>
              <w:tc>
                <w:tcPr>
                  <w:tcW w:w="1677" w:type="dxa"/>
                  <w:noWrap/>
                  <w:vAlign w:val="center"/>
                </w:tcPr>
                <w:p w14:paraId="39CFEFEA">
                  <w:pPr>
                    <w:contextualSpacing/>
                    <w:jc w:val="center"/>
                    <w:textAlignment w:val="baseline"/>
                    <w:rPr>
                      <w:rFonts w:hint="default" w:ascii="Times New Roman" w:hAnsi="Times New Roman" w:eastAsia="宋体" w:cs="Times New Roman"/>
                      <w:color w:val="000000"/>
                      <w:kern w:val="0"/>
                      <w:sz w:val="21"/>
                      <w:szCs w:val="21"/>
                      <w:u w:val="none" w:color="auto"/>
                    </w:rPr>
                  </w:pPr>
                  <w:r>
                    <w:rPr>
                      <w:rFonts w:hint="default" w:ascii="Times New Roman" w:hAnsi="Times New Roman" w:eastAsia="宋体" w:cs="Times New Roman"/>
                      <w:color w:val="000000"/>
                      <w:kern w:val="0"/>
                      <w:sz w:val="21"/>
                      <w:szCs w:val="21"/>
                      <w:u w:val="none" w:color="auto"/>
                    </w:rPr>
                    <w:t>TN</w:t>
                  </w:r>
                </w:p>
              </w:tc>
              <w:tc>
                <w:tcPr>
                  <w:tcW w:w="1836" w:type="dxa"/>
                  <w:noWrap/>
                  <w:vAlign w:val="center"/>
                </w:tcPr>
                <w:p w14:paraId="72C48929">
                  <w:pPr>
                    <w:jc w:val="center"/>
                    <w:rPr>
                      <w:rFonts w:hint="default" w:ascii="Times New Roman" w:hAnsi="Times New Roman" w:eastAsia="宋体" w:cs="Times New Roman"/>
                      <w:color w:val="000000"/>
                      <w:sz w:val="21"/>
                      <w:szCs w:val="21"/>
                      <w:u w:val="none" w:color="auto"/>
                    </w:rPr>
                  </w:pPr>
                  <w:r>
                    <w:rPr>
                      <w:rFonts w:hint="default" w:ascii="Times New Roman" w:hAnsi="Times New Roman" w:eastAsia="宋体" w:cs="Times New Roman"/>
                      <w:color w:val="000000"/>
                      <w:sz w:val="21"/>
                      <w:szCs w:val="21"/>
                      <w:u w:val="none" w:color="auto"/>
                    </w:rPr>
                    <w:t>15</w:t>
                  </w:r>
                </w:p>
              </w:tc>
              <w:tc>
                <w:tcPr>
                  <w:tcW w:w="2008" w:type="dxa"/>
                  <w:noWrap/>
                  <w:vAlign w:val="center"/>
                </w:tcPr>
                <w:p w14:paraId="57C1B0E8">
                  <w:pPr>
                    <w:jc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0.44</w:t>
                  </w:r>
                  <w:r>
                    <w:rPr>
                      <w:rFonts w:hint="eastAsia" w:cs="Times New Roman"/>
                      <w:color w:val="000000"/>
                      <w:sz w:val="21"/>
                      <w:szCs w:val="21"/>
                      <w:u w:val="none" w:color="auto"/>
                      <w:lang w:val="en-US" w:eastAsia="zh-CN"/>
                    </w:rPr>
                    <w:t>78</w:t>
                  </w:r>
                </w:p>
              </w:tc>
            </w:tr>
            <w:tr w14:paraId="1F08FD5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057" w:type="dxa"/>
                  <w:gridSpan w:val="5"/>
                  <w:noWrap/>
                  <w:vAlign w:val="center"/>
                </w:tcPr>
                <w:p w14:paraId="12B69F8B">
                  <w:pPr>
                    <w:keepNext w:val="0"/>
                    <w:keepLines w:val="0"/>
                    <w:widowControl/>
                    <w:suppressLineNumbers w:val="0"/>
                    <w:jc w:val="both"/>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eastAsia="宋体" w:cs="Times New Roman"/>
                      <w:i w:val="0"/>
                      <w:iCs w:val="0"/>
                      <w:color w:val="000000"/>
                      <w:kern w:val="0"/>
                      <w:sz w:val="21"/>
                      <w:szCs w:val="21"/>
                      <w:u w:val="none" w:color="auto"/>
                      <w:lang w:val="en-US" w:eastAsia="zh-CN" w:bidi="ar"/>
                    </w:rPr>
                    <w:t>备注：</w:t>
                  </w:r>
                  <w:r>
                    <w:rPr>
                      <w:rFonts w:hint="default" w:ascii="Times New Roman" w:hAnsi="Times New Roman" w:eastAsia="宋体" w:cs="Times New Roman"/>
                      <w:color w:val="000000" w:themeColor="text1"/>
                      <w:kern w:val="0"/>
                      <w:sz w:val="21"/>
                      <w:szCs w:val="21"/>
                      <w:u w:val="none" w:color="auto"/>
                      <w:lang w:val="en-US" w:eastAsia="zh-CN"/>
                      <w14:textFill>
                        <w14:solidFill>
                          <w14:schemeClr w14:val="tx1"/>
                        </w14:solidFill>
                      </w14:textFill>
                    </w:rPr>
                    <w:t>新乡市贾屯</w:t>
                  </w:r>
                  <w:r>
                    <w:rPr>
                      <w:rFonts w:hint="default" w:ascii="Times New Roman" w:hAnsi="Times New Roman" w:eastAsia="宋体" w:cs="Times New Roman"/>
                      <w:color w:val="000000" w:themeColor="text1"/>
                      <w:kern w:val="0"/>
                      <w:sz w:val="21"/>
                      <w:szCs w:val="21"/>
                      <w:u w:val="none" w:color="auto"/>
                      <w14:textFill>
                        <w14:solidFill>
                          <w14:schemeClr w14:val="tx1"/>
                        </w14:solidFill>
                      </w14:textFill>
                    </w:rPr>
                    <w:t>污水处理厂</w:t>
                  </w:r>
                  <w:r>
                    <w:rPr>
                      <w:rFonts w:hint="eastAsia"/>
                      <w:color w:val="000000" w:themeColor="text1"/>
                      <w:szCs w:val="21"/>
                      <w:u w:val="none" w:color="auto"/>
                      <w:lang w:val="en-US" w:eastAsia="zh-CN"/>
                      <w14:textFill>
                        <w14:solidFill>
                          <w14:schemeClr w14:val="tx1"/>
                        </w14:solidFill>
                      </w14:textFill>
                    </w:rPr>
                    <w:t>外排口</w:t>
                  </w:r>
                  <w:r>
                    <w:rPr>
                      <w:rFonts w:hint="default" w:ascii="Times New Roman" w:hAnsi="Times New Roman" w:eastAsia="宋体" w:cs="Times New Roman"/>
                      <w:color w:val="000000"/>
                      <w:kern w:val="0"/>
                      <w:sz w:val="21"/>
                      <w:szCs w:val="21"/>
                      <w:u w:val="none" w:color="auto"/>
                    </w:rPr>
                    <w:t>NH</w:t>
                  </w:r>
                  <w:r>
                    <w:rPr>
                      <w:rFonts w:hint="default" w:ascii="Times New Roman" w:hAnsi="Times New Roman" w:eastAsia="宋体" w:cs="Times New Roman"/>
                      <w:color w:val="000000"/>
                      <w:kern w:val="0"/>
                      <w:sz w:val="21"/>
                      <w:szCs w:val="21"/>
                      <w:u w:val="none" w:color="auto"/>
                      <w:vertAlign w:val="subscript"/>
                    </w:rPr>
                    <w:t>3</w:t>
                  </w:r>
                  <w:r>
                    <w:rPr>
                      <w:rFonts w:hint="default" w:ascii="Times New Roman" w:hAnsi="Times New Roman" w:eastAsia="宋体" w:cs="Times New Roman"/>
                      <w:color w:val="000000"/>
                      <w:kern w:val="0"/>
                      <w:sz w:val="21"/>
                      <w:szCs w:val="21"/>
                      <w:u w:val="none" w:color="auto"/>
                    </w:rPr>
                    <w:t>-N</w:t>
                  </w:r>
                  <w:r>
                    <w:rPr>
                      <w:rFonts w:hint="eastAsia"/>
                      <w:color w:val="000000" w:themeColor="text1"/>
                      <w:szCs w:val="21"/>
                      <w:u w:val="none" w:color="auto"/>
                      <w:lang w:val="en-US" w:eastAsia="zh-CN"/>
                      <w14:textFill>
                        <w14:solidFill>
                          <w14:schemeClr w14:val="tx1"/>
                        </w14:solidFill>
                      </w14:textFill>
                    </w:rPr>
                    <w:t>排放浓度大于本项目厂区生产废水排放口浓度，则生产废水排放口</w:t>
                  </w:r>
                  <w:r>
                    <w:rPr>
                      <w:rFonts w:hint="default" w:ascii="Times New Roman" w:hAnsi="Times New Roman" w:eastAsia="宋体" w:cs="Times New Roman"/>
                      <w:color w:val="000000"/>
                      <w:kern w:val="0"/>
                      <w:sz w:val="21"/>
                      <w:szCs w:val="21"/>
                      <w:u w:val="none" w:color="auto"/>
                    </w:rPr>
                    <w:t>NH</w:t>
                  </w:r>
                  <w:r>
                    <w:rPr>
                      <w:rFonts w:hint="default" w:ascii="Times New Roman" w:hAnsi="Times New Roman" w:eastAsia="宋体" w:cs="Times New Roman"/>
                      <w:color w:val="000000"/>
                      <w:kern w:val="0"/>
                      <w:sz w:val="21"/>
                      <w:szCs w:val="21"/>
                      <w:u w:val="none" w:color="auto"/>
                      <w:vertAlign w:val="subscript"/>
                    </w:rPr>
                    <w:t>3</w:t>
                  </w:r>
                  <w:r>
                    <w:rPr>
                      <w:rFonts w:hint="default" w:ascii="Times New Roman" w:hAnsi="Times New Roman" w:eastAsia="宋体" w:cs="Times New Roman"/>
                      <w:color w:val="000000"/>
                      <w:kern w:val="0"/>
                      <w:sz w:val="21"/>
                      <w:szCs w:val="21"/>
                      <w:u w:val="none" w:color="auto"/>
                    </w:rPr>
                    <w:t>-N</w:t>
                  </w:r>
                  <w:r>
                    <w:rPr>
                      <w:rFonts w:hint="eastAsia"/>
                      <w:color w:val="000000" w:themeColor="text1"/>
                      <w:szCs w:val="21"/>
                      <w:u w:val="none" w:color="auto"/>
                      <w:lang w:val="en-US" w:eastAsia="zh-CN"/>
                      <w14:textFill>
                        <w14:solidFill>
                          <w14:schemeClr w14:val="tx1"/>
                        </w14:solidFill>
                      </w14:textFill>
                    </w:rPr>
                    <w:t>以厂区浓度计算排放量。</w:t>
                  </w:r>
                </w:p>
              </w:tc>
            </w:tr>
          </w:tbl>
          <w:p w14:paraId="25776F7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baseline"/>
              <w:rPr>
                <w:rFonts w:hint="eastAsia"/>
                <w:color w:val="000000" w:themeColor="text1"/>
                <w:sz w:val="24"/>
                <w:u w:val="none" w:color="auto"/>
                <w14:textFill>
                  <w14:solidFill>
                    <w14:schemeClr w14:val="tx1"/>
                  </w14:solidFill>
                </w14:textFill>
              </w:rPr>
            </w:pPr>
            <w:r>
              <w:rPr>
                <w:rFonts w:hint="eastAsia"/>
                <w:color w:val="000000" w:themeColor="text1"/>
                <w:kern w:val="0"/>
                <w:sz w:val="24"/>
                <w:szCs w:val="20"/>
                <w:u w:val="none" w:color="auto"/>
                <w:lang w:val="en-US" w:eastAsia="zh-CN"/>
                <w14:textFill>
                  <w14:solidFill>
                    <w14:schemeClr w14:val="tx1"/>
                  </w14:solidFill>
                </w14:textFill>
              </w:rPr>
              <w:t>本项目生活</w:t>
            </w:r>
            <w:r>
              <w:rPr>
                <w:rFonts w:hint="eastAsia"/>
                <w:color w:val="000000" w:themeColor="text1"/>
                <w:kern w:val="0"/>
                <w:sz w:val="24"/>
                <w:szCs w:val="20"/>
                <w:u w:val="none" w:color="auto"/>
                <w14:textFill>
                  <w14:solidFill>
                    <w14:schemeClr w14:val="tx1"/>
                  </w14:solidFill>
                </w14:textFill>
              </w:rPr>
              <w:t>废水排放口</w:t>
            </w:r>
            <w:r>
              <w:rPr>
                <w:rFonts w:hint="eastAsia"/>
                <w:color w:val="000000" w:themeColor="text1"/>
                <w:kern w:val="0"/>
                <w:sz w:val="24"/>
                <w:szCs w:val="20"/>
                <w:u w:val="none" w:color="auto"/>
                <w:lang w:eastAsia="zh-CN"/>
                <w14:textFill>
                  <w14:solidFill>
                    <w14:schemeClr w14:val="tx1"/>
                  </w14:solidFill>
                </w14:textFill>
              </w:rPr>
              <w:t>（DW001）</w:t>
            </w:r>
            <w:r>
              <w:rPr>
                <w:rFonts w:hint="eastAsia"/>
                <w:color w:val="000000" w:themeColor="text1"/>
                <w:kern w:val="0"/>
                <w:sz w:val="24"/>
                <w:szCs w:val="20"/>
                <w:u w:val="none" w:color="auto"/>
                <w:lang w:val="en-US" w:eastAsia="zh-CN"/>
                <w14:textFill>
                  <w14:solidFill>
                    <w14:schemeClr w14:val="tx1"/>
                  </w14:solidFill>
                </w14:textFill>
              </w:rPr>
              <w:t>废水出厂排放总量为：</w:t>
            </w:r>
            <w:r>
              <w:rPr>
                <w:rFonts w:hint="eastAsia"/>
                <w:color w:val="000000" w:themeColor="text1"/>
                <w:sz w:val="24"/>
                <w:u w:val="none" w:color="auto"/>
                <w14:textFill>
                  <w14:solidFill>
                    <w14:schemeClr w14:val="tx1"/>
                  </w14:solidFill>
                </w14:textFill>
              </w:rPr>
              <w:t>COD0.2673t/a、SS0.1663t/a、NH</w:t>
            </w:r>
            <w:r>
              <w:rPr>
                <w:rFonts w:hint="eastAsia"/>
                <w:color w:val="000000" w:themeColor="text1"/>
                <w:sz w:val="24"/>
                <w:u w:val="none" w:color="auto"/>
                <w:vertAlign w:val="subscript"/>
                <w14:textFill>
                  <w14:solidFill>
                    <w14:schemeClr w14:val="tx1"/>
                  </w14:solidFill>
                </w14:textFill>
              </w:rPr>
              <w:t>3</w:t>
            </w:r>
            <w:r>
              <w:rPr>
                <w:rFonts w:hint="eastAsia"/>
                <w:color w:val="000000" w:themeColor="text1"/>
                <w:sz w:val="24"/>
                <w:u w:val="none" w:color="auto"/>
                <w14:textFill>
                  <w14:solidFill>
                    <w14:schemeClr w14:val="tx1"/>
                  </w14:solidFill>
                </w14:textFill>
              </w:rPr>
              <w:t>-N0.0339 t/a、TP0.0036t/a、TN0.0374t/a</w:t>
            </w:r>
            <w:r>
              <w:rPr>
                <w:rFonts w:hint="eastAsia"/>
                <w:color w:val="000000" w:themeColor="text1"/>
                <w:sz w:val="24"/>
                <w:u w:val="none" w:color="auto"/>
                <w:lang w:eastAsia="zh-CN"/>
                <w14:textFill>
                  <w14:solidFill>
                    <w14:schemeClr w14:val="tx1"/>
                  </w14:solidFill>
                </w14:textFill>
              </w:rPr>
              <w:t>；</w:t>
            </w:r>
            <w:r>
              <w:rPr>
                <w:rFonts w:hint="eastAsia"/>
                <w:color w:val="000000" w:themeColor="text1"/>
                <w:kern w:val="0"/>
                <w:sz w:val="24"/>
                <w:szCs w:val="20"/>
                <w:u w:val="none" w:color="auto"/>
                <w:lang w:val="en-US" w:eastAsia="zh-CN"/>
                <w14:textFill>
                  <w14:solidFill>
                    <w14:schemeClr w14:val="tx1"/>
                  </w14:solidFill>
                </w14:textFill>
              </w:rPr>
              <w:t>生产废水排放口</w:t>
            </w:r>
            <w:r>
              <w:rPr>
                <w:rFonts w:hint="eastAsia" w:eastAsia="宋体"/>
                <w:color w:val="000000" w:themeColor="text1"/>
                <w:kern w:val="0"/>
                <w:sz w:val="24"/>
                <w:szCs w:val="20"/>
                <w:u w:val="none" w:color="auto"/>
                <w:lang w:val="en-US" w:eastAsia="zh-CN"/>
                <w14:textFill>
                  <w14:solidFill>
                    <w14:schemeClr w14:val="tx1"/>
                  </w14:solidFill>
                </w14:textFill>
              </w:rPr>
              <w:t>（</w:t>
            </w:r>
            <w:r>
              <w:rPr>
                <w:rFonts w:hint="eastAsia"/>
                <w:color w:val="000000" w:themeColor="text1"/>
                <w:kern w:val="0"/>
                <w:sz w:val="24"/>
                <w:szCs w:val="20"/>
                <w:u w:val="none" w:color="auto"/>
                <w:lang w:eastAsia="zh-CN"/>
                <w14:textFill>
                  <w14:solidFill>
                    <w14:schemeClr w14:val="tx1"/>
                  </w14:solidFill>
                </w14:textFill>
              </w:rPr>
              <w:t>DW00</w:t>
            </w:r>
            <w:r>
              <w:rPr>
                <w:rFonts w:hint="eastAsia"/>
                <w:color w:val="000000" w:themeColor="text1"/>
                <w:kern w:val="0"/>
                <w:sz w:val="24"/>
                <w:szCs w:val="20"/>
                <w:u w:val="none" w:color="auto"/>
                <w:lang w:val="en-US" w:eastAsia="zh-CN"/>
                <w14:textFill>
                  <w14:solidFill>
                    <w14:schemeClr w14:val="tx1"/>
                  </w14:solidFill>
                </w14:textFill>
              </w:rPr>
              <w:t>2</w:t>
            </w:r>
            <w:r>
              <w:rPr>
                <w:rFonts w:hint="eastAsia" w:eastAsia="宋体"/>
                <w:color w:val="000000" w:themeColor="text1"/>
                <w:kern w:val="0"/>
                <w:sz w:val="24"/>
                <w:szCs w:val="20"/>
                <w:u w:val="none" w:color="auto"/>
                <w:lang w:val="en-US" w:eastAsia="zh-CN"/>
                <w14:textFill>
                  <w14:solidFill>
                    <w14:schemeClr w14:val="tx1"/>
                  </w14:solidFill>
                </w14:textFill>
              </w:rPr>
              <w:t>）废水污染物出厂排放总量：</w:t>
            </w:r>
            <w:r>
              <w:rPr>
                <w:rFonts w:hint="eastAsia"/>
                <w:color w:val="000000" w:themeColor="text1"/>
                <w:sz w:val="24"/>
                <w:u w:val="none" w:color="auto"/>
                <w14:textFill>
                  <w14:solidFill>
                    <w14:schemeClr w14:val="tx1"/>
                  </w14:solidFill>
                </w14:textFill>
              </w:rPr>
              <w:t>COD1.3064t/a、SS1.1989t/a、NH</w:t>
            </w:r>
            <w:r>
              <w:rPr>
                <w:rFonts w:hint="eastAsia"/>
                <w:color w:val="000000" w:themeColor="text1"/>
                <w:sz w:val="24"/>
                <w:u w:val="none" w:color="auto"/>
                <w:vertAlign w:val="subscript"/>
                <w14:textFill>
                  <w14:solidFill>
                    <w14:schemeClr w14:val="tx1"/>
                  </w14:solidFill>
                </w14:textFill>
              </w:rPr>
              <w:t>3</w:t>
            </w:r>
            <w:r>
              <w:rPr>
                <w:rFonts w:hint="eastAsia"/>
                <w:color w:val="000000" w:themeColor="text1"/>
                <w:sz w:val="24"/>
                <w:u w:val="none" w:color="auto"/>
                <w14:textFill>
                  <w14:solidFill>
                    <w14:schemeClr w14:val="tx1"/>
                  </w14:solidFill>
                </w14:textFill>
              </w:rPr>
              <w:t>-N0.0235 t/a、TP0.0166t/a、TN0.0725 t/a</w:t>
            </w:r>
            <w:r>
              <w:rPr>
                <w:rFonts w:hint="eastAsia"/>
                <w:color w:val="000000" w:themeColor="text1"/>
                <w:sz w:val="24"/>
                <w:u w:val="none" w:color="auto"/>
                <w:lang w:eastAsia="zh-CN"/>
                <w14:textFill>
                  <w14:solidFill>
                    <w14:schemeClr w14:val="tx1"/>
                  </w14:solidFill>
                </w14:textFill>
              </w:rPr>
              <w:t>、</w:t>
            </w:r>
            <w:r>
              <w:rPr>
                <w:rFonts w:hint="eastAsia"/>
                <w:color w:val="000000" w:themeColor="text1"/>
                <w:sz w:val="24"/>
                <w:u w:val="none" w:color="auto"/>
                <w:lang w:val="en-US" w:eastAsia="zh-CN"/>
                <w14:textFill>
                  <w14:solidFill>
                    <w14:schemeClr w14:val="tx1"/>
                  </w14:solidFill>
                </w14:textFill>
              </w:rPr>
              <w:t xml:space="preserve">总锰0.00003 </w:t>
            </w:r>
            <w:r>
              <w:rPr>
                <w:rFonts w:hint="eastAsia"/>
                <w:color w:val="000000" w:themeColor="text1"/>
                <w:sz w:val="24"/>
                <w:u w:val="none" w:color="auto"/>
                <w14:textFill>
                  <w14:solidFill>
                    <w14:schemeClr w14:val="tx1"/>
                  </w14:solidFill>
                </w14:textFill>
              </w:rPr>
              <w:t>t/a</w:t>
            </w:r>
            <w:r>
              <w:rPr>
                <w:rFonts w:hint="eastAsia"/>
                <w:color w:val="000000" w:themeColor="text1"/>
                <w:sz w:val="24"/>
                <w:u w:val="none" w:color="auto"/>
                <w:lang w:eastAsia="zh-CN"/>
                <w14:textFill>
                  <w14:solidFill>
                    <w14:schemeClr w14:val="tx1"/>
                  </w14:solidFill>
                </w14:textFill>
              </w:rPr>
              <w:t>；</w:t>
            </w:r>
            <w:r>
              <w:rPr>
                <w:rFonts w:hint="eastAsia"/>
                <w:color w:val="000000" w:themeColor="text1"/>
                <w:sz w:val="24"/>
                <w:u w:val="none" w:color="auto"/>
                <w:lang w:val="en-US" w:eastAsia="zh-CN"/>
                <w14:textFill>
                  <w14:solidFill>
                    <w14:schemeClr w14:val="tx1"/>
                  </w14:solidFill>
                </w14:textFill>
              </w:rPr>
              <w:t>车间处理设施排放口：</w:t>
            </w:r>
            <w:r>
              <w:rPr>
                <w:rFonts w:hint="eastAsia" w:eastAsia="宋体"/>
                <w:color w:val="000000" w:themeColor="text1"/>
                <w:kern w:val="0"/>
                <w:sz w:val="24"/>
                <w:szCs w:val="20"/>
                <w:u w:val="none" w:color="auto"/>
                <w:lang w:val="en-US" w:eastAsia="zh-CN"/>
                <w14:textFill>
                  <w14:solidFill>
                    <w14:schemeClr w14:val="tx1"/>
                  </w14:solidFill>
                </w14:textFill>
              </w:rPr>
              <w:t>总镍0.000022t/a、总钴0.000017t/a。</w:t>
            </w:r>
            <w:r>
              <w:rPr>
                <w:rFonts w:hint="eastAsia"/>
                <w:color w:val="000000" w:themeColor="text1"/>
                <w:kern w:val="0"/>
                <w:sz w:val="24"/>
                <w:szCs w:val="20"/>
                <w:u w:val="none" w:color="auto"/>
                <w14:textFill>
                  <w14:solidFill>
                    <w14:schemeClr w14:val="tx1"/>
                  </w14:solidFill>
                </w14:textFill>
              </w:rPr>
              <w:t>经</w:t>
            </w:r>
            <w:r>
              <w:rPr>
                <w:rFonts w:hint="eastAsia"/>
                <w:color w:val="000000" w:themeColor="text1"/>
                <w:kern w:val="0"/>
                <w:sz w:val="24"/>
                <w:szCs w:val="20"/>
                <w:u w:val="none" w:color="auto"/>
                <w:lang w:val="en-US" w:eastAsia="zh-CN"/>
                <w14:textFill>
                  <w14:solidFill>
                    <w14:schemeClr w14:val="tx1"/>
                  </w14:solidFill>
                </w14:textFill>
              </w:rPr>
              <w:t>新乡市贾屯污水处理厂</w:t>
            </w:r>
            <w:r>
              <w:rPr>
                <w:rFonts w:hint="eastAsia"/>
                <w:color w:val="000000" w:themeColor="text1"/>
                <w:kern w:val="0"/>
                <w:sz w:val="24"/>
                <w:szCs w:val="20"/>
                <w:u w:val="none" w:color="auto"/>
                <w14:textFill>
                  <w14:solidFill>
                    <w14:schemeClr w14:val="tx1"/>
                  </w14:solidFill>
                </w14:textFill>
              </w:rPr>
              <w:t>处理后废水污染物排放总量：</w:t>
            </w:r>
            <w:r>
              <w:rPr>
                <w:color w:val="000000" w:themeColor="text1"/>
                <w:sz w:val="24"/>
                <w:u w:val="none" w:color="auto"/>
                <w14:textFill>
                  <w14:solidFill>
                    <w14:schemeClr w14:val="tx1"/>
                  </w14:solidFill>
                </w14:textFill>
              </w:rPr>
              <w:t>COD</w:t>
            </w:r>
            <w:r>
              <w:rPr>
                <w:rFonts w:hint="eastAsia"/>
                <w:color w:val="000000" w:themeColor="text1"/>
                <w:sz w:val="24"/>
                <w:u w:val="none" w:color="auto"/>
                <w14:textFill>
                  <w14:solidFill>
                    <w14:schemeClr w14:val="tx1"/>
                  </w14:solidFill>
                </w14:textFill>
              </w:rPr>
              <w:t>1.1942</w:t>
            </w:r>
            <w:r>
              <w:rPr>
                <w:color w:val="000000" w:themeColor="text1"/>
                <w:sz w:val="24"/>
                <w:u w:val="none" w:color="auto"/>
                <w14:textFill>
                  <w14:solidFill>
                    <w14:schemeClr w14:val="tx1"/>
                  </w14:solidFill>
                </w14:textFill>
              </w:rPr>
              <w:t>t/a、</w:t>
            </w:r>
            <w:r>
              <w:rPr>
                <w:rFonts w:hint="eastAsia"/>
                <w:color w:val="000000" w:themeColor="text1"/>
                <w:sz w:val="24"/>
                <w:u w:val="none" w:color="auto"/>
                <w14:textFill>
                  <w14:solidFill>
                    <w14:schemeClr w14:val="tx1"/>
                  </w14:solidFill>
                </w14:textFill>
              </w:rPr>
              <w:t>SS</w:t>
            </w:r>
            <w:r>
              <w:rPr>
                <w:rFonts w:hint="eastAsia"/>
                <w:color w:val="000000" w:themeColor="text1"/>
                <w:sz w:val="24"/>
                <w:u w:val="none" w:color="auto"/>
                <w:lang w:val="en-US" w:eastAsia="zh-CN"/>
                <w14:textFill>
                  <w14:solidFill>
                    <w14:schemeClr w14:val="tx1"/>
                  </w14:solidFill>
                </w14:textFill>
              </w:rPr>
              <w:t>0.2986</w:t>
            </w:r>
            <w:r>
              <w:rPr>
                <w:rFonts w:hint="eastAsia"/>
                <w:color w:val="000000" w:themeColor="text1"/>
                <w:sz w:val="24"/>
                <w:u w:val="none" w:color="auto"/>
                <w14:textFill>
                  <w14:solidFill>
                    <w14:schemeClr w14:val="tx1"/>
                  </w14:solidFill>
                </w14:textFill>
              </w:rPr>
              <w:t>t/a</w:t>
            </w:r>
            <w:r>
              <w:rPr>
                <w:rFonts w:hint="eastAsia"/>
                <w:color w:val="000000" w:themeColor="text1"/>
                <w:kern w:val="0"/>
                <w:sz w:val="24"/>
                <w:szCs w:val="20"/>
                <w:u w:val="none" w:color="auto"/>
                <w14:textFill>
                  <w14:solidFill>
                    <w14:schemeClr w14:val="tx1"/>
                  </w14:solidFill>
                </w14:textFill>
              </w:rPr>
              <w:t>、</w:t>
            </w:r>
            <w:r>
              <w:rPr>
                <w:color w:val="000000" w:themeColor="text1"/>
                <w:sz w:val="24"/>
                <w:u w:val="none" w:color="auto"/>
                <w14:textFill>
                  <w14:solidFill>
                    <w14:schemeClr w14:val="tx1"/>
                  </w14:solidFill>
                </w14:textFill>
              </w:rPr>
              <w:t>NH</w:t>
            </w:r>
            <w:r>
              <w:rPr>
                <w:color w:val="000000" w:themeColor="text1"/>
                <w:sz w:val="24"/>
                <w:u w:val="none" w:color="auto"/>
                <w:vertAlign w:val="subscript"/>
                <w14:textFill>
                  <w14:solidFill>
                    <w14:schemeClr w14:val="tx1"/>
                  </w14:solidFill>
                </w14:textFill>
              </w:rPr>
              <w:t>3</w:t>
            </w:r>
            <w:r>
              <w:rPr>
                <w:color w:val="000000" w:themeColor="text1"/>
                <w:sz w:val="24"/>
                <w:u w:val="none" w:color="auto"/>
                <w14:textFill>
                  <w14:solidFill>
                    <w14:schemeClr w14:val="tx1"/>
                  </w14:solidFill>
                </w14:textFill>
              </w:rPr>
              <w:t>-N</w:t>
            </w:r>
            <w:r>
              <w:rPr>
                <w:rFonts w:hint="eastAsia"/>
                <w:color w:val="000000" w:themeColor="text1"/>
                <w:sz w:val="24"/>
                <w:u w:val="none" w:color="auto"/>
                <w:lang w:val="en-US" w:eastAsia="zh-CN"/>
                <w14:textFill>
                  <w14:solidFill>
                    <w14:schemeClr w14:val="tx1"/>
                  </w14:solidFill>
                </w14:textFill>
              </w:rPr>
              <w:t>0.0259</w:t>
            </w:r>
            <w:r>
              <w:rPr>
                <w:color w:val="000000" w:themeColor="text1"/>
                <w:sz w:val="24"/>
                <w:u w:val="none" w:color="auto"/>
                <w14:textFill>
                  <w14:solidFill>
                    <w14:schemeClr w14:val="tx1"/>
                  </w14:solidFill>
                </w14:textFill>
              </w:rPr>
              <w:t>t/a、TP</w:t>
            </w:r>
            <w:r>
              <w:rPr>
                <w:rFonts w:hint="eastAsia"/>
                <w:color w:val="000000" w:themeColor="text1"/>
                <w:sz w:val="24"/>
                <w:u w:val="none" w:color="auto"/>
                <w:lang w:val="en-US" w:eastAsia="zh-CN"/>
                <w14:textFill>
                  <w14:solidFill>
                    <w14:schemeClr w14:val="tx1"/>
                  </w14:solidFill>
                </w14:textFill>
              </w:rPr>
              <w:t>0.0119</w:t>
            </w:r>
            <w:r>
              <w:rPr>
                <w:color w:val="000000" w:themeColor="text1"/>
                <w:sz w:val="24"/>
                <w:u w:val="none" w:color="auto"/>
                <w14:textFill>
                  <w14:solidFill>
                    <w14:schemeClr w14:val="tx1"/>
                  </w14:solidFill>
                </w14:textFill>
              </w:rPr>
              <w:t>t/a</w:t>
            </w:r>
            <w:r>
              <w:rPr>
                <w:rFonts w:hint="eastAsia"/>
                <w:color w:val="000000" w:themeColor="text1"/>
                <w:sz w:val="24"/>
                <w:u w:val="none" w:color="auto"/>
                <w14:textFill>
                  <w14:solidFill>
                    <w14:schemeClr w14:val="tx1"/>
                  </w14:solidFill>
                </w14:textFill>
              </w:rPr>
              <w:t>、TN</w:t>
            </w:r>
            <w:r>
              <w:rPr>
                <w:rFonts w:hint="eastAsia"/>
                <w:color w:val="000000" w:themeColor="text1"/>
                <w:sz w:val="24"/>
                <w:u w:val="none" w:color="auto"/>
                <w:lang w:val="en-US" w:eastAsia="zh-CN"/>
                <w14:textFill>
                  <w14:solidFill>
                    <w14:schemeClr w14:val="tx1"/>
                  </w14:solidFill>
                </w14:textFill>
              </w:rPr>
              <w:t>0.4478</w:t>
            </w:r>
            <w:r>
              <w:rPr>
                <w:rFonts w:hint="eastAsia"/>
                <w:color w:val="000000" w:themeColor="text1"/>
                <w:sz w:val="24"/>
                <w:u w:val="none" w:color="auto"/>
                <w14:textFill>
                  <w14:solidFill>
                    <w14:schemeClr w14:val="tx1"/>
                  </w14:solidFill>
                </w14:textFill>
              </w:rPr>
              <w:t>t/a。</w:t>
            </w:r>
          </w:p>
          <w:p w14:paraId="5EB86830">
            <w:pPr>
              <w:tabs>
                <w:tab w:val="left" w:pos="3620"/>
              </w:tabs>
              <w:adjustRightInd w:val="0"/>
              <w:snapToGrid w:val="0"/>
              <w:spacing w:line="440" w:lineRule="exact"/>
              <w:ind w:firstLine="482" w:firstLineChars="200"/>
              <w:rPr>
                <w:rFonts w:hint="default" w:eastAsia="宋体"/>
                <w:b/>
                <w:bCs w:val="0"/>
                <w:sz w:val="24"/>
                <w:u w:val="none" w:color="auto"/>
                <w:lang w:val="en-US" w:eastAsia="zh-CN"/>
              </w:rPr>
            </w:pPr>
            <w:r>
              <w:rPr>
                <w:rFonts w:hint="eastAsia"/>
                <w:b/>
                <w:bCs w:val="0"/>
                <w:sz w:val="24"/>
                <w:u w:val="none" w:color="auto"/>
              </w:rPr>
              <w:t>（</w:t>
            </w:r>
            <w:r>
              <w:rPr>
                <w:rFonts w:hint="eastAsia"/>
                <w:b/>
                <w:bCs w:val="0"/>
                <w:sz w:val="24"/>
                <w:u w:val="none" w:color="auto"/>
                <w:lang w:val="en-US" w:eastAsia="zh-CN"/>
              </w:rPr>
              <w:t>四）监测要求</w:t>
            </w:r>
          </w:p>
          <w:p w14:paraId="4C9E799A">
            <w:pPr>
              <w:pStyle w:val="5"/>
              <w:keepNext/>
              <w:keepLines w:val="0"/>
              <w:pageBreakBefore w:val="0"/>
              <w:widowControl w:val="0"/>
              <w:kinsoku/>
              <w:wordWrap/>
              <w:overflowPunct w:val="0"/>
              <w:topLinePunct w:val="0"/>
              <w:autoSpaceDE/>
              <w:autoSpaceDN/>
              <w:bidi w:val="0"/>
              <w:adjustRightInd/>
              <w:snapToGrid w:val="0"/>
              <w:spacing w:before="0" w:after="0" w:line="440" w:lineRule="exact"/>
              <w:ind w:left="0" w:firstLine="480" w:firstLineChars="200"/>
              <w:textAlignment w:val="auto"/>
              <w:rPr>
                <w:rFonts w:hint="eastAsia" w:ascii="Times New Roman" w:hAnsi="宋体" w:eastAsia="宋体" w:cs="Times New Roman"/>
                <w:b w:val="0"/>
                <w:bCs w:val="0"/>
                <w:color w:val="auto"/>
                <w:kern w:val="2"/>
                <w:sz w:val="24"/>
                <w:szCs w:val="24"/>
                <w:u w:val="none" w:color="auto"/>
                <w:lang w:val="en-US" w:eastAsia="zh-CN" w:bidi="ar-SA"/>
              </w:rPr>
            </w:pPr>
            <w:r>
              <w:rPr>
                <w:rFonts w:hint="eastAsia" w:ascii="Times New Roman" w:hAnsi="宋体" w:eastAsia="宋体" w:cs="Times New Roman"/>
                <w:b w:val="0"/>
                <w:bCs w:val="0"/>
                <w:color w:val="auto"/>
                <w:kern w:val="2"/>
                <w:sz w:val="24"/>
                <w:szCs w:val="24"/>
                <w:u w:val="none" w:color="auto"/>
                <w:lang w:val="en-US" w:eastAsia="zh-CN" w:bidi="ar-SA"/>
              </w:rPr>
              <w:t>参照《排污单位自行监测技术指南 电池行业》（HJ1204-2021），本项目废水监测要求如下表。</w:t>
            </w:r>
          </w:p>
          <w:p w14:paraId="4818681E">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2" w:firstLineChars="200"/>
              <w:jc w:val="center"/>
              <w:textAlignment w:val="auto"/>
              <w:rPr>
                <w:rFonts w:hint="eastAsia" w:ascii="Times New Roman" w:hAnsi="Times New Roman" w:eastAsia="宋体" w:cs="Times New Roman"/>
                <w:b/>
                <w:color w:val="000000"/>
                <w:sz w:val="24"/>
                <w:u w:val="none" w:color="auto"/>
                <w:lang w:val="en-US" w:eastAsia="zh-CN"/>
              </w:rPr>
            </w:pPr>
            <w:r>
              <w:rPr>
                <w:rFonts w:hint="default" w:ascii="Times New Roman" w:hAnsi="Times New Roman" w:eastAsia="宋体" w:cs="Times New Roman"/>
                <w:b/>
                <w:color w:val="000000"/>
                <w:sz w:val="24"/>
                <w:u w:val="none" w:color="auto"/>
                <w:lang w:val="en-US" w:eastAsia="zh-CN"/>
              </w:rPr>
              <w:t>表</w:t>
            </w:r>
            <w:r>
              <w:rPr>
                <w:rFonts w:hint="eastAsia" w:ascii="Times New Roman" w:hAnsi="Times New Roman" w:eastAsia="宋体" w:cs="Times New Roman"/>
                <w:b/>
                <w:color w:val="000000"/>
                <w:sz w:val="24"/>
                <w:u w:val="none" w:color="auto"/>
                <w:lang w:val="en-US" w:eastAsia="zh-CN"/>
              </w:rPr>
              <w:t>4-1</w:t>
            </w:r>
            <w:r>
              <w:rPr>
                <w:rFonts w:hint="eastAsia" w:cs="Times New Roman"/>
                <w:b/>
                <w:color w:val="000000"/>
                <w:sz w:val="24"/>
                <w:u w:val="none" w:color="auto"/>
                <w:lang w:val="en-US" w:eastAsia="zh-CN"/>
              </w:rPr>
              <w:t>9</w:t>
            </w:r>
            <w:r>
              <w:rPr>
                <w:rFonts w:hint="eastAsia" w:ascii="Times New Roman" w:hAnsi="Times New Roman" w:eastAsia="宋体" w:cs="Times New Roman"/>
                <w:b/>
                <w:color w:val="000000"/>
                <w:sz w:val="24"/>
                <w:u w:val="none" w:color="auto"/>
                <w:lang w:val="en-US" w:eastAsia="zh-CN"/>
              </w:rPr>
              <w:t xml:space="preserve">  </w:t>
            </w:r>
            <w:r>
              <w:rPr>
                <w:rFonts w:hint="default" w:ascii="Times New Roman" w:hAnsi="Times New Roman" w:eastAsia="宋体" w:cs="Times New Roman"/>
                <w:b/>
                <w:color w:val="000000"/>
                <w:sz w:val="24"/>
                <w:u w:val="none" w:color="auto"/>
                <w:lang w:val="en-US" w:eastAsia="zh-CN"/>
              </w:rPr>
              <w:t xml:space="preserve"> </w:t>
            </w:r>
            <w:r>
              <w:rPr>
                <w:rFonts w:hint="eastAsia" w:cs="Times New Roman"/>
                <w:b/>
                <w:color w:val="000000"/>
                <w:sz w:val="24"/>
                <w:u w:val="none" w:color="auto"/>
                <w:lang w:val="en-US" w:eastAsia="zh-CN"/>
              </w:rPr>
              <w:t xml:space="preserve"> </w:t>
            </w:r>
            <w:r>
              <w:rPr>
                <w:rFonts w:hint="eastAsia" w:ascii="Times New Roman" w:hAnsi="Times New Roman" w:eastAsia="宋体" w:cs="Times New Roman"/>
                <w:b/>
                <w:color w:val="000000"/>
                <w:sz w:val="24"/>
                <w:u w:val="none" w:color="auto"/>
                <w:lang w:val="en-US" w:eastAsia="zh-CN"/>
              </w:rPr>
              <w:t>本项目营运期废水污染源监测计划表</w:t>
            </w:r>
          </w:p>
          <w:tbl>
            <w:tblPr>
              <w:tblStyle w:val="32"/>
              <w:tblW w:w="4744"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81"/>
              <w:gridCol w:w="1754"/>
              <w:gridCol w:w="2838"/>
              <w:gridCol w:w="1425"/>
            </w:tblGrid>
            <w:tr w14:paraId="39989F5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481" w:type="dxa"/>
                  <w:tcBorders>
                    <w:bottom w:val="single" w:color="000000" w:sz="8" w:space="0"/>
                    <w:tl2br w:val="nil"/>
                    <w:tr2bl w:val="nil"/>
                  </w:tcBorders>
                  <w:shd w:val="clear" w:color="auto" w:fill="auto"/>
                  <w:noWrap w:val="0"/>
                  <w:vAlign w:val="center"/>
                </w:tcPr>
                <w:p w14:paraId="16E7B7A7">
                  <w:pPr>
                    <w:tabs>
                      <w:tab w:val="left" w:pos="3620"/>
                    </w:tabs>
                    <w:adjustRightInd w:val="0"/>
                    <w:snapToGrid w:val="0"/>
                    <w:jc w:val="center"/>
                    <w:rPr>
                      <w:rFonts w:hint="default" w:eastAsia="宋体"/>
                      <w:b/>
                      <w:sz w:val="21"/>
                      <w:szCs w:val="21"/>
                      <w:u w:val="none" w:color="auto"/>
                      <w:lang w:val="en-US" w:eastAsia="zh-CN"/>
                    </w:rPr>
                  </w:pPr>
                  <w:r>
                    <w:rPr>
                      <w:rFonts w:hint="eastAsia" w:hAnsi="宋体"/>
                      <w:b/>
                      <w:sz w:val="21"/>
                      <w:szCs w:val="21"/>
                      <w:u w:val="none" w:color="auto"/>
                      <w:lang w:val="en-US" w:eastAsia="zh-CN"/>
                    </w:rPr>
                    <w:t>污染源名称</w:t>
                  </w:r>
                </w:p>
              </w:tc>
              <w:tc>
                <w:tcPr>
                  <w:tcW w:w="1754" w:type="dxa"/>
                  <w:tcBorders>
                    <w:bottom w:val="single" w:color="000000" w:sz="8" w:space="0"/>
                    <w:tl2br w:val="nil"/>
                    <w:tr2bl w:val="nil"/>
                  </w:tcBorders>
                  <w:shd w:val="clear" w:color="auto" w:fill="auto"/>
                  <w:noWrap w:val="0"/>
                  <w:vAlign w:val="center"/>
                </w:tcPr>
                <w:p w14:paraId="0B1E47BE">
                  <w:pPr>
                    <w:tabs>
                      <w:tab w:val="left" w:pos="3620"/>
                    </w:tabs>
                    <w:adjustRightInd w:val="0"/>
                    <w:snapToGrid w:val="0"/>
                    <w:jc w:val="center"/>
                    <w:rPr>
                      <w:rFonts w:hint="eastAsia" w:eastAsia="宋体"/>
                      <w:b/>
                      <w:sz w:val="21"/>
                      <w:szCs w:val="21"/>
                      <w:u w:val="none" w:color="auto"/>
                      <w:lang w:val="en-US" w:eastAsia="zh-CN"/>
                    </w:rPr>
                  </w:pPr>
                  <w:r>
                    <w:rPr>
                      <w:rFonts w:hAnsi="宋体"/>
                      <w:b/>
                      <w:sz w:val="21"/>
                      <w:szCs w:val="21"/>
                      <w:u w:val="none" w:color="auto"/>
                    </w:rPr>
                    <w:t>监测</w:t>
                  </w:r>
                  <w:r>
                    <w:rPr>
                      <w:rFonts w:hint="eastAsia" w:hAnsi="宋体"/>
                      <w:b/>
                      <w:sz w:val="21"/>
                      <w:szCs w:val="21"/>
                      <w:u w:val="none" w:color="auto"/>
                      <w:lang w:val="en-US" w:eastAsia="zh-CN"/>
                    </w:rPr>
                    <w:t>点位</w:t>
                  </w:r>
                </w:p>
              </w:tc>
              <w:tc>
                <w:tcPr>
                  <w:tcW w:w="2838" w:type="dxa"/>
                  <w:tcBorders>
                    <w:bottom w:val="single" w:color="000000" w:sz="8" w:space="0"/>
                    <w:tl2br w:val="nil"/>
                    <w:tr2bl w:val="nil"/>
                  </w:tcBorders>
                  <w:shd w:val="clear" w:color="auto" w:fill="auto"/>
                  <w:noWrap w:val="0"/>
                  <w:vAlign w:val="center"/>
                </w:tcPr>
                <w:p w14:paraId="3821F89E">
                  <w:pPr>
                    <w:tabs>
                      <w:tab w:val="left" w:pos="3620"/>
                    </w:tabs>
                    <w:adjustRightInd w:val="0"/>
                    <w:snapToGrid w:val="0"/>
                    <w:jc w:val="center"/>
                    <w:rPr>
                      <w:rFonts w:hint="eastAsia" w:eastAsia="宋体"/>
                      <w:b/>
                      <w:sz w:val="21"/>
                      <w:szCs w:val="21"/>
                      <w:u w:val="none" w:color="auto"/>
                      <w:lang w:eastAsia="zh-CN"/>
                    </w:rPr>
                  </w:pPr>
                  <w:r>
                    <w:rPr>
                      <w:rFonts w:hAnsi="宋体"/>
                      <w:b/>
                      <w:sz w:val="21"/>
                      <w:szCs w:val="21"/>
                      <w:u w:val="none" w:color="auto"/>
                    </w:rPr>
                    <w:t>监测</w:t>
                  </w:r>
                  <w:r>
                    <w:rPr>
                      <w:rFonts w:hint="eastAsia" w:hAnsi="宋体"/>
                      <w:b/>
                      <w:sz w:val="21"/>
                      <w:szCs w:val="21"/>
                      <w:u w:val="none" w:color="auto"/>
                      <w:lang w:val="en-US" w:eastAsia="zh-CN"/>
                    </w:rPr>
                    <w:t>因子</w:t>
                  </w:r>
                </w:p>
              </w:tc>
              <w:tc>
                <w:tcPr>
                  <w:tcW w:w="1425" w:type="dxa"/>
                  <w:tcBorders>
                    <w:bottom w:val="single" w:color="000000" w:sz="8" w:space="0"/>
                    <w:tl2br w:val="nil"/>
                    <w:tr2bl w:val="nil"/>
                  </w:tcBorders>
                  <w:shd w:val="clear" w:color="auto" w:fill="auto"/>
                  <w:noWrap w:val="0"/>
                  <w:vAlign w:val="center"/>
                </w:tcPr>
                <w:p w14:paraId="17613180">
                  <w:pPr>
                    <w:tabs>
                      <w:tab w:val="left" w:pos="3620"/>
                    </w:tabs>
                    <w:adjustRightInd w:val="0"/>
                    <w:snapToGrid w:val="0"/>
                    <w:jc w:val="center"/>
                    <w:rPr>
                      <w:rFonts w:hint="default" w:hAnsi="宋体" w:eastAsia="宋体"/>
                      <w:b/>
                      <w:sz w:val="21"/>
                      <w:szCs w:val="21"/>
                      <w:u w:val="none" w:color="auto"/>
                      <w:lang w:val="en-US" w:eastAsia="zh-CN"/>
                    </w:rPr>
                  </w:pPr>
                  <w:r>
                    <w:rPr>
                      <w:rFonts w:hint="eastAsia" w:hAnsi="宋体"/>
                      <w:b/>
                      <w:sz w:val="21"/>
                      <w:szCs w:val="21"/>
                      <w:u w:val="none" w:color="auto"/>
                      <w:lang w:val="en-US" w:eastAsia="zh-CN"/>
                    </w:rPr>
                    <w:t>监测频次</w:t>
                  </w:r>
                </w:p>
              </w:tc>
            </w:tr>
            <w:tr w14:paraId="1ECA84F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4" w:hRule="atLeast"/>
                <w:jc w:val="center"/>
              </w:trPr>
              <w:tc>
                <w:tcPr>
                  <w:tcW w:w="1481" w:type="dxa"/>
                  <w:tcBorders>
                    <w:top w:val="single" w:color="000000" w:sz="8" w:space="0"/>
                    <w:bottom w:val="single" w:color="000000" w:sz="8" w:space="0"/>
                    <w:tl2br w:val="nil"/>
                    <w:tr2bl w:val="nil"/>
                  </w:tcBorders>
                  <w:shd w:val="clear" w:color="auto" w:fill="auto"/>
                  <w:noWrap w:val="0"/>
                  <w:vAlign w:val="center"/>
                </w:tcPr>
                <w:p w14:paraId="0FF940A1">
                  <w:pPr>
                    <w:adjustRightInd w:val="0"/>
                    <w:snapToGrid w:val="0"/>
                    <w:jc w:val="center"/>
                    <w:rPr>
                      <w:rFonts w:hint="default" w:eastAsia="宋体"/>
                      <w:sz w:val="21"/>
                      <w:szCs w:val="21"/>
                      <w:u w:val="none" w:color="auto"/>
                      <w:lang w:val="en-US" w:eastAsia="zh-CN"/>
                    </w:rPr>
                  </w:pPr>
                  <w:r>
                    <w:rPr>
                      <w:rFonts w:hint="eastAsia"/>
                      <w:sz w:val="21"/>
                      <w:szCs w:val="21"/>
                      <w:u w:val="none" w:color="auto"/>
                      <w:lang w:val="en-US" w:eastAsia="zh-CN"/>
                    </w:rPr>
                    <w:t>设备、地面清洗废水</w:t>
                  </w:r>
                </w:p>
              </w:tc>
              <w:tc>
                <w:tcPr>
                  <w:tcW w:w="1754" w:type="dxa"/>
                  <w:tcBorders>
                    <w:top w:val="single" w:color="000000" w:sz="8" w:space="0"/>
                    <w:bottom w:val="single" w:color="000000" w:sz="8" w:space="0"/>
                    <w:tl2br w:val="nil"/>
                    <w:tr2bl w:val="nil"/>
                  </w:tcBorders>
                  <w:shd w:val="clear" w:color="auto" w:fill="auto"/>
                  <w:noWrap w:val="0"/>
                  <w:vAlign w:val="center"/>
                </w:tcPr>
                <w:p w14:paraId="4834265B">
                  <w:pPr>
                    <w:tabs>
                      <w:tab w:val="left" w:pos="3620"/>
                    </w:tabs>
                    <w:adjustRightInd w:val="0"/>
                    <w:snapToGrid w:val="0"/>
                    <w:jc w:val="center"/>
                    <w:rPr>
                      <w:rFonts w:hint="default" w:eastAsia="宋体"/>
                      <w:sz w:val="21"/>
                      <w:szCs w:val="21"/>
                      <w:u w:val="none" w:color="auto"/>
                      <w:lang w:val="en-US" w:eastAsia="zh-CN"/>
                    </w:rPr>
                  </w:pPr>
                  <w:r>
                    <w:rPr>
                      <w:rFonts w:hint="eastAsia"/>
                      <w:sz w:val="21"/>
                      <w:szCs w:val="21"/>
                      <w:u w:val="none" w:color="auto"/>
                      <w:lang w:val="en-US" w:eastAsia="zh-CN"/>
                    </w:rPr>
                    <w:t>化学混凝沉淀处理设施出口</w:t>
                  </w:r>
                </w:p>
              </w:tc>
              <w:tc>
                <w:tcPr>
                  <w:tcW w:w="2838" w:type="dxa"/>
                  <w:tcBorders>
                    <w:top w:val="single" w:color="000000" w:sz="8" w:space="0"/>
                    <w:bottom w:val="single" w:color="000000" w:sz="8" w:space="0"/>
                    <w:tl2br w:val="nil"/>
                    <w:tr2bl w:val="nil"/>
                  </w:tcBorders>
                  <w:shd w:val="clear" w:color="auto" w:fill="auto"/>
                  <w:noWrap w:val="0"/>
                  <w:vAlign w:val="center"/>
                </w:tcPr>
                <w:p w14:paraId="03688624">
                  <w:pPr>
                    <w:pStyle w:val="51"/>
                    <w:keepNext/>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eastAsia="宋体"/>
                      <w:sz w:val="21"/>
                      <w:szCs w:val="21"/>
                      <w:u w:val="none" w:color="auto"/>
                      <w:lang w:val="en-US" w:eastAsia="zh-CN"/>
                    </w:rPr>
                  </w:pPr>
                  <w:r>
                    <w:rPr>
                      <w:rFonts w:hint="eastAsia"/>
                      <w:sz w:val="21"/>
                      <w:szCs w:val="21"/>
                      <w:u w:val="none" w:color="auto"/>
                      <w:lang w:val="en-US" w:eastAsia="zh-CN"/>
                    </w:rPr>
                    <w:t>总钴、总镍</w:t>
                  </w:r>
                </w:p>
              </w:tc>
              <w:tc>
                <w:tcPr>
                  <w:tcW w:w="1425" w:type="dxa"/>
                  <w:tcBorders>
                    <w:top w:val="single" w:color="000000" w:sz="8" w:space="0"/>
                    <w:bottom w:val="single" w:color="000000" w:sz="8" w:space="0"/>
                    <w:tl2br w:val="nil"/>
                    <w:tr2bl w:val="nil"/>
                  </w:tcBorders>
                  <w:shd w:val="clear" w:color="auto" w:fill="auto"/>
                  <w:noWrap w:val="0"/>
                  <w:vAlign w:val="center"/>
                </w:tcPr>
                <w:p w14:paraId="73745A9B">
                  <w:pPr>
                    <w:tabs>
                      <w:tab w:val="left" w:pos="3620"/>
                    </w:tabs>
                    <w:adjustRightInd w:val="0"/>
                    <w:snapToGrid w:val="0"/>
                    <w:jc w:val="center"/>
                    <w:rPr>
                      <w:rFonts w:hint="eastAsia" w:eastAsia="宋体"/>
                      <w:sz w:val="21"/>
                      <w:szCs w:val="21"/>
                      <w:u w:val="none" w:color="auto"/>
                      <w:lang w:eastAsia="zh-CN"/>
                    </w:rPr>
                  </w:pPr>
                  <w:r>
                    <w:rPr>
                      <w:rFonts w:hint="default" w:ascii="Times New Roman" w:hAnsi="Times New Roman" w:eastAsia="宋体" w:cs="Times New Roman"/>
                      <w:b w:val="0"/>
                      <w:bCs/>
                      <w:u w:val="none" w:color="auto"/>
                    </w:rPr>
                    <w:t>1次/</w:t>
                  </w:r>
                  <w:r>
                    <w:rPr>
                      <w:rFonts w:hint="eastAsia" w:eastAsia="宋体" w:cs="Times New Roman"/>
                      <w:b w:val="0"/>
                      <w:bCs/>
                      <w:u w:val="none" w:color="auto"/>
                      <w:lang w:val="en-US" w:eastAsia="zh-CN"/>
                    </w:rPr>
                    <w:t>季度</w:t>
                  </w:r>
                </w:p>
              </w:tc>
            </w:tr>
            <w:tr w14:paraId="3608A73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4" w:hRule="atLeast"/>
                <w:jc w:val="center"/>
              </w:trPr>
              <w:tc>
                <w:tcPr>
                  <w:tcW w:w="1481" w:type="dxa"/>
                  <w:tcBorders>
                    <w:top w:val="single" w:color="000000" w:sz="8" w:space="0"/>
                    <w:bottom w:val="single" w:color="000000" w:sz="8" w:space="0"/>
                    <w:tl2br w:val="nil"/>
                    <w:tr2bl w:val="nil"/>
                  </w:tcBorders>
                  <w:shd w:val="clear" w:color="auto" w:fill="auto"/>
                  <w:noWrap w:val="0"/>
                  <w:vAlign w:val="center"/>
                </w:tcPr>
                <w:p w14:paraId="2F24193C">
                  <w:pPr>
                    <w:adjustRightInd w:val="0"/>
                    <w:snapToGrid w:val="0"/>
                    <w:jc w:val="center"/>
                    <w:rPr>
                      <w:rFonts w:hint="default"/>
                      <w:sz w:val="21"/>
                      <w:szCs w:val="21"/>
                      <w:u w:val="none" w:color="auto"/>
                      <w:lang w:val="en-US" w:eastAsia="zh-CN"/>
                    </w:rPr>
                  </w:pPr>
                  <w:r>
                    <w:rPr>
                      <w:rFonts w:hint="eastAsia"/>
                      <w:sz w:val="21"/>
                      <w:szCs w:val="21"/>
                      <w:u w:val="none" w:color="auto"/>
                      <w:lang w:val="en-US" w:eastAsia="zh-CN"/>
                    </w:rPr>
                    <w:t>生产废水</w:t>
                  </w:r>
                </w:p>
              </w:tc>
              <w:tc>
                <w:tcPr>
                  <w:tcW w:w="1754" w:type="dxa"/>
                  <w:tcBorders>
                    <w:top w:val="single" w:color="000000" w:sz="8" w:space="0"/>
                    <w:bottom w:val="single" w:color="000000" w:sz="8" w:space="0"/>
                    <w:tl2br w:val="nil"/>
                    <w:tr2bl w:val="nil"/>
                  </w:tcBorders>
                  <w:shd w:val="clear" w:color="auto" w:fill="auto"/>
                  <w:noWrap w:val="0"/>
                  <w:vAlign w:val="center"/>
                </w:tcPr>
                <w:p w14:paraId="3AA25922">
                  <w:pPr>
                    <w:tabs>
                      <w:tab w:val="left" w:pos="3620"/>
                    </w:tabs>
                    <w:adjustRightInd w:val="0"/>
                    <w:snapToGrid w:val="0"/>
                    <w:jc w:val="center"/>
                    <w:rPr>
                      <w:rFonts w:hint="default"/>
                      <w:sz w:val="21"/>
                      <w:szCs w:val="21"/>
                      <w:u w:val="none" w:color="auto"/>
                      <w:lang w:val="en-US" w:eastAsia="zh-CN"/>
                    </w:rPr>
                  </w:pPr>
                  <w:r>
                    <w:rPr>
                      <w:rFonts w:hint="eastAsia"/>
                      <w:sz w:val="21"/>
                      <w:szCs w:val="21"/>
                      <w:u w:val="none" w:color="auto"/>
                      <w:lang w:val="en-US" w:eastAsia="zh-CN"/>
                    </w:rPr>
                    <w:t>厂区污水处理站处理设施出口</w:t>
                  </w:r>
                </w:p>
              </w:tc>
              <w:tc>
                <w:tcPr>
                  <w:tcW w:w="2838" w:type="dxa"/>
                  <w:tcBorders>
                    <w:top w:val="single" w:color="000000" w:sz="8" w:space="0"/>
                    <w:bottom w:val="single" w:color="000000" w:sz="8" w:space="0"/>
                    <w:tl2br w:val="nil"/>
                    <w:tr2bl w:val="nil"/>
                  </w:tcBorders>
                  <w:shd w:val="clear" w:color="auto" w:fill="auto"/>
                  <w:noWrap w:val="0"/>
                  <w:vAlign w:val="center"/>
                </w:tcPr>
                <w:p w14:paraId="07672B0F">
                  <w:pPr>
                    <w:pStyle w:val="51"/>
                    <w:keepNext/>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cs="Times New Roman"/>
                      <w:b w:val="0"/>
                      <w:bCs/>
                      <w:u w:val="none" w:color="auto"/>
                      <w:lang w:val="en-US" w:eastAsia="zh-CN"/>
                    </w:rPr>
                  </w:pPr>
                  <w:r>
                    <w:rPr>
                      <w:rFonts w:hint="eastAsia" w:ascii="Times New Roman" w:cs="Times New Roman"/>
                      <w:b w:val="0"/>
                      <w:bCs/>
                      <w:u w:val="none" w:color="auto"/>
                      <w:lang w:val="en-US" w:eastAsia="zh-CN"/>
                    </w:rPr>
                    <w:t>p</w:t>
                  </w:r>
                  <w:r>
                    <w:rPr>
                      <w:rFonts w:hint="default" w:ascii="Times New Roman" w:hAnsi="Times New Roman" w:eastAsia="宋体" w:cs="Times New Roman"/>
                      <w:b w:val="0"/>
                      <w:bCs/>
                      <w:u w:val="none" w:color="auto"/>
                    </w:rPr>
                    <w:t>H值</w:t>
                  </w:r>
                  <w:r>
                    <w:rPr>
                      <w:rFonts w:hint="eastAsia" w:ascii="Times New Roman" w:cs="Times New Roman"/>
                      <w:b w:val="0"/>
                      <w:bCs/>
                      <w:u w:val="none" w:color="auto"/>
                      <w:lang w:eastAsia="zh-CN"/>
                    </w:rPr>
                    <w:t>、</w:t>
                  </w:r>
                  <w:r>
                    <w:rPr>
                      <w:rFonts w:hint="eastAsia" w:ascii="Times New Roman" w:cs="Times New Roman"/>
                      <w:b w:val="0"/>
                      <w:bCs/>
                      <w:u w:val="none" w:color="auto"/>
                      <w:lang w:val="en-US" w:eastAsia="zh-CN"/>
                    </w:rPr>
                    <w:t>流量、</w:t>
                  </w:r>
                  <w:r>
                    <w:rPr>
                      <w:rFonts w:hint="default" w:ascii="Times New Roman" w:hAnsi="Times New Roman" w:eastAsia="宋体" w:cs="Times New Roman"/>
                      <w:b w:val="0"/>
                      <w:bCs/>
                      <w:u w:val="none" w:color="auto"/>
                    </w:rPr>
                    <w:t>化学需氧量</w:t>
                  </w:r>
                  <w:r>
                    <w:rPr>
                      <w:rFonts w:hint="eastAsia" w:ascii="Times New Roman" w:cs="Times New Roman"/>
                      <w:b w:val="0"/>
                      <w:bCs/>
                      <w:u w:val="none" w:color="auto"/>
                      <w:lang w:eastAsia="zh-CN"/>
                    </w:rPr>
                    <w:t>、</w:t>
                  </w:r>
                  <w:r>
                    <w:rPr>
                      <w:rFonts w:hint="default" w:ascii="Times New Roman" w:hAnsi="Times New Roman" w:eastAsia="宋体" w:cs="Times New Roman"/>
                      <w:b w:val="0"/>
                      <w:bCs/>
                      <w:u w:val="none" w:color="auto"/>
                    </w:rPr>
                    <w:t>氨氮</w:t>
                  </w:r>
                  <w:r>
                    <w:rPr>
                      <w:rFonts w:hint="eastAsia" w:ascii="Times New Roman" w:cs="Times New Roman"/>
                      <w:b w:val="0"/>
                      <w:bCs/>
                      <w:u w:val="none" w:color="auto"/>
                      <w:lang w:eastAsia="zh-CN"/>
                    </w:rPr>
                    <w:t>、</w:t>
                  </w:r>
                  <w:r>
                    <w:rPr>
                      <w:rFonts w:hint="default" w:ascii="Times New Roman" w:hAnsi="Times New Roman" w:eastAsia="宋体" w:cs="Times New Roman"/>
                      <w:b w:val="0"/>
                      <w:bCs/>
                      <w:u w:val="none" w:color="auto"/>
                    </w:rPr>
                    <w:t>悬浮物</w:t>
                  </w:r>
                  <w:r>
                    <w:rPr>
                      <w:rFonts w:hint="eastAsia" w:ascii="Times New Roman" w:cs="Times New Roman"/>
                      <w:b w:val="0"/>
                      <w:bCs/>
                      <w:u w:val="none" w:color="auto"/>
                      <w:lang w:eastAsia="zh-CN"/>
                    </w:rPr>
                    <w:t>、</w:t>
                  </w:r>
                  <w:r>
                    <w:rPr>
                      <w:rFonts w:hint="eastAsia" w:ascii="Times New Roman" w:cs="Times New Roman"/>
                      <w:b w:val="0"/>
                      <w:bCs/>
                      <w:u w:val="none" w:color="auto"/>
                      <w:lang w:val="en-US" w:eastAsia="zh-CN"/>
                    </w:rPr>
                    <w:t>总氮、总磷、总锰</w:t>
                  </w:r>
                </w:p>
              </w:tc>
              <w:tc>
                <w:tcPr>
                  <w:tcW w:w="1425" w:type="dxa"/>
                  <w:tcBorders>
                    <w:top w:val="single" w:color="000000" w:sz="8" w:space="0"/>
                    <w:bottom w:val="single" w:color="000000" w:sz="8" w:space="0"/>
                    <w:tl2br w:val="nil"/>
                    <w:tr2bl w:val="nil"/>
                  </w:tcBorders>
                  <w:shd w:val="clear" w:color="auto" w:fill="auto"/>
                  <w:noWrap w:val="0"/>
                  <w:vAlign w:val="center"/>
                </w:tcPr>
                <w:p w14:paraId="6A6B8179">
                  <w:pPr>
                    <w:tabs>
                      <w:tab w:val="left" w:pos="3620"/>
                    </w:tabs>
                    <w:adjustRightInd w:val="0"/>
                    <w:snapToGrid w:val="0"/>
                    <w:jc w:val="center"/>
                    <w:rPr>
                      <w:rFonts w:hint="default" w:ascii="Times New Roman" w:hAnsi="Times New Roman" w:eastAsia="宋体" w:cs="Times New Roman"/>
                      <w:b w:val="0"/>
                      <w:bCs/>
                      <w:u w:val="none" w:color="auto"/>
                    </w:rPr>
                  </w:pPr>
                  <w:r>
                    <w:rPr>
                      <w:rFonts w:hint="default" w:ascii="Times New Roman" w:hAnsi="Times New Roman" w:eastAsia="宋体" w:cs="Times New Roman"/>
                      <w:b w:val="0"/>
                      <w:bCs/>
                      <w:u w:val="none" w:color="auto"/>
                    </w:rPr>
                    <w:t>1次/半年</w:t>
                  </w:r>
                </w:p>
              </w:tc>
            </w:tr>
            <w:tr w14:paraId="18F53BC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4" w:hRule="atLeast"/>
                <w:jc w:val="center"/>
              </w:trPr>
              <w:tc>
                <w:tcPr>
                  <w:tcW w:w="1481" w:type="dxa"/>
                  <w:tcBorders>
                    <w:top w:val="single" w:color="000000" w:sz="8" w:space="0"/>
                    <w:tl2br w:val="nil"/>
                    <w:tr2bl w:val="nil"/>
                  </w:tcBorders>
                  <w:shd w:val="clear" w:color="auto" w:fill="auto"/>
                  <w:noWrap w:val="0"/>
                  <w:vAlign w:val="center"/>
                </w:tcPr>
                <w:p w14:paraId="2045A501">
                  <w:pPr>
                    <w:adjustRightInd w:val="0"/>
                    <w:snapToGrid w:val="0"/>
                    <w:jc w:val="center"/>
                    <w:rPr>
                      <w:rFonts w:hint="default"/>
                      <w:sz w:val="21"/>
                      <w:szCs w:val="21"/>
                      <w:u w:val="none" w:color="auto"/>
                      <w:lang w:val="en-US" w:eastAsia="zh-CN"/>
                    </w:rPr>
                  </w:pPr>
                  <w:r>
                    <w:rPr>
                      <w:rFonts w:hint="eastAsia"/>
                      <w:sz w:val="21"/>
                      <w:szCs w:val="21"/>
                      <w:u w:val="none" w:color="auto"/>
                      <w:lang w:val="en-US" w:eastAsia="zh-CN"/>
                    </w:rPr>
                    <w:t>生活污水</w:t>
                  </w:r>
                </w:p>
              </w:tc>
              <w:tc>
                <w:tcPr>
                  <w:tcW w:w="1754" w:type="dxa"/>
                  <w:tcBorders>
                    <w:top w:val="single" w:color="000000" w:sz="8" w:space="0"/>
                    <w:tl2br w:val="nil"/>
                    <w:tr2bl w:val="nil"/>
                  </w:tcBorders>
                  <w:shd w:val="clear" w:color="auto" w:fill="auto"/>
                  <w:noWrap w:val="0"/>
                  <w:vAlign w:val="center"/>
                </w:tcPr>
                <w:p w14:paraId="1F67669C">
                  <w:pPr>
                    <w:tabs>
                      <w:tab w:val="left" w:pos="3620"/>
                    </w:tabs>
                    <w:adjustRightInd w:val="0"/>
                    <w:snapToGrid w:val="0"/>
                    <w:jc w:val="center"/>
                    <w:rPr>
                      <w:rFonts w:hint="eastAsia"/>
                      <w:sz w:val="21"/>
                      <w:szCs w:val="21"/>
                      <w:u w:val="none" w:color="auto"/>
                      <w:lang w:val="en-US" w:eastAsia="zh-CN"/>
                    </w:rPr>
                  </w:pPr>
                  <w:r>
                    <w:rPr>
                      <w:rFonts w:hint="eastAsia"/>
                      <w:sz w:val="21"/>
                      <w:szCs w:val="21"/>
                      <w:u w:val="none" w:color="auto"/>
                      <w:lang w:val="en-US" w:eastAsia="zh-CN"/>
                    </w:rPr>
                    <w:t>化粪池出口</w:t>
                  </w:r>
                </w:p>
              </w:tc>
              <w:tc>
                <w:tcPr>
                  <w:tcW w:w="2838" w:type="dxa"/>
                  <w:tcBorders>
                    <w:top w:val="single" w:color="000000" w:sz="8" w:space="0"/>
                    <w:tl2br w:val="nil"/>
                    <w:tr2bl w:val="nil"/>
                  </w:tcBorders>
                  <w:shd w:val="clear" w:color="auto" w:fill="auto"/>
                  <w:noWrap w:val="0"/>
                  <w:vAlign w:val="center"/>
                </w:tcPr>
                <w:p w14:paraId="17B08187">
                  <w:pPr>
                    <w:pStyle w:val="51"/>
                    <w:keepNext/>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cs="Times New Roman"/>
                      <w:b w:val="0"/>
                      <w:bCs/>
                      <w:u w:val="none" w:color="auto"/>
                      <w:lang w:val="en-US" w:eastAsia="zh-CN"/>
                    </w:rPr>
                  </w:pPr>
                  <w:r>
                    <w:rPr>
                      <w:rFonts w:hint="eastAsia" w:ascii="Times New Roman" w:cs="Times New Roman"/>
                      <w:b w:val="0"/>
                      <w:bCs/>
                      <w:u w:val="none" w:color="auto"/>
                      <w:lang w:val="en-US" w:eastAsia="zh-CN"/>
                    </w:rPr>
                    <w:t>p</w:t>
                  </w:r>
                  <w:r>
                    <w:rPr>
                      <w:rFonts w:hint="default" w:ascii="Times New Roman" w:hAnsi="Times New Roman" w:eastAsia="宋体" w:cs="Times New Roman"/>
                      <w:b w:val="0"/>
                      <w:bCs/>
                      <w:u w:val="none" w:color="auto"/>
                    </w:rPr>
                    <w:t>H值</w:t>
                  </w:r>
                  <w:r>
                    <w:rPr>
                      <w:rFonts w:hint="eastAsia" w:ascii="Times New Roman" w:cs="Times New Roman"/>
                      <w:b w:val="0"/>
                      <w:bCs/>
                      <w:u w:val="none" w:color="auto"/>
                      <w:lang w:eastAsia="zh-CN"/>
                    </w:rPr>
                    <w:t>、</w:t>
                  </w:r>
                  <w:r>
                    <w:rPr>
                      <w:rFonts w:hint="eastAsia" w:ascii="Times New Roman" w:cs="Times New Roman"/>
                      <w:b w:val="0"/>
                      <w:bCs/>
                      <w:u w:val="none" w:color="auto"/>
                      <w:lang w:val="en-US" w:eastAsia="zh-CN"/>
                    </w:rPr>
                    <w:t>流量、</w:t>
                  </w:r>
                  <w:r>
                    <w:rPr>
                      <w:rFonts w:hint="default" w:ascii="Times New Roman" w:hAnsi="Times New Roman" w:eastAsia="宋体" w:cs="Times New Roman"/>
                      <w:b w:val="0"/>
                      <w:bCs/>
                      <w:u w:val="none" w:color="auto"/>
                    </w:rPr>
                    <w:t>化学需氧量</w:t>
                  </w:r>
                  <w:r>
                    <w:rPr>
                      <w:rFonts w:hint="eastAsia" w:ascii="Times New Roman" w:cs="Times New Roman"/>
                      <w:b w:val="0"/>
                      <w:bCs/>
                      <w:u w:val="none" w:color="auto"/>
                      <w:lang w:eastAsia="zh-CN"/>
                    </w:rPr>
                    <w:t>、</w:t>
                  </w:r>
                  <w:r>
                    <w:rPr>
                      <w:rFonts w:hint="default" w:ascii="Times New Roman" w:hAnsi="Times New Roman" w:eastAsia="宋体" w:cs="Times New Roman"/>
                      <w:b w:val="0"/>
                      <w:bCs/>
                      <w:u w:val="none" w:color="auto"/>
                    </w:rPr>
                    <w:t>氨氮</w:t>
                  </w:r>
                  <w:r>
                    <w:rPr>
                      <w:rFonts w:hint="eastAsia" w:ascii="Times New Roman" w:cs="Times New Roman"/>
                      <w:b w:val="0"/>
                      <w:bCs/>
                      <w:u w:val="none" w:color="auto"/>
                      <w:lang w:eastAsia="zh-CN"/>
                    </w:rPr>
                    <w:t>、</w:t>
                  </w:r>
                  <w:r>
                    <w:rPr>
                      <w:rFonts w:hint="default" w:ascii="Times New Roman" w:hAnsi="Times New Roman" w:eastAsia="宋体" w:cs="Times New Roman"/>
                      <w:b w:val="0"/>
                      <w:bCs/>
                      <w:u w:val="none" w:color="auto"/>
                    </w:rPr>
                    <w:t>悬浮物</w:t>
                  </w:r>
                  <w:r>
                    <w:rPr>
                      <w:rFonts w:hint="eastAsia" w:ascii="Times New Roman" w:cs="Times New Roman"/>
                      <w:b w:val="0"/>
                      <w:bCs/>
                      <w:u w:val="none" w:color="auto"/>
                      <w:lang w:eastAsia="zh-CN"/>
                    </w:rPr>
                    <w:t>、</w:t>
                  </w:r>
                  <w:r>
                    <w:rPr>
                      <w:rFonts w:hint="eastAsia" w:ascii="Times New Roman" w:cs="Times New Roman"/>
                      <w:b w:val="0"/>
                      <w:bCs/>
                      <w:u w:val="none" w:color="auto"/>
                      <w:lang w:val="en-US" w:eastAsia="zh-CN"/>
                    </w:rPr>
                    <w:t>总氮、总磷</w:t>
                  </w:r>
                </w:p>
              </w:tc>
              <w:tc>
                <w:tcPr>
                  <w:tcW w:w="1425" w:type="dxa"/>
                  <w:tcBorders>
                    <w:top w:val="single" w:color="000000" w:sz="8" w:space="0"/>
                    <w:tl2br w:val="nil"/>
                    <w:tr2bl w:val="nil"/>
                  </w:tcBorders>
                  <w:shd w:val="clear" w:color="auto" w:fill="auto"/>
                  <w:noWrap w:val="0"/>
                  <w:vAlign w:val="center"/>
                </w:tcPr>
                <w:p w14:paraId="1C55E469">
                  <w:pPr>
                    <w:tabs>
                      <w:tab w:val="left" w:pos="3620"/>
                    </w:tabs>
                    <w:adjustRightInd w:val="0"/>
                    <w:snapToGrid w:val="0"/>
                    <w:jc w:val="center"/>
                    <w:rPr>
                      <w:rFonts w:hint="default" w:ascii="Times New Roman" w:hAnsi="Times New Roman" w:eastAsia="宋体" w:cs="Times New Roman"/>
                      <w:b w:val="0"/>
                      <w:bCs/>
                      <w:u w:val="none" w:color="auto"/>
                    </w:rPr>
                  </w:pPr>
                  <w:r>
                    <w:rPr>
                      <w:rFonts w:hint="default" w:ascii="Times New Roman" w:hAnsi="Times New Roman" w:eastAsia="宋体" w:cs="Times New Roman"/>
                      <w:b w:val="0"/>
                      <w:bCs/>
                      <w:u w:val="none" w:color="auto"/>
                    </w:rPr>
                    <w:t>1次/</w:t>
                  </w:r>
                  <w:r>
                    <w:rPr>
                      <w:rFonts w:hint="eastAsia" w:eastAsia="宋体" w:cs="Times New Roman"/>
                      <w:b w:val="0"/>
                      <w:bCs/>
                      <w:u w:val="none" w:color="auto"/>
                      <w:lang w:val="en-US" w:eastAsia="zh-CN"/>
                    </w:rPr>
                    <w:t>季度</w:t>
                  </w:r>
                </w:p>
              </w:tc>
            </w:tr>
          </w:tbl>
          <w:p w14:paraId="29C2CE15">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420" w:leftChars="0"/>
              <w:textAlignment w:val="auto"/>
              <w:rPr>
                <w:b/>
                <w:bCs/>
                <w:color w:val="auto"/>
                <w:sz w:val="24"/>
                <w:u w:val="none" w:color="auto"/>
              </w:rPr>
            </w:pPr>
            <w:r>
              <w:rPr>
                <w:rFonts w:hint="eastAsia"/>
                <w:b/>
                <w:bCs/>
                <w:color w:val="auto"/>
                <w:sz w:val="24"/>
                <w:u w:val="none" w:color="auto"/>
                <w:lang w:val="en-US" w:eastAsia="zh-CN"/>
              </w:rPr>
              <w:t>三 、</w:t>
            </w:r>
            <w:r>
              <w:rPr>
                <w:b/>
                <w:bCs/>
                <w:color w:val="auto"/>
                <w:sz w:val="24"/>
                <w:u w:val="none" w:color="auto"/>
              </w:rPr>
              <w:t>噪声</w:t>
            </w:r>
          </w:p>
          <w:p w14:paraId="7BBEAF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2" w:firstLineChars="200"/>
              <w:rPr>
                <w:rFonts w:hint="default" w:ascii="Times New Roman" w:hAnsi="Times New Roman" w:eastAsia="宋体" w:cs="Times New Roman"/>
                <w:b/>
                <w:bCs/>
                <w:sz w:val="24"/>
                <w:u w:val="none" w:color="auto"/>
                <w:lang w:val="en-US" w:eastAsia="zh-CN"/>
              </w:rPr>
            </w:pPr>
            <w:r>
              <w:rPr>
                <w:rFonts w:hint="default" w:ascii="Times New Roman" w:hAnsi="Times New Roman" w:eastAsia="宋体" w:cs="Times New Roman"/>
                <w:b/>
                <w:bCs/>
                <w:sz w:val="24"/>
                <w:u w:val="none" w:color="auto"/>
                <w:lang w:val="en-US" w:eastAsia="zh-CN"/>
              </w:rPr>
              <w:t>1、源强</w:t>
            </w:r>
            <w:r>
              <w:rPr>
                <w:rFonts w:hint="eastAsia" w:ascii="Times New Roman" w:hAnsi="Times New Roman" w:eastAsia="宋体" w:cs="Times New Roman"/>
                <w:b/>
                <w:bCs/>
                <w:sz w:val="24"/>
                <w:u w:val="none" w:color="auto"/>
                <w:lang w:val="en-US" w:eastAsia="zh-CN"/>
              </w:rPr>
              <w:t>源调查</w:t>
            </w:r>
          </w:p>
          <w:p w14:paraId="43E8075A">
            <w:pPr>
              <w:keepNext w:val="0"/>
              <w:keepLines w:val="0"/>
              <w:suppressLineNumbers w:val="0"/>
              <w:spacing w:before="0" w:beforeAutospacing="0" w:after="0" w:afterAutospacing="0" w:line="440" w:lineRule="exact"/>
              <w:ind w:left="0" w:right="0" w:firstLine="480" w:firstLineChars="200"/>
              <w:jc w:val="left"/>
              <w:rPr>
                <w:rFonts w:hint="default" w:hAnsi="宋体"/>
                <w:sz w:val="24"/>
                <w:highlight w:val="none"/>
                <w:u w:val="none" w:color="auto"/>
              </w:rPr>
            </w:pPr>
            <w:r>
              <w:rPr>
                <w:rFonts w:hint="eastAsia" w:hAnsi="宋体"/>
                <w:kern w:val="2"/>
                <w:sz w:val="24"/>
                <w:u w:val="none" w:color="auto"/>
              </w:rPr>
              <w:t>本</w:t>
            </w:r>
            <w:r>
              <w:rPr>
                <w:rFonts w:hAnsi="宋体"/>
                <w:kern w:val="2"/>
                <w:sz w:val="24"/>
                <w:u w:val="none" w:color="auto"/>
              </w:rPr>
              <w:t>项目运营过程中</w:t>
            </w:r>
            <w:r>
              <w:rPr>
                <w:rFonts w:hint="eastAsia" w:hAnsi="宋体"/>
                <w:kern w:val="2"/>
                <w:sz w:val="24"/>
                <w:u w:val="none" w:color="auto"/>
              </w:rPr>
              <w:t>的高噪声设备主要为</w:t>
            </w:r>
            <w:r>
              <w:rPr>
                <w:rFonts w:hint="eastAsia" w:hAnsi="宋体"/>
                <w:kern w:val="2"/>
                <w:sz w:val="24"/>
                <w:u w:val="none" w:color="auto"/>
                <w:lang w:val="en-US" w:eastAsia="zh-CN"/>
              </w:rPr>
              <w:t>匀浆系统、涂布机、辊压机、分条机等</w:t>
            </w:r>
            <w:r>
              <w:rPr>
                <w:rFonts w:hint="eastAsia" w:hAnsi="宋体"/>
                <w:kern w:val="2"/>
                <w:sz w:val="24"/>
                <w:u w:val="none" w:color="auto"/>
              </w:rPr>
              <w:t>。</w:t>
            </w:r>
            <w:r>
              <w:rPr>
                <w:rFonts w:hAnsi="宋体"/>
                <w:kern w:val="2"/>
                <w:sz w:val="24"/>
                <w:u w:val="none" w:color="auto"/>
              </w:rPr>
              <w:t>本项目主要生产设备声功率级在</w:t>
            </w:r>
            <w:r>
              <w:rPr>
                <w:rFonts w:hint="eastAsia" w:hAnsi="宋体"/>
                <w:kern w:val="2"/>
                <w:sz w:val="24"/>
                <w:u w:val="none" w:color="auto"/>
                <w:lang w:val="en-US" w:eastAsia="zh-CN"/>
              </w:rPr>
              <w:t>70</w:t>
            </w:r>
            <w:r>
              <w:rPr>
                <w:rFonts w:hAnsi="宋体"/>
                <w:kern w:val="2"/>
                <w:sz w:val="24"/>
                <w:u w:val="none" w:color="auto"/>
              </w:rPr>
              <w:t>～</w:t>
            </w:r>
            <w:r>
              <w:rPr>
                <w:rFonts w:hint="eastAsia" w:hAnsi="宋体"/>
                <w:kern w:val="2"/>
                <w:sz w:val="24"/>
                <w:u w:val="none" w:color="auto"/>
                <w:lang w:val="en-US" w:eastAsia="zh-CN"/>
              </w:rPr>
              <w:t>85</w:t>
            </w:r>
            <w:r>
              <w:rPr>
                <w:rFonts w:hAnsi="宋体"/>
                <w:kern w:val="2"/>
                <w:sz w:val="24"/>
                <w:u w:val="none" w:color="auto"/>
              </w:rPr>
              <w:t>dB（A）之间，噪声源强拟采取</w:t>
            </w:r>
            <w:r>
              <w:rPr>
                <w:rFonts w:hint="eastAsia" w:hAnsi="宋体"/>
                <w:kern w:val="2"/>
                <w:sz w:val="24"/>
                <w:u w:val="none" w:color="auto"/>
              </w:rPr>
              <w:t>基础减振、密闭隔音</w:t>
            </w:r>
            <w:r>
              <w:rPr>
                <w:rFonts w:hAnsi="宋体"/>
                <w:kern w:val="2"/>
                <w:sz w:val="24"/>
                <w:u w:val="none" w:color="auto"/>
              </w:rPr>
              <w:t>等降噪措施。</w:t>
            </w:r>
            <w:r>
              <w:rPr>
                <w:rFonts w:hint="eastAsia" w:hAnsi="宋体"/>
                <w:kern w:val="2"/>
                <w:sz w:val="24"/>
                <w:u w:val="none" w:color="auto"/>
              </w:rPr>
              <w:t>本项目</w:t>
            </w:r>
            <w:r>
              <w:rPr>
                <w:rFonts w:hAnsi="宋体"/>
                <w:kern w:val="2"/>
                <w:sz w:val="24"/>
                <w:u w:val="none" w:color="auto"/>
              </w:rPr>
              <w:t>根据《环境影响评价技术导则</w:t>
            </w:r>
            <w:r>
              <w:rPr>
                <w:rFonts w:hint="eastAsia" w:hAnsi="宋体"/>
                <w:kern w:val="2"/>
                <w:sz w:val="24"/>
                <w:u w:val="none" w:color="auto"/>
              </w:rPr>
              <w:t>—</w:t>
            </w:r>
            <w:r>
              <w:rPr>
                <w:rFonts w:hAnsi="宋体"/>
                <w:kern w:val="2"/>
                <w:sz w:val="24"/>
                <w:u w:val="none" w:color="auto"/>
              </w:rPr>
              <w:t>声环境》（HJ2.4-2021），</w:t>
            </w:r>
            <w:r>
              <w:rPr>
                <w:rFonts w:hint="default" w:hAnsi="宋体"/>
                <w:sz w:val="24"/>
                <w:highlight w:val="none"/>
                <w:u w:val="none" w:color="auto"/>
              </w:rPr>
              <w:t>工业声源应按照室内</w:t>
            </w:r>
            <w:r>
              <w:rPr>
                <w:rFonts w:hint="eastAsia" w:hAnsi="宋体"/>
                <w:sz w:val="24"/>
                <w:highlight w:val="none"/>
                <w:u w:val="none" w:color="auto"/>
                <w:lang w:val="en-US" w:eastAsia="zh-CN"/>
              </w:rPr>
              <w:t>和室外两种声源</w:t>
            </w:r>
            <w:r>
              <w:rPr>
                <w:rFonts w:hint="default" w:hAnsi="宋体"/>
                <w:sz w:val="24"/>
                <w:highlight w:val="none"/>
                <w:u w:val="none" w:color="auto"/>
              </w:rPr>
              <w:t>计算。</w:t>
            </w:r>
          </w:p>
          <w:p w14:paraId="30E50303">
            <w:pPr>
              <w:keepNext w:val="0"/>
              <w:keepLines w:val="0"/>
              <w:suppressLineNumbers w:val="0"/>
              <w:tabs>
                <w:tab w:val="left" w:pos="3620"/>
              </w:tabs>
              <w:adjustRightInd w:val="0"/>
              <w:snapToGrid w:val="0"/>
              <w:spacing w:before="0" w:beforeAutospacing="0" w:after="0" w:afterAutospacing="0" w:line="440" w:lineRule="exact"/>
              <w:ind w:left="0" w:right="0" w:firstLine="480" w:firstLineChars="200"/>
              <w:rPr>
                <w:rFonts w:hint="default" w:hAnsi="宋体"/>
                <w:b w:val="0"/>
                <w:bCs w:val="0"/>
                <w:sz w:val="24"/>
                <w:highlight w:val="none"/>
                <w:u w:val="none" w:color="auto"/>
                <w:lang w:val="en-US" w:eastAsia="zh-CN"/>
              </w:rPr>
            </w:pPr>
            <w:r>
              <w:rPr>
                <w:rFonts w:hint="eastAsia" w:hAnsi="宋体"/>
                <w:b w:val="0"/>
                <w:bCs w:val="0"/>
                <w:sz w:val="24"/>
                <w:highlight w:val="none"/>
                <w:u w:val="none" w:color="auto"/>
                <w:lang w:val="en-US" w:eastAsia="zh-CN"/>
              </w:rPr>
              <w:t>（1）室内</w:t>
            </w:r>
            <w:r>
              <w:rPr>
                <w:rFonts w:hint="default" w:hAnsi="宋体"/>
                <w:b w:val="0"/>
                <w:bCs w:val="0"/>
                <w:sz w:val="24"/>
                <w:highlight w:val="none"/>
                <w:u w:val="none" w:color="auto"/>
                <w:lang w:val="en-US" w:eastAsia="zh-CN"/>
              </w:rPr>
              <w:t>声源等效室外声源声功率级计算</w:t>
            </w:r>
          </w:p>
          <w:p w14:paraId="31B9BC38">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textAlignment w:val="auto"/>
              <w:rPr>
                <w:rFonts w:hAnsi="宋体"/>
                <w:kern w:val="2"/>
                <w:sz w:val="24"/>
                <w:u w:val="none" w:color="auto"/>
              </w:rPr>
            </w:pPr>
            <w:r>
              <w:rPr>
                <w:rFonts w:hAnsi="宋体"/>
                <w:kern w:val="2"/>
                <w:sz w:val="24"/>
                <w:u w:val="none" w:color="auto"/>
              </w:rPr>
              <w:t>声源位于室内，室内声源可采用等效室外声源声功率级法进行计算。设靠近开口处（或窗户）室内、室外某倍频带的声压级或A声级分别为L</w:t>
            </w:r>
            <w:r>
              <w:rPr>
                <w:rFonts w:hAnsi="宋体"/>
                <w:kern w:val="2"/>
                <w:sz w:val="24"/>
                <w:u w:val="none" w:color="auto"/>
                <w:vertAlign w:val="subscript"/>
              </w:rPr>
              <w:t>p1</w:t>
            </w:r>
            <w:r>
              <w:rPr>
                <w:rFonts w:hAnsi="宋体"/>
                <w:kern w:val="2"/>
                <w:sz w:val="24"/>
                <w:u w:val="none" w:color="auto"/>
              </w:rPr>
              <w:t>和L</w:t>
            </w:r>
            <w:r>
              <w:rPr>
                <w:rFonts w:hAnsi="宋体"/>
                <w:kern w:val="2"/>
                <w:sz w:val="24"/>
                <w:u w:val="none" w:color="auto"/>
                <w:vertAlign w:val="subscript"/>
              </w:rPr>
              <w:t>p2</w:t>
            </w:r>
            <w:r>
              <w:rPr>
                <w:rFonts w:hAnsi="宋体"/>
                <w:kern w:val="2"/>
                <w:sz w:val="24"/>
                <w:u w:val="none" w:color="auto"/>
              </w:rPr>
              <w:t>。</w:t>
            </w:r>
          </w:p>
          <w:p w14:paraId="388449A5">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textAlignment w:val="auto"/>
              <w:rPr>
                <w:rFonts w:hAnsi="宋体"/>
                <w:kern w:val="2"/>
                <w:sz w:val="24"/>
                <w:u w:val="none" w:color="auto"/>
              </w:rPr>
            </w:pPr>
            <w:r>
              <w:rPr>
                <w:rFonts w:hAnsi="宋体"/>
                <w:kern w:val="2"/>
                <w:sz w:val="24"/>
                <w:u w:val="none" w:color="auto"/>
              </w:rPr>
              <w:t>计算某一室内声源靠近围护结构处产生的倍频带声压级或A声级公式如下：</w:t>
            </w:r>
          </w:p>
          <w:p w14:paraId="7D8D8C77">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textAlignment w:val="auto"/>
              <w:rPr>
                <w:rFonts w:hAnsi="宋体"/>
                <w:kern w:val="2"/>
                <w:sz w:val="24"/>
                <w:u w:val="none" w:color="auto"/>
              </w:rPr>
            </w:pPr>
          </w:p>
          <w:p w14:paraId="5CE9D9FB">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textAlignment w:val="auto"/>
              <w:rPr>
                <w:rFonts w:hAnsi="宋体"/>
                <w:kern w:val="2"/>
                <w:sz w:val="24"/>
                <w:u w:val="none" w:color="auto"/>
              </w:rPr>
            </w:pPr>
            <w:r>
              <w:rPr>
                <w:rFonts w:hAnsi="宋体"/>
                <w:kern w:val="2"/>
                <w:sz w:val="24"/>
                <w:u w:val="none" w:color="auto"/>
              </w:rPr>
              <w:drawing>
                <wp:anchor distT="0" distB="0" distL="114300" distR="114300" simplePos="0" relativeHeight="251661312" behindDoc="1" locked="0" layoutInCell="1" allowOverlap="1">
                  <wp:simplePos x="0" y="0"/>
                  <wp:positionH relativeFrom="column">
                    <wp:posOffset>1548130</wp:posOffset>
                  </wp:positionH>
                  <wp:positionV relativeFrom="paragraph">
                    <wp:posOffset>81280</wp:posOffset>
                  </wp:positionV>
                  <wp:extent cx="2187575" cy="396875"/>
                  <wp:effectExtent l="0" t="0" r="0" b="2540"/>
                  <wp:wrapNone/>
                  <wp:docPr id="14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图片 1"/>
                          <pic:cNvPicPr>
                            <a:picLocks noChangeAspect="1" noChangeArrowheads="1"/>
                          </pic:cNvPicPr>
                        </pic:nvPicPr>
                        <pic:blipFill>
                          <a:blip r:embed="rId34"/>
                          <a:srcRect/>
                          <a:stretch>
                            <a:fillRect/>
                          </a:stretch>
                        </pic:blipFill>
                        <pic:spPr>
                          <a:xfrm>
                            <a:off x="0" y="0"/>
                            <a:ext cx="2187575" cy="396875"/>
                          </a:xfrm>
                          <a:prstGeom prst="rect">
                            <a:avLst/>
                          </a:prstGeom>
                          <a:noFill/>
                          <a:ln w="9525">
                            <a:noFill/>
                            <a:miter lim="800000"/>
                            <a:headEnd/>
                            <a:tailEnd/>
                          </a:ln>
                        </pic:spPr>
                      </pic:pic>
                    </a:graphicData>
                  </a:graphic>
                </wp:anchor>
              </w:drawing>
            </w:r>
          </w:p>
          <w:p w14:paraId="4D61977C">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textAlignment w:val="auto"/>
              <w:rPr>
                <w:rFonts w:hAnsi="宋体"/>
                <w:kern w:val="2"/>
                <w:sz w:val="24"/>
                <w:u w:val="none" w:color="auto"/>
              </w:rPr>
            </w:pPr>
          </w:p>
          <w:p w14:paraId="3AE476A5">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textAlignment w:val="auto"/>
              <w:rPr>
                <w:rFonts w:hAnsi="宋体"/>
                <w:kern w:val="2"/>
                <w:sz w:val="24"/>
                <w:u w:val="none" w:color="auto"/>
              </w:rPr>
            </w:pPr>
            <w:r>
              <w:rPr>
                <w:rFonts w:hAnsi="宋体"/>
                <w:kern w:val="2"/>
                <w:sz w:val="24"/>
                <w:u w:val="none" w:color="auto"/>
              </w:rPr>
              <w:t>式中：L</w:t>
            </w:r>
            <w:r>
              <w:rPr>
                <w:rFonts w:hAnsi="宋体"/>
                <w:kern w:val="2"/>
                <w:sz w:val="24"/>
                <w:u w:val="none" w:color="auto"/>
                <w:vertAlign w:val="subscript"/>
              </w:rPr>
              <w:t>p1——</w:t>
            </w:r>
            <w:r>
              <w:rPr>
                <w:rFonts w:hAnsi="宋体"/>
                <w:kern w:val="2"/>
                <w:sz w:val="24"/>
                <w:u w:val="none" w:color="auto"/>
              </w:rPr>
              <w:t>靠近开口处（或窗户）室内某倍频带的声压级或A声级，dB；</w:t>
            </w:r>
          </w:p>
          <w:p w14:paraId="095EB0E4">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textAlignment w:val="auto"/>
              <w:rPr>
                <w:rFonts w:hAnsi="宋体"/>
                <w:kern w:val="2"/>
                <w:sz w:val="24"/>
                <w:u w:val="none" w:color="auto"/>
              </w:rPr>
            </w:pPr>
            <w:r>
              <w:rPr>
                <w:rFonts w:hAnsi="宋体"/>
                <w:kern w:val="2"/>
                <w:sz w:val="24"/>
                <w:u w:val="none" w:color="auto"/>
              </w:rPr>
              <w:t>L</w:t>
            </w:r>
            <w:r>
              <w:rPr>
                <w:rFonts w:hAnsi="宋体"/>
                <w:kern w:val="2"/>
                <w:sz w:val="24"/>
                <w:u w:val="none" w:color="auto"/>
                <w:vertAlign w:val="subscript"/>
              </w:rPr>
              <w:t>w1</w:t>
            </w:r>
            <w:r>
              <w:rPr>
                <w:rFonts w:hAnsi="宋体"/>
                <w:kern w:val="2"/>
                <w:sz w:val="24"/>
                <w:u w:val="none" w:color="auto"/>
              </w:rPr>
              <w:t>—点声源声功率级（A计权或倍频带），dB；</w:t>
            </w:r>
          </w:p>
          <w:p w14:paraId="5A1FF23F">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textAlignment w:val="auto"/>
              <w:rPr>
                <w:rFonts w:hAnsi="宋体"/>
                <w:color w:val="000000" w:themeColor="text1"/>
                <w:kern w:val="2"/>
                <w:sz w:val="24"/>
                <w:u w:val="none" w:color="auto"/>
                <w14:textFill>
                  <w14:solidFill>
                    <w14:schemeClr w14:val="tx1"/>
                  </w14:solidFill>
                </w14:textFill>
              </w:rPr>
            </w:pPr>
            <w:r>
              <w:rPr>
                <w:rFonts w:hAnsi="宋体"/>
                <w:kern w:val="2"/>
                <w:sz w:val="24"/>
                <w:u w:val="none" w:color="auto"/>
              </w:rPr>
              <w:t>Q—指向性因数；通常对无指向性声源，当声源放在房间中心时，Q=1；当放在一面墙的中心时，Q=2；当放在两面墙夹角处时，Q=4；当放在三面墙夹角处时，Q=8；</w:t>
            </w:r>
            <w:r>
              <w:rPr>
                <w:rFonts w:hAnsi="宋体"/>
                <w:color w:val="000000" w:themeColor="text1"/>
                <w:kern w:val="2"/>
                <w:sz w:val="24"/>
                <w:u w:val="none" w:color="auto"/>
                <w14:textFill>
                  <w14:solidFill>
                    <w14:schemeClr w14:val="tx1"/>
                  </w14:solidFill>
                </w14:textFill>
              </w:rPr>
              <w:t>本项目</w:t>
            </w:r>
            <w:r>
              <w:rPr>
                <w:rFonts w:hint="eastAsia" w:hAnsi="宋体"/>
                <w:color w:val="000000" w:themeColor="text1"/>
                <w:kern w:val="2"/>
                <w:sz w:val="24"/>
                <w:u w:val="none" w:color="auto"/>
                <w14:textFill>
                  <w14:solidFill>
                    <w14:schemeClr w14:val="tx1"/>
                  </w14:solidFill>
                </w14:textFill>
              </w:rPr>
              <w:t>Q值取4。</w:t>
            </w:r>
          </w:p>
          <w:p w14:paraId="5F7EBF1D">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eastAsia="宋体" w:cs="Times New Roman"/>
                <w:kern w:val="2"/>
                <w:sz w:val="24"/>
                <w:highlight w:val="yellow"/>
                <w:u w:val="none" w:color="auto"/>
              </w:rPr>
            </w:pPr>
            <w:r>
              <w:rPr>
                <w:rFonts w:hAnsi="宋体"/>
                <w:kern w:val="2"/>
                <w:sz w:val="24"/>
                <w:u w:val="none" w:color="auto"/>
              </w:rPr>
              <w:t>R</w:t>
            </w:r>
            <w:r>
              <w:rPr>
                <w:rFonts w:hint="default" w:ascii="Times New Roman" w:hAnsi="Times New Roman" w:eastAsia="宋体" w:cs="Times New Roman"/>
                <w:kern w:val="2"/>
                <w:sz w:val="24"/>
                <w:u w:val="none" w:color="auto"/>
              </w:rPr>
              <w:t>——房间常数；R=Sα/（1-α），S为房间内表面面积，m</w:t>
            </w:r>
            <w:r>
              <w:rPr>
                <w:rFonts w:hint="default" w:ascii="Times New Roman" w:hAnsi="Times New Roman" w:eastAsia="宋体" w:cs="Times New Roman"/>
                <w:kern w:val="2"/>
                <w:sz w:val="24"/>
                <w:u w:val="none" w:color="auto"/>
                <w:vertAlign w:val="superscript"/>
              </w:rPr>
              <w:t>2</w:t>
            </w:r>
            <w:r>
              <w:rPr>
                <w:rFonts w:hint="default" w:ascii="Times New Roman" w:hAnsi="Times New Roman" w:eastAsia="宋体" w:cs="Times New Roman"/>
                <w:kern w:val="2"/>
                <w:sz w:val="24"/>
                <w:u w:val="none" w:color="auto"/>
              </w:rPr>
              <w:t>；α为平均吸声系数，取平均吸声系数0.4；生产车间内表面积</w:t>
            </w:r>
            <w:r>
              <w:rPr>
                <w:rFonts w:hint="default" w:ascii="Times New Roman" w:hAnsi="Times New Roman" w:eastAsia="宋体" w:cs="Times New Roman"/>
                <w:color w:val="000000" w:themeColor="text1"/>
                <w:kern w:val="2"/>
                <w:sz w:val="24"/>
                <w:u w:val="none" w:color="auto"/>
                <w14:textFill>
                  <w14:solidFill>
                    <w14:schemeClr w14:val="tx1"/>
                  </w14:solidFill>
                </w14:textFill>
              </w:rPr>
              <w:t>为</w:t>
            </w:r>
            <w:r>
              <w:rPr>
                <w:rFonts w:hint="eastAsia" w:ascii="Times New Roman" w:hAnsi="Times New Roman" w:eastAsia="宋体" w:cs="Times New Roman"/>
                <w:color w:val="000000" w:themeColor="text1"/>
                <w:kern w:val="2"/>
                <w:sz w:val="24"/>
                <w:u w:val="none" w:color="auto"/>
                <w:lang w:val="en-US" w:eastAsia="zh-CN"/>
                <w14:textFill>
                  <w14:solidFill>
                    <w14:schemeClr w14:val="tx1"/>
                  </w14:solidFill>
                </w14:textFill>
              </w:rPr>
              <w:t>49043</w:t>
            </w:r>
            <w:r>
              <w:rPr>
                <w:rFonts w:hint="default" w:ascii="Times New Roman" w:hAnsi="Times New Roman" w:eastAsia="宋体" w:cs="Times New Roman"/>
                <w:color w:val="000000" w:themeColor="text1"/>
                <w:kern w:val="2"/>
                <w:sz w:val="24"/>
                <w:u w:val="none" w:color="auto"/>
                <w14:textFill>
                  <w14:solidFill>
                    <w14:schemeClr w14:val="tx1"/>
                  </w14:solidFill>
                </w14:textFill>
              </w:rPr>
              <w:t>m</w:t>
            </w:r>
            <w:r>
              <w:rPr>
                <w:rFonts w:hint="default" w:ascii="Times New Roman" w:hAnsi="Times New Roman" w:eastAsia="宋体" w:cs="Times New Roman"/>
                <w:color w:val="000000" w:themeColor="text1"/>
                <w:kern w:val="2"/>
                <w:sz w:val="24"/>
                <w:u w:val="none" w:color="auto"/>
                <w:vertAlign w:val="superscript"/>
                <w14:textFill>
                  <w14:solidFill>
                    <w14:schemeClr w14:val="tx1"/>
                  </w14:solidFill>
                </w14:textFill>
              </w:rPr>
              <w:t>2</w:t>
            </w:r>
            <w:r>
              <w:rPr>
                <w:rFonts w:hint="default" w:ascii="Times New Roman" w:hAnsi="Times New Roman" w:eastAsia="宋体" w:cs="Times New Roman"/>
                <w:color w:val="000000" w:themeColor="text1"/>
                <w:kern w:val="2"/>
                <w:sz w:val="24"/>
                <w:u w:val="none" w:color="auto"/>
                <w14:textFill>
                  <w14:solidFill>
                    <w14:schemeClr w14:val="tx1"/>
                  </w14:solidFill>
                </w14:textFill>
              </w:rPr>
              <w:t>，则R=</w:t>
            </w:r>
            <w:r>
              <w:rPr>
                <w:rFonts w:hint="eastAsia" w:ascii="Times New Roman" w:hAnsi="Times New Roman" w:eastAsia="宋体" w:cs="Times New Roman"/>
                <w:color w:val="000000" w:themeColor="text1"/>
                <w:kern w:val="2"/>
                <w:sz w:val="24"/>
                <w:u w:val="none" w:color="auto"/>
                <w:lang w:val="en-US" w:eastAsia="zh-CN"/>
                <w14:textFill>
                  <w14:solidFill>
                    <w14:schemeClr w14:val="tx1"/>
                  </w14:solidFill>
                </w14:textFill>
              </w:rPr>
              <w:t>32695</w:t>
            </w:r>
            <w:r>
              <w:rPr>
                <w:rFonts w:hint="default" w:ascii="Times New Roman" w:hAnsi="Times New Roman" w:eastAsia="宋体" w:cs="Times New Roman"/>
                <w:kern w:val="2"/>
                <w:sz w:val="24"/>
                <w:u w:val="none" w:color="auto"/>
              </w:rPr>
              <w:t>。</w:t>
            </w:r>
          </w:p>
          <w:p w14:paraId="4325A87D">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eastAsia="宋体" w:cs="Times New Roman"/>
                <w:kern w:val="2"/>
                <w:sz w:val="24"/>
                <w:u w:val="none" w:color="auto"/>
                <w:lang w:eastAsia="zh-CN"/>
              </w:rPr>
            </w:pPr>
            <w:r>
              <w:rPr>
                <w:rFonts w:hint="default" w:ascii="Times New Roman" w:hAnsi="Times New Roman" w:eastAsia="宋体" w:cs="Times New Roman"/>
                <w:kern w:val="2"/>
                <w:sz w:val="24"/>
                <w:u w:val="none" w:color="auto"/>
              </w:rPr>
              <w:t>r——声源到靠近围护结构某点处的距离，m</w:t>
            </w:r>
            <w:r>
              <w:rPr>
                <w:rFonts w:hint="default" w:ascii="Times New Roman" w:hAnsi="Times New Roman" w:eastAsia="宋体" w:cs="Times New Roman"/>
                <w:kern w:val="2"/>
                <w:sz w:val="24"/>
                <w:u w:val="none" w:color="auto"/>
                <w:lang w:eastAsia="zh-CN"/>
              </w:rPr>
              <w:t>。</w:t>
            </w:r>
          </w:p>
          <w:p w14:paraId="1C36068A">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default" w:eastAsia="宋体"/>
                <w:sz w:val="24"/>
                <w:szCs w:val="24"/>
                <w:highlight w:val="none"/>
                <w:u w:val="none" w:color="auto"/>
                <w:lang w:val="en-US" w:eastAsia="zh-CN"/>
              </w:rPr>
            </w:pPr>
            <w:r>
              <w:rPr>
                <w:rFonts w:hint="default" w:eastAsia="宋体"/>
                <w:sz w:val="24"/>
                <w:szCs w:val="24"/>
                <w:highlight w:val="none"/>
                <w:u w:val="none" w:color="auto"/>
                <w:lang w:val="en-US" w:eastAsia="zh-CN"/>
              </w:rPr>
              <w:t>然后按下式计算出所有室内声源在围护结构处产生的i倍频带叠加声压级：</w:t>
            </w:r>
          </w:p>
          <w:p w14:paraId="0744F87C">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center"/>
              <w:textAlignment w:val="auto"/>
              <w:rPr>
                <w:rFonts w:hint="default"/>
                <w:sz w:val="24"/>
                <w:szCs w:val="24"/>
                <w:highlight w:val="none"/>
                <w:u w:val="none" w:color="auto"/>
              </w:rPr>
            </w:pPr>
            <w:r>
              <w:rPr>
                <w:rFonts w:hint="default" w:ascii="Times New Roman" w:hAnsi="Times New Roman" w:cs="Times New Roman"/>
                <w:color w:val="0C0C0C"/>
                <w:sz w:val="24"/>
                <w:szCs w:val="24"/>
                <w:highlight w:val="none"/>
                <w:u w:val="none" w:color="auto"/>
              </w:rPr>
              <w:t>L</w:t>
            </w:r>
            <w:r>
              <w:rPr>
                <w:rFonts w:hint="default" w:ascii="Times New Roman" w:hAnsi="Times New Roman" w:cs="Times New Roman"/>
                <w:color w:val="0C0C0C"/>
                <w:sz w:val="24"/>
                <w:szCs w:val="24"/>
                <w:highlight w:val="none"/>
                <w:u w:val="none" w:color="auto"/>
                <w:vertAlign w:val="subscript"/>
              </w:rPr>
              <w:t>p1i</w:t>
            </w:r>
            <w:r>
              <w:rPr>
                <w:rFonts w:hint="default" w:ascii="Times New Roman" w:hAnsi="Times New Roman" w:cs="Times New Roman"/>
                <w:color w:val="0C0C0C"/>
                <w:sz w:val="24"/>
                <w:szCs w:val="24"/>
                <w:highlight w:val="none"/>
                <w:u w:val="none" w:color="auto"/>
              </w:rPr>
              <w:t>(T)=10lg</w:t>
            </w:r>
            <m:oMath>
              <m:d>
                <m:dPr>
                  <m:begChr m:val="{"/>
                  <m:endChr m:val="}"/>
                  <m:ctrlPr>
                    <w:rPr>
                      <w:rFonts w:hint="default" w:ascii="Cambria Math" w:hAnsi="Cambria Math" w:cs="Times New Roman"/>
                      <w:color w:val="0C0C0C"/>
                      <w:sz w:val="24"/>
                      <w:szCs w:val="24"/>
                      <w:highlight w:val="none"/>
                      <w:u w:val="none" w:color="auto"/>
                    </w:rPr>
                  </m:ctrlPr>
                </m:dPr>
                <m:e>
                  <m:limLow>
                    <m:limLowPr>
                      <m:ctrlPr>
                        <w:rPr>
                          <w:rFonts w:hint="default" w:ascii="Cambria Math" w:hAnsi="Cambria Math" w:cs="Times New Roman"/>
                          <w:color w:val="0C0C0C"/>
                          <w:sz w:val="24"/>
                          <w:szCs w:val="24"/>
                          <w:highlight w:val="none"/>
                          <w:u w:val="none" w:color="auto"/>
                        </w:rPr>
                      </m:ctrlPr>
                    </m:limLowPr>
                    <m:e>
                      <m:limUpp>
                        <m:limUppPr>
                          <m:ctrlPr>
                            <w:rPr>
                              <w:rFonts w:hint="default" w:ascii="Cambria Math" w:hAnsi="Cambria Math" w:cs="Times New Roman"/>
                              <w:i/>
                              <w:color w:val="0C0C0C"/>
                              <w:sz w:val="24"/>
                              <w:szCs w:val="24"/>
                              <w:highlight w:val="none"/>
                              <w:u w:val="none" w:color="auto"/>
                            </w:rPr>
                          </m:ctrlPr>
                        </m:limUppPr>
                        <m:e>
                          <m:r>
                            <m:rPr/>
                            <w:rPr>
                              <w:rFonts w:hint="default" w:ascii="Cambria Math" w:hAnsi="Cambria Math" w:cs="Times New Roman"/>
                              <w:color w:val="0C0C0C"/>
                              <w:sz w:val="24"/>
                              <w:szCs w:val="24"/>
                              <w:highlight w:val="none"/>
                              <w:u w:val="none" w:color="auto"/>
                            </w:rPr>
                            <m:t>∑</m:t>
                          </m:r>
                          <m:ctrlPr>
                            <w:rPr>
                              <w:rFonts w:hint="default" w:ascii="Cambria Math" w:hAnsi="Cambria Math" w:cs="Times New Roman"/>
                              <w:i/>
                              <w:color w:val="0C0C0C"/>
                              <w:sz w:val="24"/>
                              <w:szCs w:val="24"/>
                              <w:highlight w:val="none"/>
                              <w:u w:val="none" w:color="auto"/>
                            </w:rPr>
                          </m:ctrlPr>
                        </m:e>
                        <m:lim>
                          <m:r>
                            <m:rPr/>
                            <w:rPr>
                              <w:rFonts w:hint="default" w:ascii="Cambria Math" w:hAnsi="Cambria Math" w:cs="Times New Roman"/>
                              <w:color w:val="0C0C0C"/>
                              <w:sz w:val="24"/>
                              <w:szCs w:val="24"/>
                              <w:highlight w:val="none"/>
                              <w:u w:val="none" w:color="auto"/>
                            </w:rPr>
                            <m:t>N</m:t>
                          </m:r>
                          <m:ctrlPr>
                            <w:rPr>
                              <w:rFonts w:hint="default" w:ascii="Cambria Math" w:hAnsi="Cambria Math" w:cs="Times New Roman"/>
                              <w:i/>
                              <w:color w:val="0C0C0C"/>
                              <w:sz w:val="24"/>
                              <w:szCs w:val="24"/>
                              <w:highlight w:val="none"/>
                              <w:u w:val="none" w:color="auto"/>
                            </w:rPr>
                          </m:ctrlPr>
                        </m:lim>
                      </m:limUpp>
                      <m:ctrlPr>
                        <w:rPr>
                          <w:rFonts w:hint="default" w:ascii="Cambria Math" w:hAnsi="Cambria Math" w:cs="Times New Roman"/>
                          <w:i/>
                          <w:sz w:val="24"/>
                          <w:szCs w:val="24"/>
                          <w:highlight w:val="none"/>
                          <w:u w:val="none" w:color="auto"/>
                        </w:rPr>
                      </m:ctrlPr>
                    </m:e>
                    <m:lim>
                      <m:r>
                        <m:rPr/>
                        <w:rPr>
                          <w:rFonts w:hint="default" w:ascii="Cambria Math" w:hAnsi="Cambria Math" w:cs="Times New Roman"/>
                          <w:sz w:val="24"/>
                          <w:szCs w:val="24"/>
                          <w:highlight w:val="none"/>
                          <w:u w:val="none" w:color="auto"/>
                        </w:rPr>
                        <m:t>j=1</m:t>
                      </m:r>
                      <m:ctrlPr>
                        <w:rPr>
                          <w:rFonts w:hint="default" w:ascii="Cambria Math" w:hAnsi="Cambria Math" w:cs="Times New Roman"/>
                          <w:color w:val="0C0C0C"/>
                          <w:sz w:val="24"/>
                          <w:szCs w:val="24"/>
                          <w:highlight w:val="none"/>
                          <w:u w:val="none" w:color="auto"/>
                        </w:rPr>
                      </m:ctrlPr>
                    </m:lim>
                  </m:limLow>
                  <m:sSup>
                    <m:sSupPr>
                      <m:ctrlPr>
                        <w:rPr>
                          <w:rFonts w:hint="default" w:ascii="Cambria Math" w:hAnsi="Cambria Math" w:cs="Times New Roman"/>
                          <w:i/>
                          <w:color w:val="0C0C0C"/>
                          <w:sz w:val="24"/>
                          <w:szCs w:val="24"/>
                          <w:highlight w:val="none"/>
                          <w:u w:val="none" w:color="auto"/>
                        </w:rPr>
                      </m:ctrlPr>
                    </m:sSupPr>
                    <m:e>
                      <m:r>
                        <m:rPr/>
                        <w:rPr>
                          <w:rFonts w:hint="default" w:ascii="Cambria Math" w:hAnsi="Cambria Math" w:cs="Times New Roman"/>
                          <w:color w:val="0C0C0C"/>
                          <w:sz w:val="24"/>
                          <w:szCs w:val="24"/>
                          <w:highlight w:val="none"/>
                          <w:u w:val="none" w:color="auto"/>
                        </w:rPr>
                        <m:t>10</m:t>
                      </m:r>
                      <m:ctrlPr>
                        <w:rPr>
                          <w:rFonts w:hint="default" w:ascii="Cambria Math" w:hAnsi="Cambria Math" w:cs="Times New Roman"/>
                          <w:i/>
                          <w:color w:val="0C0C0C"/>
                          <w:sz w:val="24"/>
                          <w:szCs w:val="24"/>
                          <w:highlight w:val="none"/>
                          <w:u w:val="none" w:color="auto"/>
                        </w:rPr>
                      </m:ctrlPr>
                    </m:e>
                    <m:sup>
                      <m:r>
                        <m:rPr/>
                        <w:rPr>
                          <w:rFonts w:hint="default" w:ascii="Cambria Math" w:hAnsi="Cambria Math" w:cs="Times New Roman"/>
                          <w:color w:val="0C0C0C"/>
                          <w:sz w:val="24"/>
                          <w:szCs w:val="24"/>
                          <w:highlight w:val="none"/>
                          <w:u w:val="none" w:color="auto"/>
                        </w:rPr>
                        <m:t>0.1</m:t>
                      </m:r>
                      <m:sSub>
                        <m:sSubPr>
                          <m:ctrlPr>
                            <w:rPr>
                              <w:rFonts w:hint="default" w:ascii="Cambria Math" w:hAnsi="Cambria Math" w:cs="Times New Roman"/>
                              <w:i/>
                              <w:color w:val="0C0C0C"/>
                              <w:sz w:val="24"/>
                              <w:szCs w:val="24"/>
                              <w:highlight w:val="none"/>
                              <w:u w:val="none" w:color="auto"/>
                            </w:rPr>
                          </m:ctrlPr>
                        </m:sSubPr>
                        <m:e>
                          <m:r>
                            <m:rPr/>
                            <w:rPr>
                              <w:rFonts w:hint="default" w:ascii="Cambria Math" w:hAnsi="Cambria Math" w:cs="Times New Roman"/>
                              <w:color w:val="0C0C0C"/>
                              <w:sz w:val="24"/>
                              <w:szCs w:val="24"/>
                              <w:highlight w:val="none"/>
                              <w:u w:val="none" w:color="auto"/>
                              <w:lang w:val="en-US" w:eastAsia="zh-CN"/>
                            </w:rPr>
                            <m:t>L</m:t>
                          </m:r>
                          <m:ctrlPr>
                            <w:rPr>
                              <w:rFonts w:hint="default" w:ascii="Cambria Math" w:hAnsi="Cambria Math" w:cs="Times New Roman"/>
                              <w:i/>
                              <w:color w:val="0C0C0C"/>
                              <w:sz w:val="24"/>
                              <w:szCs w:val="24"/>
                              <w:highlight w:val="none"/>
                              <w:u w:val="none" w:color="auto"/>
                            </w:rPr>
                          </m:ctrlPr>
                        </m:e>
                        <m:sub>
                          <m:r>
                            <m:rPr/>
                            <w:rPr>
                              <w:rFonts w:hint="default" w:ascii="Cambria Math" w:hAnsi="Cambria Math" w:cs="Times New Roman"/>
                              <w:color w:val="0C0C0C"/>
                              <w:sz w:val="24"/>
                              <w:szCs w:val="24"/>
                              <w:highlight w:val="none"/>
                              <w:u w:val="none" w:color="auto"/>
                              <w:lang w:val="en-US" w:eastAsia="zh-CN"/>
                            </w:rPr>
                            <m:t>p1ij</m:t>
                          </m:r>
                          <m:ctrlPr>
                            <w:rPr>
                              <w:rFonts w:hint="default" w:ascii="Cambria Math" w:hAnsi="Cambria Math" w:cs="Times New Roman"/>
                              <w:i/>
                              <w:color w:val="0C0C0C"/>
                              <w:sz w:val="24"/>
                              <w:szCs w:val="24"/>
                              <w:highlight w:val="none"/>
                              <w:u w:val="none" w:color="auto"/>
                            </w:rPr>
                          </m:ctrlPr>
                        </m:sub>
                      </m:sSub>
                      <m:ctrlPr>
                        <w:rPr>
                          <w:rFonts w:hint="default" w:ascii="Cambria Math" w:hAnsi="Cambria Math" w:cs="Times New Roman"/>
                          <w:i/>
                          <w:color w:val="0C0C0C"/>
                          <w:sz w:val="24"/>
                          <w:szCs w:val="24"/>
                          <w:highlight w:val="none"/>
                          <w:u w:val="none" w:color="auto"/>
                        </w:rPr>
                      </m:ctrlPr>
                    </m:sup>
                  </m:sSup>
                  <m:ctrlPr>
                    <w:rPr>
                      <w:rFonts w:hint="default" w:ascii="Cambria Math" w:hAnsi="Cambria Math" w:cs="Times New Roman"/>
                      <w:color w:val="0C0C0C"/>
                      <w:sz w:val="24"/>
                      <w:szCs w:val="24"/>
                      <w:highlight w:val="none"/>
                      <w:u w:val="none" w:color="auto"/>
                    </w:rPr>
                  </m:ctrlPr>
                </m:e>
              </m:d>
            </m:oMath>
          </w:p>
          <w:p w14:paraId="3B27823B">
            <w:pPr>
              <w:keepNext w:val="0"/>
              <w:keepLines w:val="0"/>
              <w:pageBreakBefore w:val="0"/>
              <w:widowControl w:val="0"/>
              <w:kinsoku/>
              <w:wordWrap/>
              <w:overflowPunct/>
              <w:topLinePunct w:val="0"/>
              <w:autoSpaceDE/>
              <w:autoSpaceDN/>
              <w:bidi w:val="0"/>
              <w:spacing w:line="440" w:lineRule="exact"/>
              <w:jc w:val="both"/>
              <w:textAlignment w:val="auto"/>
              <w:rPr>
                <w:rFonts w:hint="default" w:eastAsia="宋体"/>
                <w:sz w:val="24"/>
                <w:szCs w:val="24"/>
                <w:highlight w:val="none"/>
                <w:u w:val="none" w:color="auto"/>
                <w:lang w:val="en-US" w:eastAsia="zh-CN"/>
              </w:rPr>
            </w:pPr>
            <w:r>
              <w:rPr>
                <w:rFonts w:hint="default" w:eastAsia="宋体"/>
                <w:sz w:val="24"/>
                <w:szCs w:val="24"/>
                <w:highlight w:val="none"/>
                <w:u w:val="none" w:color="auto"/>
                <w:lang w:val="en-US" w:eastAsia="zh-CN"/>
              </w:rPr>
              <w:t>式中：Lp</w:t>
            </w:r>
            <w:r>
              <w:rPr>
                <w:rFonts w:hint="default" w:eastAsia="宋体"/>
                <w:sz w:val="24"/>
                <w:szCs w:val="24"/>
                <w:highlight w:val="none"/>
                <w:u w:val="none" w:color="auto"/>
                <w:vertAlign w:val="subscript"/>
                <w:lang w:val="en-US" w:eastAsia="zh-CN"/>
              </w:rPr>
              <w:t>1i</w:t>
            </w:r>
            <w:r>
              <w:rPr>
                <w:rFonts w:hint="default" w:eastAsia="宋体"/>
                <w:sz w:val="24"/>
                <w:szCs w:val="24"/>
                <w:highlight w:val="none"/>
                <w:u w:val="none" w:color="auto"/>
                <w:lang w:val="en-US" w:eastAsia="zh-CN"/>
              </w:rPr>
              <w:t>（T）—靠近围护结构处室内N个声源i倍频带的叠加声压级，dB；</w:t>
            </w:r>
          </w:p>
          <w:p w14:paraId="112ADAA9">
            <w:pPr>
              <w:keepNext w:val="0"/>
              <w:keepLines w:val="0"/>
              <w:pageBreakBefore w:val="0"/>
              <w:widowControl w:val="0"/>
              <w:kinsoku/>
              <w:wordWrap/>
              <w:overflowPunct/>
              <w:topLinePunct w:val="0"/>
              <w:autoSpaceDE/>
              <w:autoSpaceDN/>
              <w:bidi w:val="0"/>
              <w:spacing w:line="440" w:lineRule="exact"/>
              <w:ind w:firstLine="720" w:firstLineChars="300"/>
              <w:jc w:val="both"/>
              <w:textAlignment w:val="auto"/>
              <w:rPr>
                <w:rFonts w:hint="default" w:eastAsia="宋体"/>
                <w:sz w:val="24"/>
                <w:szCs w:val="24"/>
                <w:highlight w:val="none"/>
                <w:u w:val="none" w:color="auto"/>
                <w:lang w:val="en-US" w:eastAsia="zh-CN"/>
              </w:rPr>
            </w:pPr>
            <w:r>
              <w:rPr>
                <w:rFonts w:hint="default" w:eastAsia="宋体"/>
                <w:sz w:val="24"/>
                <w:szCs w:val="24"/>
                <w:highlight w:val="none"/>
                <w:u w:val="none" w:color="auto"/>
                <w:lang w:val="en-US" w:eastAsia="zh-CN"/>
              </w:rPr>
              <w:t>Lp</w:t>
            </w:r>
            <w:r>
              <w:rPr>
                <w:rFonts w:hint="default" w:eastAsia="宋体"/>
                <w:sz w:val="24"/>
                <w:szCs w:val="24"/>
                <w:highlight w:val="none"/>
                <w:u w:val="none" w:color="auto"/>
                <w:vertAlign w:val="subscript"/>
                <w:lang w:val="en-US" w:eastAsia="zh-CN"/>
              </w:rPr>
              <w:t>1ij</w:t>
            </w:r>
            <w:r>
              <w:rPr>
                <w:rFonts w:hint="default" w:eastAsia="宋体"/>
                <w:sz w:val="24"/>
                <w:szCs w:val="24"/>
                <w:highlight w:val="none"/>
                <w:u w:val="none" w:color="auto"/>
                <w:lang w:val="en-US" w:eastAsia="zh-CN"/>
              </w:rPr>
              <w:t>—室内j声源i倍频带的声压级，dB；</w:t>
            </w:r>
          </w:p>
          <w:p w14:paraId="4F8E35A5">
            <w:pPr>
              <w:keepNext w:val="0"/>
              <w:keepLines w:val="0"/>
              <w:pageBreakBefore w:val="0"/>
              <w:widowControl w:val="0"/>
              <w:kinsoku/>
              <w:wordWrap/>
              <w:overflowPunct/>
              <w:topLinePunct w:val="0"/>
              <w:autoSpaceDE/>
              <w:autoSpaceDN/>
              <w:bidi w:val="0"/>
              <w:spacing w:line="440" w:lineRule="exact"/>
              <w:ind w:firstLine="720" w:firstLineChars="300"/>
              <w:jc w:val="both"/>
              <w:textAlignment w:val="auto"/>
              <w:rPr>
                <w:rFonts w:hint="default" w:eastAsia="宋体"/>
                <w:sz w:val="24"/>
                <w:szCs w:val="24"/>
                <w:highlight w:val="none"/>
                <w:u w:val="none" w:color="auto"/>
                <w:lang w:val="en-US" w:eastAsia="zh-CN"/>
              </w:rPr>
            </w:pPr>
            <w:r>
              <w:rPr>
                <w:rFonts w:hint="default" w:eastAsia="宋体"/>
                <w:sz w:val="24"/>
                <w:szCs w:val="24"/>
                <w:highlight w:val="none"/>
                <w:u w:val="none" w:color="auto"/>
                <w:lang w:val="en-US" w:eastAsia="zh-CN"/>
              </w:rPr>
              <w:t>N—室内声源总数。</w:t>
            </w:r>
          </w:p>
          <w:p w14:paraId="2A5E6E77">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default" w:eastAsia="宋体"/>
                <w:sz w:val="24"/>
                <w:szCs w:val="24"/>
                <w:highlight w:val="none"/>
                <w:u w:val="none" w:color="auto"/>
                <w:lang w:val="en-US" w:eastAsia="zh-CN"/>
              </w:rPr>
            </w:pPr>
            <w:r>
              <w:rPr>
                <w:rFonts w:hint="default" w:eastAsia="宋体"/>
                <w:sz w:val="24"/>
                <w:szCs w:val="24"/>
                <w:highlight w:val="none"/>
                <w:u w:val="none" w:color="auto"/>
                <w:lang w:val="en-US" w:eastAsia="zh-CN"/>
              </w:rPr>
              <w:t>在室内近似为扩散声场时，按下式计算出靠近室外围护结构处的声压级：</w:t>
            </w:r>
          </w:p>
          <w:p w14:paraId="445F2386">
            <w:pPr>
              <w:keepNext w:val="0"/>
              <w:keepLines w:val="0"/>
              <w:pageBreakBefore w:val="0"/>
              <w:widowControl w:val="0"/>
              <w:kinsoku/>
              <w:wordWrap/>
              <w:overflowPunct/>
              <w:topLinePunct w:val="0"/>
              <w:autoSpaceDE/>
              <w:autoSpaceDN/>
              <w:bidi w:val="0"/>
              <w:spacing w:line="440" w:lineRule="exact"/>
              <w:jc w:val="center"/>
              <w:textAlignment w:val="auto"/>
              <w:rPr>
                <w:rFonts w:hint="default" w:eastAsia="宋体"/>
                <w:sz w:val="24"/>
                <w:szCs w:val="24"/>
                <w:highlight w:val="none"/>
                <w:u w:val="none" w:color="auto"/>
                <w:lang w:val="en-US" w:eastAsia="zh-CN"/>
              </w:rPr>
            </w:pPr>
            <w:r>
              <w:rPr>
                <w:rFonts w:hint="default" w:eastAsia="宋体"/>
                <w:sz w:val="24"/>
                <w:szCs w:val="24"/>
                <w:highlight w:val="none"/>
                <w:u w:val="none" w:color="auto"/>
                <w:lang w:val="en-US" w:eastAsia="zh-CN"/>
              </w:rPr>
              <w:t>Lp</w:t>
            </w:r>
            <w:r>
              <w:rPr>
                <w:rFonts w:hint="default" w:eastAsia="宋体"/>
                <w:sz w:val="24"/>
                <w:szCs w:val="24"/>
                <w:highlight w:val="none"/>
                <w:u w:val="none" w:color="auto"/>
                <w:vertAlign w:val="subscript"/>
                <w:lang w:val="en-US" w:eastAsia="zh-CN"/>
              </w:rPr>
              <w:t>2i</w:t>
            </w:r>
            <w:r>
              <w:rPr>
                <w:rFonts w:hint="default" w:eastAsia="宋体"/>
                <w:sz w:val="24"/>
                <w:szCs w:val="24"/>
                <w:highlight w:val="none"/>
                <w:u w:val="none" w:color="auto"/>
                <w:lang w:val="en-US" w:eastAsia="zh-CN"/>
              </w:rPr>
              <w:t>（T）=Lp</w:t>
            </w:r>
            <w:r>
              <w:rPr>
                <w:rFonts w:hint="default" w:eastAsia="宋体"/>
                <w:sz w:val="24"/>
                <w:szCs w:val="24"/>
                <w:highlight w:val="none"/>
                <w:u w:val="none" w:color="auto"/>
                <w:vertAlign w:val="subscript"/>
                <w:lang w:val="en-US" w:eastAsia="zh-CN"/>
              </w:rPr>
              <w:t>1i</w:t>
            </w:r>
            <w:r>
              <w:rPr>
                <w:rFonts w:hint="default" w:eastAsia="宋体"/>
                <w:sz w:val="24"/>
                <w:szCs w:val="24"/>
                <w:highlight w:val="none"/>
                <w:u w:val="none" w:color="auto"/>
                <w:lang w:val="en-US" w:eastAsia="zh-CN"/>
              </w:rPr>
              <w:t>（T）-（T</w:t>
            </w:r>
            <w:r>
              <w:rPr>
                <w:rFonts w:hint="default" w:eastAsia="宋体"/>
                <w:sz w:val="24"/>
                <w:szCs w:val="24"/>
                <w:highlight w:val="none"/>
                <w:u w:val="none" w:color="auto"/>
                <w:vertAlign w:val="subscript"/>
                <w:lang w:val="en-US" w:eastAsia="zh-CN"/>
              </w:rPr>
              <w:t>Li</w:t>
            </w:r>
            <w:r>
              <w:rPr>
                <w:rFonts w:hint="default" w:eastAsia="宋体"/>
                <w:sz w:val="24"/>
                <w:szCs w:val="24"/>
                <w:highlight w:val="none"/>
                <w:u w:val="none" w:color="auto"/>
                <w:lang w:val="en-US" w:eastAsia="zh-CN"/>
              </w:rPr>
              <w:t>+6）</w:t>
            </w:r>
          </w:p>
          <w:p w14:paraId="5BB5D7E9">
            <w:pPr>
              <w:keepNext w:val="0"/>
              <w:keepLines w:val="0"/>
              <w:pageBreakBefore w:val="0"/>
              <w:widowControl w:val="0"/>
              <w:kinsoku/>
              <w:wordWrap/>
              <w:overflowPunct/>
              <w:topLinePunct w:val="0"/>
              <w:autoSpaceDE/>
              <w:autoSpaceDN/>
              <w:bidi w:val="0"/>
              <w:spacing w:line="440" w:lineRule="exact"/>
              <w:jc w:val="both"/>
              <w:textAlignment w:val="auto"/>
              <w:rPr>
                <w:rFonts w:hint="default" w:eastAsia="宋体"/>
                <w:sz w:val="24"/>
                <w:szCs w:val="24"/>
                <w:highlight w:val="none"/>
                <w:u w:val="none" w:color="auto"/>
                <w:lang w:val="en-US" w:eastAsia="zh-CN"/>
              </w:rPr>
            </w:pPr>
            <w:r>
              <w:rPr>
                <w:rFonts w:hint="default" w:eastAsia="宋体"/>
                <w:sz w:val="24"/>
                <w:szCs w:val="24"/>
                <w:highlight w:val="none"/>
                <w:u w:val="none" w:color="auto"/>
                <w:lang w:val="en-US" w:eastAsia="zh-CN"/>
              </w:rPr>
              <w:t>式中：Lp</w:t>
            </w:r>
            <w:r>
              <w:rPr>
                <w:rFonts w:hint="default" w:eastAsia="宋体"/>
                <w:sz w:val="24"/>
                <w:szCs w:val="24"/>
                <w:highlight w:val="none"/>
                <w:u w:val="none" w:color="auto"/>
                <w:vertAlign w:val="subscript"/>
                <w:lang w:val="en-US" w:eastAsia="zh-CN"/>
              </w:rPr>
              <w:t>2i</w:t>
            </w:r>
            <w:r>
              <w:rPr>
                <w:rFonts w:hint="default" w:eastAsia="宋体"/>
                <w:sz w:val="24"/>
                <w:szCs w:val="24"/>
                <w:highlight w:val="none"/>
                <w:u w:val="none" w:color="auto"/>
                <w:lang w:val="en-US" w:eastAsia="zh-CN"/>
              </w:rPr>
              <w:t>（T）—靠近围护结构处室外N个声源i倍频带的叠加声压级，dB；</w:t>
            </w:r>
          </w:p>
          <w:p w14:paraId="215E428A">
            <w:pPr>
              <w:keepNext w:val="0"/>
              <w:keepLines w:val="0"/>
              <w:pageBreakBefore w:val="0"/>
              <w:widowControl w:val="0"/>
              <w:kinsoku/>
              <w:wordWrap/>
              <w:overflowPunct/>
              <w:topLinePunct w:val="0"/>
              <w:autoSpaceDE/>
              <w:autoSpaceDN/>
              <w:bidi w:val="0"/>
              <w:spacing w:line="440" w:lineRule="exact"/>
              <w:ind w:firstLine="720" w:firstLineChars="300"/>
              <w:jc w:val="both"/>
              <w:textAlignment w:val="auto"/>
              <w:rPr>
                <w:rFonts w:hint="default" w:eastAsia="宋体"/>
                <w:sz w:val="24"/>
                <w:szCs w:val="24"/>
                <w:highlight w:val="none"/>
                <w:u w:val="none" w:color="auto"/>
                <w:lang w:val="en-US" w:eastAsia="zh-CN"/>
              </w:rPr>
            </w:pPr>
            <w:r>
              <w:rPr>
                <w:rFonts w:hint="default" w:eastAsia="宋体"/>
                <w:sz w:val="24"/>
                <w:szCs w:val="24"/>
                <w:highlight w:val="none"/>
                <w:u w:val="none" w:color="auto"/>
                <w:lang w:val="en-US" w:eastAsia="zh-CN"/>
              </w:rPr>
              <w:t>Lp</w:t>
            </w:r>
            <w:r>
              <w:rPr>
                <w:rFonts w:hint="default" w:eastAsia="宋体"/>
                <w:sz w:val="24"/>
                <w:szCs w:val="24"/>
                <w:highlight w:val="none"/>
                <w:u w:val="none" w:color="auto"/>
                <w:vertAlign w:val="subscript"/>
                <w:lang w:val="en-US" w:eastAsia="zh-CN"/>
              </w:rPr>
              <w:t>1i</w:t>
            </w:r>
            <w:r>
              <w:rPr>
                <w:rFonts w:hint="default" w:eastAsia="宋体"/>
                <w:sz w:val="24"/>
                <w:szCs w:val="24"/>
                <w:highlight w:val="none"/>
                <w:u w:val="none" w:color="auto"/>
                <w:lang w:val="en-US" w:eastAsia="zh-CN"/>
              </w:rPr>
              <w:t>（T）—靠近围护结构处室内N个声源i倍频带的叠加声压级，dB；</w:t>
            </w:r>
          </w:p>
          <w:p w14:paraId="720AE271">
            <w:pPr>
              <w:keepNext w:val="0"/>
              <w:keepLines w:val="0"/>
              <w:pageBreakBefore w:val="0"/>
              <w:widowControl w:val="0"/>
              <w:kinsoku/>
              <w:wordWrap/>
              <w:overflowPunct/>
              <w:topLinePunct w:val="0"/>
              <w:autoSpaceDE/>
              <w:autoSpaceDN/>
              <w:bidi w:val="0"/>
              <w:spacing w:line="440" w:lineRule="exact"/>
              <w:ind w:firstLine="720" w:firstLineChars="300"/>
              <w:jc w:val="both"/>
              <w:textAlignment w:val="auto"/>
              <w:rPr>
                <w:rFonts w:hint="default" w:eastAsia="宋体"/>
                <w:sz w:val="24"/>
                <w:szCs w:val="24"/>
                <w:highlight w:val="none"/>
                <w:u w:val="none" w:color="auto"/>
                <w:lang w:val="en-US" w:eastAsia="zh-CN"/>
              </w:rPr>
            </w:pPr>
            <w:r>
              <w:rPr>
                <w:rFonts w:hint="default" w:eastAsia="宋体"/>
                <w:sz w:val="24"/>
                <w:szCs w:val="24"/>
                <w:highlight w:val="none"/>
                <w:u w:val="none" w:color="auto"/>
                <w:lang w:val="en-US" w:eastAsia="zh-CN"/>
              </w:rPr>
              <w:t>T</w:t>
            </w:r>
            <w:r>
              <w:rPr>
                <w:rFonts w:hint="default" w:eastAsia="宋体"/>
                <w:sz w:val="24"/>
                <w:szCs w:val="24"/>
                <w:highlight w:val="none"/>
                <w:u w:val="none" w:color="auto"/>
                <w:vertAlign w:val="subscript"/>
                <w:lang w:val="en-US" w:eastAsia="zh-CN"/>
              </w:rPr>
              <w:t>Li</w:t>
            </w:r>
            <w:r>
              <w:rPr>
                <w:rFonts w:hint="default" w:eastAsia="宋体"/>
                <w:sz w:val="24"/>
                <w:szCs w:val="24"/>
                <w:highlight w:val="none"/>
                <w:u w:val="none" w:color="auto"/>
                <w:lang w:val="en-US" w:eastAsia="zh-CN"/>
              </w:rPr>
              <w:t>—围护结构i倍频带的隔声量，dB；</w:t>
            </w:r>
          </w:p>
          <w:p w14:paraId="44070B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baseline"/>
              <w:rPr>
                <w:rFonts w:hint="default" w:ascii="Times New Roman" w:hAnsi="Times New Roman" w:eastAsia="宋体" w:cs="Times New Roman"/>
                <w:color w:val="auto"/>
                <w:kern w:val="2"/>
                <w:sz w:val="24"/>
                <w:szCs w:val="24"/>
                <w:highlight w:val="none"/>
                <w:u w:val="none" w:color="auto"/>
                <w:lang w:val="en-US" w:eastAsia="zh-CN" w:bidi="ar-SA"/>
              </w:rPr>
            </w:pPr>
            <w:r>
              <w:rPr>
                <w:rFonts w:hint="default" w:ascii="Times New Roman" w:hAnsi="Times New Roman" w:eastAsia="宋体" w:cs="Times New Roman"/>
                <w:color w:val="auto"/>
                <w:kern w:val="2"/>
                <w:sz w:val="24"/>
                <w:szCs w:val="24"/>
                <w:highlight w:val="none"/>
                <w:u w:val="none" w:color="auto"/>
                <w:lang w:val="en-US" w:eastAsia="zh-CN" w:bidi="ar-SA"/>
              </w:rPr>
              <w:t>然后按下式将室外声源的声压级和透过面积换算成等效的室外声源，计算出中心位置位于透声面积（S）处的等效声源的倍频带声功率级：</w:t>
            </w:r>
          </w:p>
          <w:p w14:paraId="13B2F9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center"/>
              <w:textAlignment w:val="baseline"/>
              <w:rPr>
                <w:rFonts w:hint="default" w:ascii="Times New Roman" w:hAnsi="Times New Roman" w:eastAsia="宋体" w:cs="Times New Roman"/>
                <w:color w:val="auto"/>
                <w:kern w:val="2"/>
                <w:sz w:val="24"/>
                <w:szCs w:val="24"/>
                <w:highlight w:val="none"/>
                <w:u w:val="none" w:color="auto"/>
                <w:lang w:val="en-US" w:eastAsia="zh-CN" w:bidi="ar-SA"/>
              </w:rPr>
            </w:pPr>
            <w:r>
              <w:rPr>
                <w:rFonts w:hint="eastAsia" w:ascii="Times New Roman" w:hAnsi="Times New Roman" w:eastAsia="宋体" w:cs="Times New Roman"/>
                <w:color w:val="auto"/>
                <w:kern w:val="2"/>
                <w:sz w:val="24"/>
                <w:szCs w:val="24"/>
                <w:highlight w:val="none"/>
                <w:u w:val="none" w:color="auto"/>
                <w:lang w:val="en-US" w:eastAsia="zh-CN" w:bidi="ar-SA"/>
              </w:rPr>
              <w:t>L</w:t>
            </w:r>
            <w:r>
              <w:rPr>
                <w:rFonts w:hint="eastAsia" w:ascii="Times New Roman" w:hAnsi="Times New Roman" w:eastAsia="宋体" w:cs="Times New Roman"/>
                <w:color w:val="auto"/>
                <w:kern w:val="2"/>
                <w:sz w:val="24"/>
                <w:szCs w:val="24"/>
                <w:highlight w:val="none"/>
                <w:u w:val="none" w:color="auto"/>
                <w:vertAlign w:val="subscript"/>
                <w:lang w:val="en-US" w:eastAsia="zh-CN" w:bidi="ar-SA"/>
              </w:rPr>
              <w:t>w2</w:t>
            </w:r>
            <w:r>
              <w:rPr>
                <w:rFonts w:hint="default" w:ascii="Times New Roman" w:hAnsi="Times New Roman" w:eastAsia="宋体" w:cs="Times New Roman"/>
                <w:color w:val="auto"/>
                <w:kern w:val="2"/>
                <w:sz w:val="24"/>
                <w:szCs w:val="24"/>
                <w:highlight w:val="none"/>
                <w:u w:val="none" w:color="auto"/>
                <w:lang w:val="en-US" w:eastAsia="zh-CN" w:bidi="ar-SA"/>
              </w:rPr>
              <w:t>=L</w:t>
            </w:r>
            <w:r>
              <w:rPr>
                <w:rFonts w:hint="default" w:ascii="Times New Roman" w:hAnsi="Times New Roman" w:eastAsia="宋体" w:cs="Times New Roman"/>
                <w:color w:val="auto"/>
                <w:kern w:val="2"/>
                <w:sz w:val="24"/>
                <w:szCs w:val="24"/>
                <w:highlight w:val="none"/>
                <w:u w:val="none" w:color="auto"/>
                <w:vertAlign w:val="subscript"/>
                <w:lang w:val="en-US" w:eastAsia="zh-CN" w:bidi="ar-SA"/>
              </w:rPr>
              <w:t>p2</w:t>
            </w:r>
            <w:r>
              <w:rPr>
                <w:rFonts w:hint="default" w:ascii="Times New Roman" w:hAnsi="Times New Roman" w:eastAsia="宋体" w:cs="Times New Roman"/>
                <w:color w:val="auto"/>
                <w:kern w:val="2"/>
                <w:sz w:val="24"/>
                <w:szCs w:val="24"/>
                <w:highlight w:val="none"/>
                <w:u w:val="none" w:color="auto"/>
                <w:lang w:val="en-US" w:eastAsia="zh-CN" w:bidi="ar-SA"/>
              </w:rPr>
              <w:t>（T）+10lgS</w:t>
            </w:r>
          </w:p>
          <w:p w14:paraId="5DBDBB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baseline"/>
              <w:rPr>
                <w:rFonts w:hint="default" w:ascii="Times New Roman" w:hAnsi="Times New Roman" w:eastAsia="宋体" w:cs="Times New Roman"/>
                <w:color w:val="auto"/>
                <w:kern w:val="2"/>
                <w:sz w:val="24"/>
                <w:szCs w:val="24"/>
                <w:highlight w:val="none"/>
                <w:u w:val="none" w:color="auto"/>
                <w:lang w:val="en-US" w:eastAsia="zh-CN" w:bidi="ar-SA"/>
              </w:rPr>
            </w:pPr>
            <w:r>
              <w:rPr>
                <w:rFonts w:hint="default" w:ascii="Times New Roman" w:hAnsi="Times New Roman" w:eastAsia="宋体" w:cs="Times New Roman"/>
                <w:color w:val="auto"/>
                <w:kern w:val="2"/>
                <w:sz w:val="24"/>
                <w:szCs w:val="24"/>
                <w:highlight w:val="none"/>
                <w:u w:val="none" w:color="auto"/>
                <w:lang w:val="en-US" w:eastAsia="zh-CN" w:bidi="ar-SA"/>
              </w:rPr>
              <w:t>式中：L</w:t>
            </w:r>
            <w:r>
              <w:rPr>
                <w:rFonts w:hint="default" w:ascii="Times New Roman" w:hAnsi="Times New Roman" w:eastAsia="宋体" w:cs="Times New Roman"/>
                <w:color w:val="auto"/>
                <w:kern w:val="2"/>
                <w:sz w:val="24"/>
                <w:szCs w:val="24"/>
                <w:highlight w:val="none"/>
                <w:u w:val="none" w:color="auto"/>
                <w:vertAlign w:val="subscript"/>
                <w:lang w:val="en-US" w:eastAsia="zh-CN" w:bidi="ar-SA"/>
              </w:rPr>
              <w:t>w2</w:t>
            </w:r>
            <w:r>
              <w:rPr>
                <w:rFonts w:hint="default" w:ascii="Times New Roman" w:hAnsi="Times New Roman" w:eastAsia="宋体" w:cs="Times New Roman"/>
                <w:color w:val="auto"/>
                <w:kern w:val="2"/>
                <w:sz w:val="24"/>
                <w:szCs w:val="24"/>
                <w:highlight w:val="none"/>
                <w:u w:val="none" w:color="auto"/>
                <w:lang w:val="en-US" w:eastAsia="zh-CN" w:bidi="ar-SA"/>
              </w:rPr>
              <w:t>——中心位置位于透声面积（S）处的等效声源的倍频带声功率级，dB；</w:t>
            </w:r>
          </w:p>
          <w:p w14:paraId="3B052D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baseline"/>
              <w:rPr>
                <w:rFonts w:hint="default" w:ascii="Times New Roman" w:hAnsi="Times New Roman" w:eastAsia="宋体" w:cs="Times New Roman"/>
                <w:color w:val="auto"/>
                <w:kern w:val="2"/>
                <w:sz w:val="24"/>
                <w:szCs w:val="24"/>
                <w:highlight w:val="none"/>
                <w:u w:val="none" w:color="auto"/>
                <w:lang w:val="en-US" w:eastAsia="zh-CN" w:bidi="ar-SA"/>
              </w:rPr>
            </w:pPr>
            <w:r>
              <w:rPr>
                <w:rFonts w:hint="default" w:ascii="Times New Roman" w:hAnsi="Times New Roman" w:eastAsia="宋体" w:cs="Times New Roman"/>
                <w:color w:val="auto"/>
                <w:kern w:val="2"/>
                <w:sz w:val="24"/>
                <w:szCs w:val="24"/>
                <w:highlight w:val="none"/>
                <w:u w:val="none" w:color="auto"/>
                <w:lang w:val="en-US" w:eastAsia="zh-CN" w:bidi="ar-SA"/>
              </w:rPr>
              <w:t xml:space="preserve">   L</w:t>
            </w:r>
            <w:r>
              <w:rPr>
                <w:rFonts w:hint="default" w:ascii="Times New Roman" w:hAnsi="Times New Roman" w:eastAsia="宋体" w:cs="Times New Roman"/>
                <w:color w:val="auto"/>
                <w:kern w:val="2"/>
                <w:sz w:val="24"/>
                <w:szCs w:val="24"/>
                <w:highlight w:val="none"/>
                <w:u w:val="none" w:color="auto"/>
                <w:vertAlign w:val="subscript"/>
                <w:lang w:val="en-US" w:eastAsia="zh-CN" w:bidi="ar-SA"/>
              </w:rPr>
              <w:t>p2</w:t>
            </w:r>
            <w:r>
              <w:rPr>
                <w:rFonts w:hint="default" w:ascii="Times New Roman" w:hAnsi="Times New Roman" w:eastAsia="宋体" w:cs="Times New Roman"/>
                <w:color w:val="auto"/>
                <w:kern w:val="2"/>
                <w:sz w:val="24"/>
                <w:szCs w:val="24"/>
                <w:highlight w:val="none"/>
                <w:u w:val="none" w:color="auto"/>
                <w:lang w:val="en-US" w:eastAsia="zh-CN" w:bidi="ar-SA"/>
              </w:rPr>
              <w:t>（T）——靠近围护结构处室外声源的声压级，dB；</w:t>
            </w:r>
          </w:p>
          <w:p w14:paraId="1B9682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baseline"/>
              <w:rPr>
                <w:rFonts w:hint="default" w:ascii="Times New Roman" w:hAnsi="Times New Roman" w:eastAsia="宋体" w:cs="Times New Roman"/>
                <w:color w:val="auto"/>
                <w:kern w:val="2"/>
                <w:sz w:val="24"/>
                <w:szCs w:val="24"/>
                <w:highlight w:val="none"/>
                <w:u w:val="none" w:color="auto"/>
                <w:lang w:val="en-US" w:eastAsia="zh-CN" w:bidi="ar-SA"/>
              </w:rPr>
            </w:pPr>
            <w:r>
              <w:rPr>
                <w:rFonts w:hint="default" w:ascii="Times New Roman" w:hAnsi="Times New Roman" w:eastAsia="宋体" w:cs="Times New Roman"/>
                <w:color w:val="auto"/>
                <w:kern w:val="2"/>
                <w:sz w:val="24"/>
                <w:szCs w:val="24"/>
                <w:highlight w:val="none"/>
                <w:u w:val="none" w:color="auto"/>
                <w:lang w:val="en-US" w:eastAsia="zh-CN" w:bidi="ar-SA"/>
              </w:rPr>
              <w:t xml:space="preserve">   S——透声面积，m</w:t>
            </w:r>
            <w:r>
              <w:rPr>
                <w:rFonts w:hint="default" w:ascii="Times New Roman" w:hAnsi="Times New Roman" w:eastAsia="宋体" w:cs="Times New Roman"/>
                <w:color w:val="auto"/>
                <w:kern w:val="2"/>
                <w:sz w:val="24"/>
                <w:szCs w:val="24"/>
                <w:highlight w:val="none"/>
                <w:u w:val="none" w:color="auto"/>
                <w:vertAlign w:val="superscript"/>
                <w:lang w:val="en-US" w:eastAsia="zh-CN" w:bidi="ar-SA"/>
              </w:rPr>
              <w:t>2</w:t>
            </w:r>
            <w:r>
              <w:rPr>
                <w:rFonts w:hint="default" w:ascii="Times New Roman" w:hAnsi="Times New Roman" w:eastAsia="宋体" w:cs="Times New Roman"/>
                <w:color w:val="auto"/>
                <w:kern w:val="2"/>
                <w:sz w:val="24"/>
                <w:szCs w:val="24"/>
                <w:highlight w:val="none"/>
                <w:u w:val="none" w:color="auto"/>
                <w:lang w:val="en-US" w:eastAsia="zh-CN" w:bidi="ar-SA"/>
              </w:rPr>
              <w:t>。</w:t>
            </w:r>
            <w:r>
              <w:rPr>
                <w:rFonts w:hint="eastAsia" w:ascii="Times New Roman" w:hAnsi="Times New Roman" w:eastAsia="宋体" w:cs="Times New Roman"/>
                <w:color w:val="auto"/>
                <w:kern w:val="2"/>
                <w:sz w:val="24"/>
                <w:szCs w:val="24"/>
                <w:highlight w:val="none"/>
                <w:u w:val="none" w:color="auto"/>
                <w:lang w:val="en-US" w:eastAsia="zh-CN" w:bidi="ar-SA"/>
              </w:rPr>
              <w:t>（车间透声面积约120m</w:t>
            </w:r>
            <w:r>
              <w:rPr>
                <w:rFonts w:hint="eastAsia" w:ascii="Times New Roman" w:hAnsi="Times New Roman" w:eastAsia="宋体" w:cs="Times New Roman"/>
                <w:color w:val="auto"/>
                <w:kern w:val="2"/>
                <w:sz w:val="24"/>
                <w:szCs w:val="24"/>
                <w:highlight w:val="none"/>
                <w:u w:val="none" w:color="auto"/>
                <w:vertAlign w:val="superscript"/>
                <w:lang w:val="en-US" w:eastAsia="zh-CN" w:bidi="ar-SA"/>
              </w:rPr>
              <w:t>2</w:t>
            </w:r>
            <w:r>
              <w:rPr>
                <w:rFonts w:hint="eastAsia" w:ascii="Times New Roman" w:hAnsi="Times New Roman" w:eastAsia="宋体" w:cs="Times New Roman"/>
                <w:color w:val="auto"/>
                <w:kern w:val="2"/>
                <w:sz w:val="24"/>
                <w:szCs w:val="24"/>
                <w:highlight w:val="none"/>
                <w:u w:val="none" w:color="auto"/>
                <w:lang w:val="en-US" w:eastAsia="zh-CN" w:bidi="ar-SA"/>
              </w:rPr>
              <w:t>）</w:t>
            </w:r>
          </w:p>
          <w:p w14:paraId="22E29F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baseline"/>
              <w:rPr>
                <w:rFonts w:hint="default" w:ascii="Times New Roman" w:hAnsi="Times New Roman" w:eastAsia="宋体" w:cs="Times New Roman"/>
                <w:color w:val="auto"/>
                <w:kern w:val="2"/>
                <w:sz w:val="24"/>
                <w:szCs w:val="24"/>
                <w:highlight w:val="none"/>
                <w:u w:val="none" w:color="auto"/>
                <w:lang w:val="en-US" w:eastAsia="zh-CN" w:bidi="ar-SA"/>
              </w:rPr>
            </w:pPr>
            <w:r>
              <w:rPr>
                <w:rFonts w:hint="default" w:ascii="Times New Roman" w:hAnsi="Times New Roman" w:eastAsia="宋体" w:cs="Times New Roman"/>
                <w:color w:val="auto"/>
                <w:kern w:val="2"/>
                <w:sz w:val="24"/>
                <w:szCs w:val="24"/>
                <w:highlight w:val="none"/>
                <w:u w:val="none" w:color="auto"/>
                <w:lang w:val="en-US" w:eastAsia="zh-CN" w:bidi="ar-SA"/>
              </w:rPr>
              <w:t>如果声源处于半自由声场，则预测点处声压级计算公式如下：</w:t>
            </w:r>
          </w:p>
          <w:p w14:paraId="27DFC3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baseline"/>
              <w:rPr>
                <w:rFonts w:hint="default" w:ascii="Times New Roman" w:hAnsi="Times New Roman" w:eastAsia="宋体" w:cs="Times New Roman"/>
                <w:color w:val="auto"/>
                <w:kern w:val="2"/>
                <w:sz w:val="24"/>
                <w:szCs w:val="24"/>
                <w:highlight w:val="none"/>
                <w:u w:val="none" w:color="auto"/>
                <w:lang w:val="en-US" w:eastAsia="zh-CN" w:bidi="ar-SA"/>
              </w:rPr>
            </w:pPr>
            <w:r>
              <w:rPr>
                <w:rFonts w:hint="default" w:ascii="Times New Roman" w:hAnsi="Times New Roman" w:eastAsia="宋体" w:cs="Times New Roman"/>
                <w:color w:val="auto"/>
                <w:kern w:val="2"/>
                <w:sz w:val="24"/>
                <w:szCs w:val="24"/>
                <w:highlight w:val="none"/>
                <w:u w:val="none" w:color="auto"/>
                <w:lang w:val="en-US" w:eastAsia="zh-CN" w:bidi="ar-SA"/>
              </w:rPr>
              <w:t xml:space="preserve">      Lp（r）=Lw-20lgr-8</w:t>
            </w:r>
          </w:p>
          <w:p w14:paraId="480496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baseline"/>
              <w:rPr>
                <w:rFonts w:hint="default" w:ascii="Times New Roman" w:hAnsi="Times New Roman" w:eastAsia="宋体" w:cs="Times New Roman"/>
                <w:color w:val="auto"/>
                <w:kern w:val="2"/>
                <w:sz w:val="24"/>
                <w:szCs w:val="24"/>
                <w:highlight w:val="none"/>
                <w:u w:val="none" w:color="auto"/>
                <w:lang w:val="en-US" w:eastAsia="zh-CN" w:bidi="ar-SA"/>
              </w:rPr>
            </w:pPr>
            <w:r>
              <w:rPr>
                <w:rFonts w:hint="default" w:ascii="Times New Roman" w:hAnsi="Times New Roman" w:eastAsia="宋体" w:cs="Times New Roman"/>
                <w:color w:val="auto"/>
                <w:kern w:val="2"/>
                <w:sz w:val="24"/>
                <w:szCs w:val="24"/>
                <w:highlight w:val="none"/>
                <w:u w:val="none" w:color="auto"/>
                <w:lang w:val="en-US" w:eastAsia="zh-CN" w:bidi="ar-SA"/>
              </w:rPr>
              <w:t>式中：Lp（r）——预测点处声压级，dB；</w:t>
            </w:r>
          </w:p>
          <w:p w14:paraId="20694B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baseline"/>
              <w:rPr>
                <w:rFonts w:hint="default" w:ascii="Times New Roman" w:hAnsi="Times New Roman" w:eastAsia="宋体" w:cs="Times New Roman"/>
                <w:color w:val="auto"/>
                <w:kern w:val="2"/>
                <w:sz w:val="24"/>
                <w:szCs w:val="24"/>
                <w:highlight w:val="none"/>
                <w:u w:val="none" w:color="auto"/>
                <w:lang w:val="en-US" w:eastAsia="zh-CN" w:bidi="ar-SA"/>
              </w:rPr>
            </w:pPr>
            <w:r>
              <w:rPr>
                <w:rFonts w:hint="default" w:ascii="Times New Roman" w:hAnsi="Times New Roman" w:eastAsia="宋体" w:cs="Times New Roman"/>
                <w:color w:val="auto"/>
                <w:kern w:val="2"/>
                <w:sz w:val="24"/>
                <w:szCs w:val="24"/>
                <w:highlight w:val="none"/>
                <w:u w:val="none" w:color="auto"/>
                <w:lang w:val="en-US" w:eastAsia="zh-CN" w:bidi="ar-SA"/>
              </w:rPr>
              <w:t xml:space="preserve">      Lw——由点声源产生的倍频带声功率级，dB；</w:t>
            </w:r>
          </w:p>
          <w:p w14:paraId="5BFC17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baseline"/>
              <w:rPr>
                <w:rFonts w:hint="default" w:ascii="Times New Roman" w:hAnsi="Times New Roman" w:eastAsia="宋体" w:cs="Times New Roman"/>
                <w:color w:val="auto"/>
                <w:kern w:val="2"/>
                <w:sz w:val="24"/>
                <w:szCs w:val="24"/>
                <w:highlight w:val="none"/>
                <w:u w:val="none" w:color="auto"/>
                <w:lang w:val="en-US" w:eastAsia="zh-CN" w:bidi="ar-SA"/>
              </w:rPr>
            </w:pPr>
            <w:r>
              <w:rPr>
                <w:rFonts w:hint="default" w:ascii="Times New Roman" w:hAnsi="Times New Roman" w:eastAsia="宋体" w:cs="Times New Roman"/>
                <w:color w:val="auto"/>
                <w:kern w:val="2"/>
                <w:sz w:val="24"/>
                <w:szCs w:val="24"/>
                <w:highlight w:val="none"/>
                <w:u w:val="none" w:color="auto"/>
                <w:lang w:val="en-US" w:eastAsia="zh-CN" w:bidi="ar-SA"/>
              </w:rPr>
              <w:t xml:space="preserve">      r——预测点距声源的距离，m。</w:t>
            </w:r>
          </w:p>
          <w:p w14:paraId="39074A31">
            <w:pPr>
              <w:keepNext w:val="0"/>
              <w:keepLines w:val="0"/>
              <w:pageBreakBefore w:val="0"/>
              <w:widowControl w:val="0"/>
              <w:tabs>
                <w:tab w:val="left" w:pos="3620"/>
              </w:tabs>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eastAsia="宋体" w:cs="Times New Roman"/>
                <w:kern w:val="2"/>
                <w:sz w:val="24"/>
                <w:u w:val="none" w:color="auto"/>
                <w:lang w:eastAsia="zh-CN"/>
              </w:rPr>
            </w:pPr>
            <w:r>
              <w:rPr>
                <w:rFonts w:hint="default" w:ascii="Times New Roman" w:hAnsi="Times New Roman" w:eastAsia="宋体" w:cs="Times New Roman"/>
                <w:kern w:val="2"/>
                <w:sz w:val="24"/>
                <w:u w:val="none" w:color="auto"/>
                <w:lang w:eastAsia="zh-CN"/>
              </w:rPr>
              <w:t>（2）项目噪声源调查</w:t>
            </w:r>
          </w:p>
          <w:p w14:paraId="7FCC6E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left"/>
              <w:textAlignment w:val="baseline"/>
              <w:rPr>
                <w:rFonts w:hint="default" w:ascii="Times New Roman" w:hAnsi="Times New Roman" w:eastAsia="宋体" w:cs="Times New Roman"/>
                <w:color w:val="auto"/>
                <w:kern w:val="2"/>
                <w:sz w:val="24"/>
                <w:szCs w:val="24"/>
                <w:u w:val="none" w:color="auto"/>
                <w:lang w:val="en-US" w:eastAsia="zh-CN" w:bidi="ar-SA"/>
              </w:rPr>
            </w:pPr>
            <w:r>
              <w:rPr>
                <w:rFonts w:hint="default" w:ascii="Times New Roman" w:hAnsi="Times New Roman" w:eastAsia="宋体" w:cs="Times New Roman"/>
                <w:color w:val="auto"/>
                <w:kern w:val="2"/>
                <w:sz w:val="24"/>
                <w:szCs w:val="24"/>
                <w:u w:val="none" w:color="auto"/>
                <w:lang w:val="en-US" w:eastAsia="zh-CN" w:bidi="ar-SA"/>
              </w:rPr>
              <w:t>本项目室内噪声源强见</w:t>
            </w:r>
            <w:r>
              <w:rPr>
                <w:rFonts w:hint="eastAsia" w:ascii="Times New Roman" w:hAnsi="Times New Roman" w:cs="Times New Roman"/>
                <w:color w:val="auto"/>
                <w:kern w:val="2"/>
                <w:sz w:val="24"/>
                <w:szCs w:val="24"/>
                <w:u w:val="none" w:color="auto"/>
                <w:lang w:val="en-US" w:eastAsia="zh-CN" w:bidi="ar-SA"/>
              </w:rPr>
              <w:t>下表</w:t>
            </w:r>
            <w:r>
              <w:rPr>
                <w:rFonts w:hint="default" w:ascii="Times New Roman" w:hAnsi="Times New Roman" w:eastAsia="宋体" w:cs="Times New Roman"/>
                <w:color w:val="auto"/>
                <w:kern w:val="2"/>
                <w:sz w:val="24"/>
                <w:szCs w:val="24"/>
                <w:u w:val="none" w:color="auto"/>
                <w:lang w:val="en-US" w:eastAsia="zh-CN" w:bidi="ar-SA"/>
              </w:rPr>
              <w:t>。</w:t>
            </w:r>
          </w:p>
          <w:p w14:paraId="1532C25D">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cs="Times New Roman"/>
                <w:b/>
                <w:sz w:val="24"/>
                <w:u w:val="none" w:color="auto"/>
                <w:lang w:val="en-US" w:eastAsia="zh-CN"/>
              </w:rPr>
            </w:pPr>
            <w:r>
              <w:rPr>
                <w:rFonts w:hint="eastAsia" w:ascii="Times New Roman" w:hAnsi="Times New Roman" w:eastAsia="宋体" w:cs="Times New Roman"/>
                <w:b/>
                <w:sz w:val="24"/>
                <w:u w:val="none" w:color="auto"/>
                <w:lang w:val="en-US" w:eastAsia="zh-CN"/>
              </w:rPr>
              <w:t>表4-</w:t>
            </w:r>
            <w:r>
              <w:rPr>
                <w:rFonts w:hint="eastAsia" w:cs="Times New Roman"/>
                <w:b/>
                <w:sz w:val="24"/>
                <w:u w:val="none" w:color="auto"/>
                <w:lang w:val="en-US" w:eastAsia="zh-CN"/>
              </w:rPr>
              <w:t>20</w:t>
            </w:r>
            <w:r>
              <w:rPr>
                <w:rFonts w:hint="eastAsia" w:ascii="Times New Roman" w:hAnsi="Times New Roman" w:eastAsia="宋体" w:cs="Times New Roman"/>
                <w:b/>
                <w:sz w:val="24"/>
                <w:u w:val="none" w:color="auto"/>
                <w:lang w:val="en-US" w:eastAsia="zh-CN"/>
              </w:rPr>
              <w:t xml:space="preserve">  </w:t>
            </w:r>
            <w:r>
              <w:rPr>
                <w:rFonts w:hint="eastAsia" w:cs="Times New Roman"/>
                <w:b/>
                <w:sz w:val="24"/>
                <w:u w:val="none" w:color="auto"/>
                <w:lang w:val="en-US" w:eastAsia="zh-CN"/>
              </w:rPr>
              <w:t xml:space="preserve">  </w:t>
            </w:r>
            <w:r>
              <w:rPr>
                <w:rFonts w:hint="eastAsia" w:ascii="宋体" w:hAnsi="宋体"/>
                <w:b/>
                <w:color w:val="auto"/>
                <w:sz w:val="24"/>
                <w:highlight w:val="none"/>
                <w:u w:val="none" w:color="auto"/>
              </w:rPr>
              <w:t>本项</w:t>
            </w:r>
            <w:r>
              <w:rPr>
                <w:rFonts w:hint="eastAsia" w:ascii="宋体" w:hAnsi="宋体"/>
                <w:b/>
                <w:color w:val="000000"/>
                <w:sz w:val="24"/>
                <w:highlight w:val="none"/>
                <w:u w:val="none" w:color="auto"/>
              </w:rPr>
              <w:t>目室内噪音源强调查清单</w:t>
            </w:r>
          </w:p>
          <w:tbl>
            <w:tblPr>
              <w:tblStyle w:val="32"/>
              <w:tblW w:w="802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397"/>
              <w:gridCol w:w="585"/>
              <w:gridCol w:w="965"/>
              <w:gridCol w:w="857"/>
              <w:gridCol w:w="687"/>
              <w:gridCol w:w="687"/>
              <w:gridCol w:w="687"/>
              <w:gridCol w:w="607"/>
              <w:gridCol w:w="520"/>
              <w:gridCol w:w="708"/>
              <w:gridCol w:w="660"/>
              <w:gridCol w:w="660"/>
            </w:tblGrid>
            <w:tr w14:paraId="7D1598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12" w:hRule="atLeast"/>
                <w:jc w:val="center"/>
              </w:trPr>
              <w:tc>
                <w:tcPr>
                  <w:tcW w:w="397" w:type="dxa"/>
                  <w:vMerge w:val="restart"/>
                  <w:tcBorders>
                    <w:top w:val="single" w:color="auto" w:sz="8" w:space="0"/>
                    <w:bottom w:val="single" w:color="auto" w:sz="4" w:space="0"/>
                  </w:tcBorders>
                  <w:noWrap/>
                  <w:vAlign w:val="center"/>
                </w:tcPr>
                <w:p w14:paraId="31CEE3B3">
                  <w:pPr>
                    <w:tabs>
                      <w:tab w:val="left" w:pos="3620"/>
                    </w:tabs>
                    <w:adjustRightInd w:val="0"/>
                    <w:snapToGrid w:val="0"/>
                    <w:jc w:val="center"/>
                    <w:rPr>
                      <w:rFonts w:hint="default" w:ascii="Times New Roman" w:hAnsi="Times New Roman" w:eastAsia="宋体" w:cs="Times New Roman"/>
                      <w:b/>
                      <w:kern w:val="2"/>
                      <w:szCs w:val="21"/>
                      <w:u w:val="none" w:color="auto"/>
                    </w:rPr>
                  </w:pPr>
                  <w:r>
                    <w:rPr>
                      <w:rFonts w:hint="default" w:ascii="Times New Roman" w:hAnsi="Times New Roman" w:eastAsia="宋体" w:cs="Times New Roman"/>
                      <w:b/>
                      <w:kern w:val="2"/>
                      <w:szCs w:val="21"/>
                      <w:u w:val="none" w:color="auto"/>
                    </w:rPr>
                    <w:t>序号</w:t>
                  </w:r>
                </w:p>
              </w:tc>
              <w:tc>
                <w:tcPr>
                  <w:tcW w:w="585" w:type="dxa"/>
                  <w:vMerge w:val="restart"/>
                  <w:tcBorders>
                    <w:top w:val="single" w:color="auto" w:sz="8" w:space="0"/>
                    <w:bottom w:val="single" w:color="auto" w:sz="4" w:space="0"/>
                  </w:tcBorders>
                  <w:noWrap/>
                  <w:vAlign w:val="center"/>
                </w:tcPr>
                <w:p w14:paraId="751BF2F0">
                  <w:pPr>
                    <w:tabs>
                      <w:tab w:val="left" w:pos="3620"/>
                    </w:tabs>
                    <w:adjustRightInd w:val="0"/>
                    <w:snapToGrid w:val="0"/>
                    <w:jc w:val="center"/>
                    <w:rPr>
                      <w:rFonts w:hint="default" w:ascii="Times New Roman" w:hAnsi="Times New Roman" w:eastAsia="宋体" w:cs="Times New Roman"/>
                      <w:b/>
                      <w:kern w:val="2"/>
                      <w:szCs w:val="21"/>
                      <w:u w:val="none" w:color="auto"/>
                    </w:rPr>
                  </w:pPr>
                  <w:r>
                    <w:rPr>
                      <w:rFonts w:hint="default" w:ascii="Times New Roman" w:hAnsi="Times New Roman" w:eastAsia="宋体" w:cs="Times New Roman"/>
                      <w:b/>
                      <w:kern w:val="2"/>
                      <w:szCs w:val="21"/>
                      <w:u w:val="none" w:color="auto"/>
                    </w:rPr>
                    <w:t>建筑物名称</w:t>
                  </w:r>
                </w:p>
              </w:tc>
              <w:tc>
                <w:tcPr>
                  <w:tcW w:w="965" w:type="dxa"/>
                  <w:vMerge w:val="restart"/>
                  <w:tcBorders>
                    <w:top w:val="single" w:color="auto" w:sz="8" w:space="0"/>
                    <w:bottom w:val="single" w:color="auto" w:sz="4" w:space="0"/>
                  </w:tcBorders>
                  <w:noWrap/>
                  <w:vAlign w:val="center"/>
                </w:tcPr>
                <w:p w14:paraId="2099D255">
                  <w:pPr>
                    <w:tabs>
                      <w:tab w:val="left" w:pos="3620"/>
                    </w:tabs>
                    <w:adjustRightInd w:val="0"/>
                    <w:snapToGrid w:val="0"/>
                    <w:jc w:val="center"/>
                    <w:rPr>
                      <w:rFonts w:hint="default" w:ascii="Times New Roman" w:hAnsi="Times New Roman" w:eastAsia="宋体" w:cs="Times New Roman"/>
                      <w:b/>
                      <w:kern w:val="2"/>
                      <w:szCs w:val="21"/>
                      <w:u w:val="none" w:color="auto"/>
                    </w:rPr>
                  </w:pPr>
                  <w:r>
                    <w:rPr>
                      <w:rFonts w:hint="default" w:ascii="Times New Roman" w:hAnsi="Times New Roman" w:eastAsia="宋体" w:cs="Times New Roman"/>
                      <w:b/>
                      <w:kern w:val="2"/>
                      <w:szCs w:val="21"/>
                      <w:u w:val="none" w:color="auto"/>
                    </w:rPr>
                    <w:t>声源名称</w:t>
                  </w:r>
                </w:p>
              </w:tc>
              <w:tc>
                <w:tcPr>
                  <w:tcW w:w="857" w:type="dxa"/>
                  <w:vMerge w:val="restart"/>
                  <w:tcBorders>
                    <w:top w:val="single" w:color="auto" w:sz="8" w:space="0"/>
                    <w:bottom w:val="single" w:color="auto" w:sz="4" w:space="0"/>
                  </w:tcBorders>
                  <w:noWrap/>
                  <w:vAlign w:val="center"/>
                </w:tcPr>
                <w:p w14:paraId="1C7869BF">
                  <w:pPr>
                    <w:tabs>
                      <w:tab w:val="left" w:pos="3620"/>
                    </w:tabs>
                    <w:adjustRightInd w:val="0"/>
                    <w:snapToGrid w:val="0"/>
                    <w:jc w:val="center"/>
                    <w:rPr>
                      <w:rFonts w:hint="default" w:ascii="Times New Roman" w:hAnsi="Times New Roman" w:eastAsia="宋体" w:cs="Times New Roman"/>
                      <w:b/>
                      <w:kern w:val="2"/>
                      <w:szCs w:val="21"/>
                      <w:u w:val="none" w:color="auto"/>
                    </w:rPr>
                  </w:pPr>
                  <w:r>
                    <w:rPr>
                      <w:rFonts w:hint="default" w:ascii="Times New Roman" w:hAnsi="Times New Roman" w:eastAsia="宋体" w:cs="Times New Roman"/>
                      <w:b/>
                      <w:kern w:val="2"/>
                      <w:szCs w:val="21"/>
                      <w:u w:val="none" w:color="auto"/>
                    </w:rPr>
                    <w:t>声功率级/dB（A）</w:t>
                  </w:r>
                </w:p>
              </w:tc>
              <w:tc>
                <w:tcPr>
                  <w:tcW w:w="687" w:type="dxa"/>
                  <w:vMerge w:val="restart"/>
                  <w:tcBorders>
                    <w:top w:val="single" w:color="auto" w:sz="8" w:space="0"/>
                    <w:bottom w:val="single" w:color="auto" w:sz="4" w:space="0"/>
                  </w:tcBorders>
                  <w:noWrap/>
                  <w:vAlign w:val="center"/>
                </w:tcPr>
                <w:p w14:paraId="1B3640ED">
                  <w:pPr>
                    <w:tabs>
                      <w:tab w:val="left" w:pos="3620"/>
                    </w:tabs>
                    <w:adjustRightInd w:val="0"/>
                    <w:snapToGrid w:val="0"/>
                    <w:jc w:val="center"/>
                    <w:rPr>
                      <w:rFonts w:hint="default" w:ascii="Times New Roman" w:hAnsi="Times New Roman" w:eastAsia="宋体" w:cs="Times New Roman"/>
                      <w:b/>
                      <w:kern w:val="2"/>
                      <w:szCs w:val="21"/>
                      <w:u w:val="none" w:color="auto"/>
                    </w:rPr>
                  </w:pPr>
                  <w:r>
                    <w:rPr>
                      <w:rFonts w:hint="eastAsia" w:cs="Times New Roman"/>
                      <w:b/>
                      <w:kern w:val="0"/>
                      <w:sz w:val="21"/>
                      <w:szCs w:val="21"/>
                      <w:highlight w:val="none"/>
                      <w:u w:val="none" w:color="auto"/>
                      <w:lang w:val="en-US" w:eastAsia="zh-CN"/>
                    </w:rPr>
                    <w:t>数量/台</w:t>
                  </w:r>
                </w:p>
              </w:tc>
              <w:tc>
                <w:tcPr>
                  <w:tcW w:w="687" w:type="dxa"/>
                  <w:vMerge w:val="restart"/>
                  <w:tcBorders>
                    <w:top w:val="single" w:color="auto" w:sz="8" w:space="0"/>
                    <w:bottom w:val="single" w:color="auto" w:sz="4" w:space="0"/>
                  </w:tcBorders>
                  <w:noWrap/>
                  <w:vAlign w:val="center"/>
                </w:tcPr>
                <w:p w14:paraId="33EBE170">
                  <w:pPr>
                    <w:tabs>
                      <w:tab w:val="left" w:pos="3620"/>
                    </w:tabs>
                    <w:adjustRightInd w:val="0"/>
                    <w:snapToGrid w:val="0"/>
                    <w:jc w:val="center"/>
                    <w:rPr>
                      <w:rFonts w:hint="default" w:ascii="Times New Roman" w:hAnsi="Times New Roman" w:eastAsia="宋体" w:cs="Times New Roman"/>
                      <w:b/>
                      <w:kern w:val="2"/>
                      <w:szCs w:val="21"/>
                      <w:u w:val="none" w:color="auto"/>
                    </w:rPr>
                  </w:pPr>
                  <w:r>
                    <w:rPr>
                      <w:rFonts w:hint="default" w:ascii="Times New Roman" w:hAnsi="Times New Roman" w:eastAsia="宋体" w:cs="Times New Roman"/>
                      <w:b/>
                      <w:kern w:val="2"/>
                      <w:szCs w:val="21"/>
                      <w:u w:val="none" w:color="auto"/>
                    </w:rPr>
                    <w:t>声源控制措施</w:t>
                  </w:r>
                </w:p>
              </w:tc>
              <w:tc>
                <w:tcPr>
                  <w:tcW w:w="1814" w:type="dxa"/>
                  <w:gridSpan w:val="3"/>
                  <w:tcBorders>
                    <w:top w:val="single" w:color="auto" w:sz="8" w:space="0"/>
                    <w:bottom w:val="single" w:color="000000" w:sz="8" w:space="0"/>
                  </w:tcBorders>
                  <w:noWrap/>
                  <w:vAlign w:val="center"/>
                </w:tcPr>
                <w:p w14:paraId="689FF966">
                  <w:pPr>
                    <w:tabs>
                      <w:tab w:val="left" w:pos="3620"/>
                    </w:tabs>
                    <w:adjustRightInd w:val="0"/>
                    <w:snapToGrid w:val="0"/>
                    <w:jc w:val="center"/>
                    <w:rPr>
                      <w:rFonts w:hint="default" w:ascii="Times New Roman" w:hAnsi="Times New Roman" w:eastAsia="宋体" w:cs="Times New Roman"/>
                      <w:b/>
                      <w:kern w:val="2"/>
                      <w:szCs w:val="21"/>
                      <w:u w:val="none" w:color="auto"/>
                    </w:rPr>
                  </w:pPr>
                  <w:r>
                    <w:rPr>
                      <w:rFonts w:hint="default" w:ascii="Times New Roman" w:hAnsi="Times New Roman" w:eastAsia="宋体" w:cs="Times New Roman"/>
                      <w:b/>
                      <w:kern w:val="2"/>
                      <w:szCs w:val="21"/>
                      <w:u w:val="none" w:color="auto"/>
                    </w:rPr>
                    <w:t>空间相对位置/m</w:t>
                  </w:r>
                </w:p>
              </w:tc>
              <w:tc>
                <w:tcPr>
                  <w:tcW w:w="708" w:type="dxa"/>
                  <w:vMerge w:val="restart"/>
                  <w:tcBorders>
                    <w:top w:val="single" w:color="auto" w:sz="8" w:space="0"/>
                    <w:bottom w:val="single" w:color="000000" w:sz="8" w:space="0"/>
                  </w:tcBorders>
                  <w:noWrap/>
                  <w:vAlign w:val="center"/>
                </w:tcPr>
                <w:p w14:paraId="6BACAB04">
                  <w:pPr>
                    <w:tabs>
                      <w:tab w:val="left" w:pos="3620"/>
                    </w:tabs>
                    <w:adjustRightInd w:val="0"/>
                    <w:snapToGrid w:val="0"/>
                    <w:jc w:val="center"/>
                    <w:rPr>
                      <w:rFonts w:hint="default" w:ascii="Times New Roman" w:hAnsi="Times New Roman" w:eastAsia="宋体" w:cs="Times New Roman"/>
                      <w:b/>
                      <w:kern w:val="2"/>
                      <w:szCs w:val="21"/>
                      <w:u w:val="none" w:color="auto"/>
                    </w:rPr>
                  </w:pPr>
                  <w:r>
                    <w:rPr>
                      <w:rFonts w:hint="default" w:ascii="Times New Roman" w:hAnsi="Times New Roman" w:eastAsia="宋体" w:cs="Times New Roman"/>
                      <w:b/>
                      <w:kern w:val="2"/>
                      <w:szCs w:val="21"/>
                      <w:u w:val="none" w:color="auto"/>
                    </w:rPr>
                    <w:t>距室内边界距离/m</w:t>
                  </w:r>
                </w:p>
              </w:tc>
              <w:tc>
                <w:tcPr>
                  <w:tcW w:w="660" w:type="dxa"/>
                  <w:vMerge w:val="restart"/>
                  <w:tcBorders>
                    <w:top w:val="single" w:color="auto" w:sz="8" w:space="0"/>
                    <w:bottom w:val="single" w:color="000000" w:sz="8" w:space="0"/>
                  </w:tcBorders>
                  <w:noWrap/>
                  <w:vAlign w:val="center"/>
                </w:tcPr>
                <w:p w14:paraId="5B8C1B61">
                  <w:pPr>
                    <w:tabs>
                      <w:tab w:val="left" w:pos="3620"/>
                    </w:tabs>
                    <w:adjustRightInd w:val="0"/>
                    <w:snapToGrid w:val="0"/>
                    <w:jc w:val="center"/>
                    <w:rPr>
                      <w:rFonts w:hint="default" w:ascii="Times New Roman" w:hAnsi="Times New Roman" w:eastAsia="宋体" w:cs="Times New Roman"/>
                      <w:b/>
                      <w:kern w:val="2"/>
                      <w:szCs w:val="21"/>
                      <w:u w:val="none" w:color="auto"/>
                    </w:rPr>
                  </w:pPr>
                  <w:r>
                    <w:rPr>
                      <w:rFonts w:hint="default" w:ascii="Times New Roman" w:hAnsi="Times New Roman" w:eastAsia="宋体" w:cs="Times New Roman"/>
                      <w:b/>
                      <w:kern w:val="2"/>
                      <w:szCs w:val="21"/>
                      <w:u w:val="none" w:color="auto"/>
                    </w:rPr>
                    <w:t>室内边界声级/dB（A）</w:t>
                  </w:r>
                </w:p>
              </w:tc>
              <w:tc>
                <w:tcPr>
                  <w:tcW w:w="660" w:type="dxa"/>
                  <w:vMerge w:val="restart"/>
                  <w:tcBorders>
                    <w:top w:val="single" w:color="auto" w:sz="8" w:space="0"/>
                    <w:bottom w:val="single" w:color="000000" w:sz="8" w:space="0"/>
                  </w:tcBorders>
                  <w:noWrap/>
                  <w:vAlign w:val="center"/>
                </w:tcPr>
                <w:p w14:paraId="5C05E4FA">
                  <w:pPr>
                    <w:tabs>
                      <w:tab w:val="left" w:pos="3620"/>
                    </w:tabs>
                    <w:adjustRightInd w:val="0"/>
                    <w:snapToGrid w:val="0"/>
                    <w:jc w:val="center"/>
                    <w:rPr>
                      <w:rFonts w:hint="default" w:ascii="Times New Roman" w:hAnsi="Times New Roman" w:eastAsia="宋体" w:cs="Times New Roman"/>
                      <w:b/>
                      <w:kern w:val="2"/>
                      <w:szCs w:val="21"/>
                      <w:u w:val="none" w:color="auto"/>
                      <w:lang w:val="en-US" w:eastAsia="zh-CN"/>
                    </w:rPr>
                  </w:pPr>
                  <w:r>
                    <w:rPr>
                      <w:rFonts w:hint="eastAsia" w:cs="Times New Roman"/>
                      <w:b/>
                      <w:kern w:val="2"/>
                      <w:szCs w:val="21"/>
                      <w:u w:val="none" w:color="auto"/>
                      <w:lang w:val="en-US" w:eastAsia="zh-CN"/>
                    </w:rPr>
                    <w:t>运行时间/d</w:t>
                  </w:r>
                </w:p>
              </w:tc>
            </w:tr>
            <w:tr w14:paraId="4AF2C9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896" w:hRule="atLeast"/>
                <w:jc w:val="center"/>
              </w:trPr>
              <w:tc>
                <w:tcPr>
                  <w:tcW w:w="397" w:type="dxa"/>
                  <w:vMerge w:val="continue"/>
                  <w:tcBorders>
                    <w:top w:val="single" w:color="auto" w:sz="4" w:space="0"/>
                    <w:bottom w:val="single" w:color="000000" w:sz="8" w:space="0"/>
                  </w:tcBorders>
                  <w:noWrap/>
                  <w:vAlign w:val="center"/>
                </w:tcPr>
                <w:p w14:paraId="66E5DFB9">
                  <w:pPr>
                    <w:tabs>
                      <w:tab w:val="left" w:pos="3620"/>
                    </w:tabs>
                    <w:adjustRightInd w:val="0"/>
                    <w:snapToGrid w:val="0"/>
                    <w:jc w:val="center"/>
                    <w:rPr>
                      <w:rFonts w:hint="default" w:ascii="Times New Roman" w:hAnsi="Times New Roman" w:eastAsia="宋体" w:cs="Times New Roman"/>
                      <w:b/>
                      <w:kern w:val="2"/>
                      <w:szCs w:val="21"/>
                      <w:u w:val="none" w:color="auto"/>
                    </w:rPr>
                  </w:pPr>
                </w:p>
              </w:tc>
              <w:tc>
                <w:tcPr>
                  <w:tcW w:w="585" w:type="dxa"/>
                  <w:vMerge w:val="continue"/>
                  <w:tcBorders>
                    <w:top w:val="single" w:color="auto" w:sz="4" w:space="0"/>
                    <w:bottom w:val="single" w:color="000000" w:sz="8" w:space="0"/>
                  </w:tcBorders>
                  <w:noWrap/>
                  <w:vAlign w:val="center"/>
                </w:tcPr>
                <w:p w14:paraId="235A9836">
                  <w:pPr>
                    <w:tabs>
                      <w:tab w:val="left" w:pos="3620"/>
                    </w:tabs>
                    <w:adjustRightInd w:val="0"/>
                    <w:snapToGrid w:val="0"/>
                    <w:jc w:val="center"/>
                    <w:rPr>
                      <w:rFonts w:hint="default" w:ascii="Times New Roman" w:hAnsi="Times New Roman" w:eastAsia="宋体" w:cs="Times New Roman"/>
                      <w:b/>
                      <w:kern w:val="2"/>
                      <w:szCs w:val="21"/>
                      <w:u w:val="none" w:color="auto"/>
                    </w:rPr>
                  </w:pPr>
                </w:p>
              </w:tc>
              <w:tc>
                <w:tcPr>
                  <w:tcW w:w="965" w:type="dxa"/>
                  <w:vMerge w:val="continue"/>
                  <w:tcBorders>
                    <w:top w:val="single" w:color="auto" w:sz="4" w:space="0"/>
                    <w:bottom w:val="single" w:color="000000" w:sz="8" w:space="0"/>
                  </w:tcBorders>
                  <w:noWrap/>
                  <w:vAlign w:val="center"/>
                </w:tcPr>
                <w:p w14:paraId="589B6D65">
                  <w:pPr>
                    <w:tabs>
                      <w:tab w:val="left" w:pos="3620"/>
                    </w:tabs>
                    <w:adjustRightInd w:val="0"/>
                    <w:snapToGrid w:val="0"/>
                    <w:jc w:val="center"/>
                    <w:rPr>
                      <w:rFonts w:hint="default" w:ascii="Times New Roman" w:hAnsi="Times New Roman" w:eastAsia="宋体" w:cs="Times New Roman"/>
                      <w:b/>
                      <w:kern w:val="2"/>
                      <w:szCs w:val="21"/>
                      <w:u w:val="none" w:color="auto"/>
                    </w:rPr>
                  </w:pPr>
                </w:p>
              </w:tc>
              <w:tc>
                <w:tcPr>
                  <w:tcW w:w="857" w:type="dxa"/>
                  <w:vMerge w:val="continue"/>
                  <w:tcBorders>
                    <w:top w:val="single" w:color="auto" w:sz="4" w:space="0"/>
                    <w:bottom w:val="single" w:color="000000" w:sz="8" w:space="0"/>
                  </w:tcBorders>
                  <w:noWrap/>
                  <w:vAlign w:val="center"/>
                </w:tcPr>
                <w:p w14:paraId="24BC5227">
                  <w:pPr>
                    <w:tabs>
                      <w:tab w:val="left" w:pos="3620"/>
                    </w:tabs>
                    <w:adjustRightInd w:val="0"/>
                    <w:snapToGrid w:val="0"/>
                    <w:jc w:val="center"/>
                    <w:rPr>
                      <w:rFonts w:hint="default" w:ascii="Times New Roman" w:hAnsi="Times New Roman" w:eastAsia="宋体" w:cs="Times New Roman"/>
                      <w:b/>
                      <w:kern w:val="2"/>
                      <w:szCs w:val="21"/>
                      <w:u w:val="none" w:color="auto"/>
                    </w:rPr>
                  </w:pPr>
                </w:p>
              </w:tc>
              <w:tc>
                <w:tcPr>
                  <w:tcW w:w="687" w:type="dxa"/>
                  <w:vMerge w:val="continue"/>
                  <w:tcBorders>
                    <w:top w:val="single" w:color="auto" w:sz="4" w:space="0"/>
                    <w:bottom w:val="single" w:color="000000" w:sz="8" w:space="0"/>
                  </w:tcBorders>
                  <w:noWrap/>
                  <w:vAlign w:val="center"/>
                </w:tcPr>
                <w:p w14:paraId="6D42CC00">
                  <w:pPr>
                    <w:tabs>
                      <w:tab w:val="left" w:pos="3620"/>
                    </w:tabs>
                    <w:adjustRightInd w:val="0"/>
                    <w:snapToGrid w:val="0"/>
                    <w:jc w:val="center"/>
                    <w:rPr>
                      <w:rFonts w:hint="default" w:ascii="Times New Roman" w:hAnsi="Times New Roman" w:eastAsia="宋体" w:cs="Times New Roman"/>
                      <w:b/>
                      <w:kern w:val="2"/>
                      <w:szCs w:val="21"/>
                      <w:u w:val="none" w:color="auto"/>
                    </w:rPr>
                  </w:pPr>
                </w:p>
              </w:tc>
              <w:tc>
                <w:tcPr>
                  <w:tcW w:w="687" w:type="dxa"/>
                  <w:vMerge w:val="continue"/>
                  <w:tcBorders>
                    <w:top w:val="single" w:color="auto" w:sz="4" w:space="0"/>
                    <w:bottom w:val="single" w:color="000000" w:sz="8" w:space="0"/>
                  </w:tcBorders>
                  <w:noWrap/>
                  <w:vAlign w:val="center"/>
                </w:tcPr>
                <w:p w14:paraId="43F8715E">
                  <w:pPr>
                    <w:tabs>
                      <w:tab w:val="left" w:pos="3620"/>
                    </w:tabs>
                    <w:adjustRightInd w:val="0"/>
                    <w:snapToGrid w:val="0"/>
                    <w:jc w:val="center"/>
                    <w:rPr>
                      <w:rFonts w:hint="default" w:ascii="Times New Roman" w:hAnsi="Times New Roman" w:eastAsia="宋体" w:cs="Times New Roman"/>
                      <w:b/>
                      <w:kern w:val="2"/>
                      <w:szCs w:val="21"/>
                      <w:u w:val="none" w:color="auto"/>
                    </w:rPr>
                  </w:pPr>
                </w:p>
              </w:tc>
              <w:tc>
                <w:tcPr>
                  <w:tcW w:w="687" w:type="dxa"/>
                  <w:tcBorders>
                    <w:top w:val="single" w:color="000000" w:sz="8" w:space="0"/>
                    <w:bottom w:val="single" w:color="000000" w:sz="8" w:space="0"/>
                  </w:tcBorders>
                  <w:noWrap/>
                  <w:vAlign w:val="center"/>
                </w:tcPr>
                <w:p w14:paraId="65580D03">
                  <w:pPr>
                    <w:tabs>
                      <w:tab w:val="left" w:pos="3620"/>
                    </w:tabs>
                    <w:adjustRightInd w:val="0"/>
                    <w:snapToGrid w:val="0"/>
                    <w:jc w:val="center"/>
                    <w:rPr>
                      <w:rFonts w:hint="default" w:ascii="Times New Roman" w:hAnsi="Times New Roman" w:eastAsia="宋体" w:cs="Times New Roman"/>
                      <w:b/>
                      <w:kern w:val="2"/>
                      <w:szCs w:val="21"/>
                      <w:u w:val="none" w:color="auto"/>
                    </w:rPr>
                  </w:pPr>
                  <w:r>
                    <w:rPr>
                      <w:rFonts w:hint="default" w:ascii="Times New Roman" w:hAnsi="Times New Roman" w:eastAsia="宋体" w:cs="Times New Roman"/>
                      <w:b/>
                      <w:kern w:val="2"/>
                      <w:szCs w:val="21"/>
                      <w:u w:val="none" w:color="auto"/>
                    </w:rPr>
                    <w:t>X</w:t>
                  </w:r>
                </w:p>
              </w:tc>
              <w:tc>
                <w:tcPr>
                  <w:tcW w:w="607" w:type="dxa"/>
                  <w:tcBorders>
                    <w:top w:val="single" w:color="000000" w:sz="8" w:space="0"/>
                    <w:bottom w:val="single" w:color="000000" w:sz="8" w:space="0"/>
                  </w:tcBorders>
                  <w:noWrap/>
                  <w:vAlign w:val="center"/>
                </w:tcPr>
                <w:p w14:paraId="2FC826D7">
                  <w:pPr>
                    <w:tabs>
                      <w:tab w:val="left" w:pos="3620"/>
                    </w:tabs>
                    <w:adjustRightInd w:val="0"/>
                    <w:snapToGrid w:val="0"/>
                    <w:jc w:val="center"/>
                    <w:rPr>
                      <w:rFonts w:hint="default" w:ascii="Times New Roman" w:hAnsi="Times New Roman" w:eastAsia="宋体" w:cs="Times New Roman"/>
                      <w:b/>
                      <w:kern w:val="2"/>
                      <w:szCs w:val="21"/>
                      <w:u w:val="none" w:color="auto"/>
                    </w:rPr>
                  </w:pPr>
                  <w:r>
                    <w:rPr>
                      <w:rFonts w:hint="default" w:ascii="Times New Roman" w:hAnsi="Times New Roman" w:eastAsia="宋体" w:cs="Times New Roman"/>
                      <w:b/>
                      <w:kern w:val="2"/>
                      <w:szCs w:val="21"/>
                      <w:u w:val="none" w:color="auto"/>
                    </w:rPr>
                    <w:t>Y</w:t>
                  </w:r>
                </w:p>
              </w:tc>
              <w:tc>
                <w:tcPr>
                  <w:tcW w:w="520" w:type="dxa"/>
                  <w:tcBorders>
                    <w:top w:val="single" w:color="000000" w:sz="8" w:space="0"/>
                    <w:bottom w:val="single" w:color="000000" w:sz="8" w:space="0"/>
                  </w:tcBorders>
                  <w:noWrap/>
                  <w:vAlign w:val="center"/>
                </w:tcPr>
                <w:p w14:paraId="3AADC334">
                  <w:pPr>
                    <w:tabs>
                      <w:tab w:val="left" w:pos="3620"/>
                    </w:tabs>
                    <w:adjustRightInd w:val="0"/>
                    <w:snapToGrid w:val="0"/>
                    <w:jc w:val="center"/>
                    <w:rPr>
                      <w:rFonts w:hint="default" w:ascii="Times New Roman" w:hAnsi="Times New Roman" w:eastAsia="宋体" w:cs="Times New Roman"/>
                      <w:b/>
                      <w:kern w:val="2"/>
                      <w:szCs w:val="21"/>
                      <w:u w:val="none" w:color="auto"/>
                    </w:rPr>
                  </w:pPr>
                  <w:r>
                    <w:rPr>
                      <w:rFonts w:hint="default" w:ascii="Times New Roman" w:hAnsi="Times New Roman" w:eastAsia="宋体" w:cs="Times New Roman"/>
                      <w:b/>
                      <w:kern w:val="2"/>
                      <w:szCs w:val="21"/>
                      <w:u w:val="none" w:color="auto"/>
                    </w:rPr>
                    <w:t>Z</w:t>
                  </w:r>
                </w:p>
              </w:tc>
              <w:tc>
                <w:tcPr>
                  <w:tcW w:w="708" w:type="dxa"/>
                  <w:vMerge w:val="continue"/>
                  <w:tcBorders>
                    <w:top w:val="single" w:color="000000" w:sz="8" w:space="0"/>
                    <w:bottom w:val="single" w:color="000000" w:sz="8" w:space="0"/>
                  </w:tcBorders>
                  <w:noWrap/>
                  <w:vAlign w:val="center"/>
                </w:tcPr>
                <w:p w14:paraId="508E63A7">
                  <w:pPr>
                    <w:tabs>
                      <w:tab w:val="left" w:pos="3620"/>
                    </w:tabs>
                    <w:adjustRightInd w:val="0"/>
                    <w:snapToGrid w:val="0"/>
                    <w:jc w:val="center"/>
                    <w:rPr>
                      <w:rFonts w:hint="default" w:ascii="Times New Roman" w:hAnsi="Times New Roman" w:eastAsia="宋体" w:cs="Times New Roman"/>
                      <w:b/>
                      <w:kern w:val="2"/>
                      <w:szCs w:val="21"/>
                      <w:u w:val="none" w:color="auto"/>
                    </w:rPr>
                  </w:pPr>
                </w:p>
              </w:tc>
              <w:tc>
                <w:tcPr>
                  <w:tcW w:w="660" w:type="dxa"/>
                  <w:vMerge w:val="continue"/>
                  <w:tcBorders>
                    <w:top w:val="single" w:color="000000" w:sz="8" w:space="0"/>
                    <w:bottom w:val="single" w:color="000000" w:sz="8" w:space="0"/>
                  </w:tcBorders>
                  <w:noWrap/>
                  <w:vAlign w:val="center"/>
                </w:tcPr>
                <w:p w14:paraId="33BB1F2A">
                  <w:pPr>
                    <w:tabs>
                      <w:tab w:val="left" w:pos="3620"/>
                    </w:tabs>
                    <w:adjustRightInd w:val="0"/>
                    <w:snapToGrid w:val="0"/>
                    <w:jc w:val="center"/>
                    <w:rPr>
                      <w:rFonts w:hint="default" w:ascii="Times New Roman" w:hAnsi="Times New Roman" w:eastAsia="宋体" w:cs="Times New Roman"/>
                      <w:b/>
                      <w:kern w:val="2"/>
                      <w:szCs w:val="21"/>
                      <w:u w:val="none" w:color="auto"/>
                    </w:rPr>
                  </w:pPr>
                </w:p>
              </w:tc>
              <w:tc>
                <w:tcPr>
                  <w:tcW w:w="660" w:type="dxa"/>
                  <w:vMerge w:val="continue"/>
                  <w:tcBorders>
                    <w:top w:val="single" w:color="000000" w:sz="8" w:space="0"/>
                    <w:bottom w:val="single" w:color="000000" w:sz="8" w:space="0"/>
                  </w:tcBorders>
                  <w:noWrap/>
                  <w:vAlign w:val="center"/>
                </w:tcPr>
                <w:p w14:paraId="53E1437F">
                  <w:pPr>
                    <w:tabs>
                      <w:tab w:val="left" w:pos="3620"/>
                    </w:tabs>
                    <w:adjustRightInd w:val="0"/>
                    <w:snapToGrid w:val="0"/>
                    <w:jc w:val="center"/>
                    <w:rPr>
                      <w:rFonts w:hint="default" w:ascii="Times New Roman" w:hAnsi="Times New Roman" w:eastAsia="宋体" w:cs="Times New Roman"/>
                      <w:b/>
                      <w:kern w:val="2"/>
                      <w:szCs w:val="21"/>
                      <w:u w:val="none" w:color="auto"/>
                    </w:rPr>
                  </w:pPr>
                </w:p>
              </w:tc>
            </w:tr>
            <w:tr w14:paraId="3637A6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56" w:hRule="atLeast"/>
                <w:jc w:val="center"/>
              </w:trPr>
              <w:tc>
                <w:tcPr>
                  <w:tcW w:w="397" w:type="dxa"/>
                  <w:tcBorders>
                    <w:top w:val="single" w:color="000000" w:sz="8" w:space="0"/>
                  </w:tcBorders>
                  <w:noWrap/>
                  <w:vAlign w:val="center"/>
                </w:tcPr>
                <w:p w14:paraId="21D3E1ED">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bookmarkStart w:id="43" w:name="_Hlk195174385"/>
                  <w:r>
                    <w:rPr>
                      <w:rFonts w:hint="default" w:ascii="Times New Roman" w:hAnsi="Times New Roman" w:eastAsia="宋体" w:cs="Times New Roman"/>
                      <w:i w:val="0"/>
                      <w:iCs w:val="0"/>
                      <w:color w:val="000000"/>
                      <w:kern w:val="0"/>
                      <w:sz w:val="21"/>
                      <w:szCs w:val="21"/>
                      <w:u w:val="none" w:color="auto"/>
                      <w:lang w:val="en-US" w:eastAsia="zh-CN" w:bidi="ar"/>
                    </w:rPr>
                    <w:t>1</w:t>
                  </w:r>
                </w:p>
              </w:tc>
              <w:tc>
                <w:tcPr>
                  <w:tcW w:w="585" w:type="dxa"/>
                  <w:vMerge w:val="restart"/>
                  <w:tcBorders>
                    <w:top w:val="single" w:color="000000" w:sz="8" w:space="0"/>
                  </w:tcBorders>
                  <w:noWrap/>
                  <w:vAlign w:val="center"/>
                </w:tcPr>
                <w:p w14:paraId="2C298032">
                  <w:pPr>
                    <w:tabs>
                      <w:tab w:val="left" w:pos="3620"/>
                    </w:tabs>
                    <w:adjustRightInd w:val="0"/>
                    <w:snapToGrid w:val="0"/>
                    <w:jc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bCs/>
                      <w:kern w:val="2"/>
                      <w:szCs w:val="21"/>
                      <w:u w:val="none" w:color="auto"/>
                    </w:rPr>
                    <w:t>生产车间</w:t>
                  </w:r>
                </w:p>
              </w:tc>
              <w:tc>
                <w:tcPr>
                  <w:tcW w:w="965" w:type="dxa"/>
                  <w:tcBorders>
                    <w:top w:val="single" w:color="000000" w:sz="8" w:space="0"/>
                  </w:tcBorders>
                  <w:noWrap/>
                  <w:vAlign w:val="center"/>
                </w:tcPr>
                <w:p w14:paraId="23738715">
                  <w:pPr>
                    <w:keepNext w:val="0"/>
                    <w:keepLines w:val="0"/>
                    <w:widowControl/>
                    <w:suppressLineNumbers w:val="0"/>
                    <w:jc w:val="center"/>
                    <w:textAlignment w:val="center"/>
                    <w:rPr>
                      <w:rFonts w:hint="default" w:ascii="Times New Roman" w:hAnsi="Times New Roman" w:eastAsia="宋体" w:cs="Times New Roman"/>
                      <w:kern w:val="2"/>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匀浆系统（正极）</w:t>
                  </w:r>
                </w:p>
              </w:tc>
              <w:tc>
                <w:tcPr>
                  <w:tcW w:w="857" w:type="dxa"/>
                  <w:tcBorders>
                    <w:top w:val="single" w:color="000000" w:sz="8" w:space="0"/>
                  </w:tcBorders>
                  <w:noWrap/>
                  <w:vAlign w:val="center"/>
                </w:tcPr>
                <w:p w14:paraId="62F60F7B">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85</w:t>
                  </w:r>
                </w:p>
              </w:tc>
              <w:tc>
                <w:tcPr>
                  <w:tcW w:w="687" w:type="dxa"/>
                  <w:tcBorders>
                    <w:top w:val="single" w:color="000000" w:sz="8" w:space="0"/>
                  </w:tcBorders>
                  <w:noWrap/>
                  <w:vAlign w:val="center"/>
                </w:tcPr>
                <w:p w14:paraId="0D68495E">
                  <w:pPr>
                    <w:keepNext w:val="0"/>
                    <w:keepLines w:val="0"/>
                    <w:widowControl/>
                    <w:suppressLineNumbers w:val="0"/>
                    <w:jc w:val="center"/>
                    <w:textAlignment w:val="center"/>
                    <w:rPr>
                      <w:rFonts w:hint="eastAsia"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w:t>
                  </w:r>
                </w:p>
              </w:tc>
              <w:tc>
                <w:tcPr>
                  <w:tcW w:w="687" w:type="dxa"/>
                  <w:vMerge w:val="restart"/>
                  <w:tcBorders>
                    <w:top w:val="single" w:color="000000" w:sz="8" w:space="0"/>
                  </w:tcBorders>
                  <w:noWrap/>
                  <w:vAlign w:val="center"/>
                </w:tcPr>
                <w:p w14:paraId="1ED6D4D9">
                  <w:pPr>
                    <w:tabs>
                      <w:tab w:val="left" w:pos="3620"/>
                    </w:tabs>
                    <w:adjustRightInd w:val="0"/>
                    <w:snapToGrid w:val="0"/>
                    <w:jc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bCs/>
                      <w:kern w:val="2"/>
                      <w:szCs w:val="21"/>
                      <w:u w:val="none" w:color="auto"/>
                    </w:rPr>
                    <w:t>基础减振、密闭隔音</w:t>
                  </w:r>
                </w:p>
              </w:tc>
              <w:tc>
                <w:tcPr>
                  <w:tcW w:w="687" w:type="dxa"/>
                  <w:tcBorders>
                    <w:top w:val="single" w:color="000000" w:sz="8" w:space="0"/>
                  </w:tcBorders>
                  <w:noWrap/>
                  <w:vAlign w:val="center"/>
                </w:tcPr>
                <w:p w14:paraId="745A62DC">
                  <w:pPr>
                    <w:keepNext w:val="0"/>
                    <w:keepLines w:val="0"/>
                    <w:widowControl/>
                    <w:suppressLineNumbers w:val="0"/>
                    <w:jc w:val="center"/>
                    <w:textAlignment w:val="center"/>
                    <w:rPr>
                      <w:rFonts w:hint="eastAsia"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-23</w:t>
                  </w:r>
                </w:p>
              </w:tc>
              <w:tc>
                <w:tcPr>
                  <w:tcW w:w="607" w:type="dxa"/>
                  <w:tcBorders>
                    <w:top w:val="single" w:color="000000" w:sz="8" w:space="0"/>
                  </w:tcBorders>
                  <w:noWrap/>
                  <w:vAlign w:val="center"/>
                </w:tcPr>
                <w:p w14:paraId="326F22B1">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13</w:t>
                  </w:r>
                </w:p>
              </w:tc>
              <w:tc>
                <w:tcPr>
                  <w:tcW w:w="520" w:type="dxa"/>
                  <w:tcBorders>
                    <w:top w:val="single" w:color="000000" w:sz="8" w:space="0"/>
                  </w:tcBorders>
                  <w:noWrap/>
                  <w:vAlign w:val="center"/>
                </w:tcPr>
                <w:p w14:paraId="69B2DE29">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708" w:type="dxa"/>
                  <w:tcBorders>
                    <w:top w:val="single" w:color="000000" w:sz="8" w:space="0"/>
                  </w:tcBorders>
                  <w:noWrap/>
                  <w:vAlign w:val="center"/>
                </w:tcPr>
                <w:p w14:paraId="0A393266">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660" w:type="dxa"/>
                  <w:tcBorders>
                    <w:top w:val="single" w:color="000000" w:sz="8" w:space="0"/>
                  </w:tcBorders>
                  <w:noWrap/>
                  <w:vAlign w:val="center"/>
                </w:tcPr>
                <w:p w14:paraId="454C1EFF">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58.7</w:t>
                  </w:r>
                </w:p>
              </w:tc>
              <w:tc>
                <w:tcPr>
                  <w:tcW w:w="660" w:type="dxa"/>
                  <w:tcBorders>
                    <w:top w:val="single" w:color="000000" w:sz="8" w:space="0"/>
                  </w:tcBorders>
                  <w:noWrap/>
                  <w:vAlign w:val="center"/>
                </w:tcPr>
                <w:p w14:paraId="0638F8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78A0FE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397" w:type="dxa"/>
                  <w:noWrap/>
                  <w:vAlign w:val="center"/>
                </w:tcPr>
                <w:p w14:paraId="6AA154E0">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2</w:t>
                  </w:r>
                </w:p>
              </w:tc>
              <w:tc>
                <w:tcPr>
                  <w:tcW w:w="585" w:type="dxa"/>
                  <w:vMerge w:val="continue"/>
                  <w:noWrap/>
                  <w:vAlign w:val="center"/>
                </w:tcPr>
                <w:p w14:paraId="7F6AB4F6">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noWrap/>
                  <w:vAlign w:val="center"/>
                </w:tcPr>
                <w:p w14:paraId="16931633">
                  <w:pPr>
                    <w:keepNext w:val="0"/>
                    <w:keepLines w:val="0"/>
                    <w:widowControl/>
                    <w:suppressLineNumbers w:val="0"/>
                    <w:jc w:val="center"/>
                    <w:textAlignment w:val="center"/>
                    <w:rPr>
                      <w:rFonts w:hint="default" w:ascii="Times New Roman" w:hAnsi="Times New Roman" w:eastAsia="宋体" w:cs="Times New Roman"/>
                      <w:kern w:val="2"/>
                      <w:szCs w:val="21"/>
                      <w:u w:val="none" w:color="auto"/>
                    </w:rPr>
                  </w:pPr>
                  <w:r>
                    <w:rPr>
                      <w:rFonts w:hint="eastAsia" w:ascii="宋体" w:hAnsi="宋体" w:eastAsia="宋体" w:cs="宋体"/>
                      <w:i w:val="0"/>
                      <w:iCs w:val="0"/>
                      <w:color w:val="000000"/>
                      <w:kern w:val="0"/>
                      <w:sz w:val="21"/>
                      <w:szCs w:val="21"/>
                      <w:u w:val="none" w:color="auto"/>
                      <w:lang w:val="en-US" w:eastAsia="zh-CN" w:bidi="ar"/>
                    </w:rPr>
                    <w:t>匀浆系统（负极）</w:t>
                  </w:r>
                </w:p>
              </w:tc>
              <w:tc>
                <w:tcPr>
                  <w:tcW w:w="857" w:type="dxa"/>
                  <w:noWrap/>
                  <w:vAlign w:val="center"/>
                </w:tcPr>
                <w:p w14:paraId="30723465">
                  <w:pPr>
                    <w:keepNext w:val="0"/>
                    <w:keepLines w:val="0"/>
                    <w:widowControl/>
                    <w:suppressLineNumbers w:val="0"/>
                    <w:jc w:val="center"/>
                    <w:textAlignment w:val="center"/>
                    <w:rPr>
                      <w:rFonts w:hint="default" w:ascii="Times New Roman" w:hAnsi="Times New Roman" w:eastAsia="宋体" w:cs="Times New Roman"/>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85</w:t>
                  </w:r>
                </w:p>
              </w:tc>
              <w:tc>
                <w:tcPr>
                  <w:tcW w:w="687" w:type="dxa"/>
                  <w:noWrap/>
                  <w:vAlign w:val="center"/>
                </w:tcPr>
                <w:p w14:paraId="718E6E03">
                  <w:pPr>
                    <w:keepNext w:val="0"/>
                    <w:keepLines w:val="0"/>
                    <w:widowControl/>
                    <w:suppressLineNumbers w:val="0"/>
                    <w:jc w:val="center"/>
                    <w:textAlignment w:val="center"/>
                    <w:rPr>
                      <w:rFonts w:hint="eastAsia"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w:t>
                  </w:r>
                </w:p>
              </w:tc>
              <w:tc>
                <w:tcPr>
                  <w:tcW w:w="687" w:type="dxa"/>
                  <w:vMerge w:val="continue"/>
                  <w:noWrap/>
                  <w:vAlign w:val="center"/>
                </w:tcPr>
                <w:p w14:paraId="5929DB7B">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noWrap/>
                  <w:vAlign w:val="center"/>
                </w:tcPr>
                <w:p w14:paraId="46D7FF6A">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-24</w:t>
                  </w:r>
                </w:p>
              </w:tc>
              <w:tc>
                <w:tcPr>
                  <w:tcW w:w="607" w:type="dxa"/>
                  <w:noWrap/>
                  <w:vAlign w:val="center"/>
                </w:tcPr>
                <w:p w14:paraId="0A0E7B28">
                  <w:pPr>
                    <w:keepNext w:val="0"/>
                    <w:keepLines w:val="0"/>
                    <w:widowControl/>
                    <w:suppressLineNumbers w:val="0"/>
                    <w:jc w:val="center"/>
                    <w:textAlignment w:val="center"/>
                    <w:rPr>
                      <w:rFonts w:hint="default" w:ascii="Times New Roman" w:hAnsi="Times New Roman" w:eastAsia="宋体" w:cs="Times New Roman"/>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21</w:t>
                  </w:r>
                </w:p>
              </w:tc>
              <w:tc>
                <w:tcPr>
                  <w:tcW w:w="520" w:type="dxa"/>
                  <w:noWrap/>
                  <w:vAlign w:val="center"/>
                </w:tcPr>
                <w:p w14:paraId="34D458C4">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708" w:type="dxa"/>
                  <w:noWrap/>
                  <w:vAlign w:val="center"/>
                </w:tcPr>
                <w:p w14:paraId="4F2CDFA4">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21</w:t>
                  </w:r>
                </w:p>
              </w:tc>
              <w:tc>
                <w:tcPr>
                  <w:tcW w:w="660" w:type="dxa"/>
                  <w:noWrap/>
                  <w:vAlign w:val="center"/>
                </w:tcPr>
                <w:p w14:paraId="38D26201">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54.3</w:t>
                  </w:r>
                </w:p>
              </w:tc>
              <w:tc>
                <w:tcPr>
                  <w:tcW w:w="660" w:type="dxa"/>
                  <w:noWrap/>
                  <w:vAlign w:val="center"/>
                </w:tcPr>
                <w:p w14:paraId="29E47C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4FCFEF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397" w:type="dxa"/>
                  <w:noWrap/>
                  <w:vAlign w:val="center"/>
                </w:tcPr>
                <w:p w14:paraId="5746807A">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3</w:t>
                  </w:r>
                </w:p>
              </w:tc>
              <w:tc>
                <w:tcPr>
                  <w:tcW w:w="585" w:type="dxa"/>
                  <w:vMerge w:val="continue"/>
                  <w:noWrap/>
                  <w:vAlign w:val="center"/>
                </w:tcPr>
                <w:p w14:paraId="4C27C69D">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noWrap/>
                  <w:vAlign w:val="center"/>
                </w:tcPr>
                <w:p w14:paraId="23292883">
                  <w:pPr>
                    <w:keepNext w:val="0"/>
                    <w:keepLines w:val="0"/>
                    <w:widowControl/>
                    <w:suppressLineNumbers w:val="0"/>
                    <w:jc w:val="center"/>
                    <w:textAlignment w:val="center"/>
                    <w:rPr>
                      <w:rFonts w:hint="default" w:ascii="Times New Roman" w:hAnsi="Times New Roman" w:eastAsia="宋体" w:cs="Times New Roman"/>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涂布机（正极）</w:t>
                  </w:r>
                </w:p>
              </w:tc>
              <w:tc>
                <w:tcPr>
                  <w:tcW w:w="857" w:type="dxa"/>
                  <w:noWrap/>
                  <w:vAlign w:val="center"/>
                </w:tcPr>
                <w:p w14:paraId="0057F987">
                  <w:pPr>
                    <w:keepNext w:val="0"/>
                    <w:keepLines w:val="0"/>
                    <w:widowControl/>
                    <w:suppressLineNumbers w:val="0"/>
                    <w:jc w:val="center"/>
                    <w:textAlignment w:val="center"/>
                    <w:rPr>
                      <w:rFonts w:hint="default" w:ascii="Times New Roman" w:hAnsi="Times New Roman" w:eastAsia="宋体" w:cs="Times New Roman"/>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75</w:t>
                  </w:r>
                </w:p>
              </w:tc>
              <w:tc>
                <w:tcPr>
                  <w:tcW w:w="687" w:type="dxa"/>
                  <w:noWrap/>
                  <w:vAlign w:val="center"/>
                </w:tcPr>
                <w:p w14:paraId="635FD36D">
                  <w:pPr>
                    <w:keepNext w:val="0"/>
                    <w:keepLines w:val="0"/>
                    <w:widowControl/>
                    <w:suppressLineNumbers w:val="0"/>
                    <w:jc w:val="center"/>
                    <w:textAlignment w:val="center"/>
                    <w:rPr>
                      <w:rFonts w:hint="eastAsia"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w:t>
                  </w:r>
                </w:p>
              </w:tc>
              <w:tc>
                <w:tcPr>
                  <w:tcW w:w="687" w:type="dxa"/>
                  <w:vMerge w:val="continue"/>
                  <w:noWrap/>
                  <w:vAlign w:val="center"/>
                </w:tcPr>
                <w:p w14:paraId="7CB9AE82">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noWrap/>
                  <w:vAlign w:val="center"/>
                </w:tcPr>
                <w:p w14:paraId="323C0A8A">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-104</w:t>
                  </w:r>
                </w:p>
              </w:tc>
              <w:tc>
                <w:tcPr>
                  <w:tcW w:w="607" w:type="dxa"/>
                  <w:noWrap/>
                  <w:vAlign w:val="center"/>
                </w:tcPr>
                <w:p w14:paraId="3B7C8966">
                  <w:pPr>
                    <w:keepNext w:val="0"/>
                    <w:keepLines w:val="0"/>
                    <w:widowControl/>
                    <w:suppressLineNumbers w:val="0"/>
                    <w:jc w:val="center"/>
                    <w:textAlignment w:val="center"/>
                    <w:rPr>
                      <w:rFonts w:hint="default" w:ascii="Times New Roman" w:hAnsi="Times New Roman" w:eastAsia="宋体" w:cs="Times New Roman"/>
                      <w:kern w:val="2"/>
                      <w:szCs w:val="21"/>
                      <w:u w:val="none" w:color="auto"/>
                      <w:lang w:val="en-US"/>
                    </w:rPr>
                  </w:pPr>
                  <w:r>
                    <w:rPr>
                      <w:rFonts w:hint="default" w:ascii="Times New Roman" w:hAnsi="Times New Roman" w:eastAsia="宋体" w:cs="Times New Roman"/>
                      <w:i w:val="0"/>
                      <w:iCs w:val="0"/>
                      <w:color w:val="000000"/>
                      <w:kern w:val="0"/>
                      <w:sz w:val="21"/>
                      <w:szCs w:val="21"/>
                      <w:u w:val="none" w:color="auto"/>
                      <w:lang w:val="en-US" w:eastAsia="zh-CN" w:bidi="ar"/>
                    </w:rPr>
                    <w:t>8</w:t>
                  </w:r>
                </w:p>
              </w:tc>
              <w:tc>
                <w:tcPr>
                  <w:tcW w:w="520" w:type="dxa"/>
                  <w:noWrap/>
                  <w:vAlign w:val="center"/>
                </w:tcPr>
                <w:p w14:paraId="63E7A068">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708" w:type="dxa"/>
                  <w:noWrap/>
                  <w:vAlign w:val="center"/>
                </w:tcPr>
                <w:p w14:paraId="77ADF842">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94</w:t>
                  </w:r>
                </w:p>
              </w:tc>
              <w:tc>
                <w:tcPr>
                  <w:tcW w:w="660" w:type="dxa"/>
                  <w:noWrap/>
                  <w:vAlign w:val="center"/>
                </w:tcPr>
                <w:p w14:paraId="6E66E728">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37.0</w:t>
                  </w:r>
                </w:p>
              </w:tc>
              <w:tc>
                <w:tcPr>
                  <w:tcW w:w="660" w:type="dxa"/>
                  <w:noWrap/>
                  <w:vAlign w:val="center"/>
                </w:tcPr>
                <w:p w14:paraId="4E9AA4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2B32D4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397" w:type="dxa"/>
                  <w:noWrap/>
                  <w:vAlign w:val="center"/>
                </w:tcPr>
                <w:p w14:paraId="227DEAE2">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4</w:t>
                  </w:r>
                </w:p>
              </w:tc>
              <w:tc>
                <w:tcPr>
                  <w:tcW w:w="585" w:type="dxa"/>
                  <w:vMerge w:val="continue"/>
                  <w:noWrap/>
                  <w:vAlign w:val="center"/>
                </w:tcPr>
                <w:p w14:paraId="2B544172">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noWrap/>
                  <w:vAlign w:val="center"/>
                </w:tcPr>
                <w:p w14:paraId="05CF0D16">
                  <w:pPr>
                    <w:keepNext w:val="0"/>
                    <w:keepLines w:val="0"/>
                    <w:widowControl/>
                    <w:suppressLineNumbers w:val="0"/>
                    <w:jc w:val="center"/>
                    <w:textAlignment w:val="center"/>
                    <w:rPr>
                      <w:rFonts w:hint="default" w:ascii="Times New Roman" w:hAnsi="Times New Roman" w:eastAsia="宋体" w:cs="Times New Roman"/>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涂布机（负极）</w:t>
                  </w:r>
                </w:p>
              </w:tc>
              <w:tc>
                <w:tcPr>
                  <w:tcW w:w="857" w:type="dxa"/>
                  <w:noWrap/>
                  <w:vAlign w:val="center"/>
                </w:tcPr>
                <w:p w14:paraId="39252392">
                  <w:pPr>
                    <w:keepNext w:val="0"/>
                    <w:keepLines w:val="0"/>
                    <w:widowControl/>
                    <w:suppressLineNumbers w:val="0"/>
                    <w:jc w:val="center"/>
                    <w:textAlignment w:val="center"/>
                    <w:rPr>
                      <w:rFonts w:hint="default" w:ascii="Times New Roman" w:hAnsi="Times New Roman" w:eastAsia="宋体" w:cs="Times New Roman"/>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75</w:t>
                  </w:r>
                </w:p>
              </w:tc>
              <w:tc>
                <w:tcPr>
                  <w:tcW w:w="687" w:type="dxa"/>
                  <w:noWrap/>
                  <w:vAlign w:val="center"/>
                </w:tcPr>
                <w:p w14:paraId="5380D289">
                  <w:pPr>
                    <w:keepNext w:val="0"/>
                    <w:keepLines w:val="0"/>
                    <w:widowControl/>
                    <w:suppressLineNumbers w:val="0"/>
                    <w:jc w:val="center"/>
                    <w:textAlignment w:val="center"/>
                    <w:rPr>
                      <w:rFonts w:hint="eastAsia"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w:t>
                  </w:r>
                </w:p>
              </w:tc>
              <w:tc>
                <w:tcPr>
                  <w:tcW w:w="687" w:type="dxa"/>
                  <w:vMerge w:val="continue"/>
                  <w:noWrap/>
                  <w:vAlign w:val="center"/>
                </w:tcPr>
                <w:p w14:paraId="6B3C4268">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noWrap/>
                  <w:vAlign w:val="center"/>
                </w:tcPr>
                <w:p w14:paraId="33FF722D">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-104</w:t>
                  </w:r>
                </w:p>
              </w:tc>
              <w:tc>
                <w:tcPr>
                  <w:tcW w:w="607" w:type="dxa"/>
                  <w:noWrap/>
                  <w:vAlign w:val="center"/>
                </w:tcPr>
                <w:p w14:paraId="5D5894B7">
                  <w:pPr>
                    <w:keepNext w:val="0"/>
                    <w:keepLines w:val="0"/>
                    <w:widowControl/>
                    <w:suppressLineNumbers w:val="0"/>
                    <w:jc w:val="center"/>
                    <w:textAlignment w:val="center"/>
                    <w:rPr>
                      <w:rFonts w:hint="default" w:ascii="Times New Roman" w:hAnsi="Times New Roman" w:eastAsia="宋体" w:cs="Times New Roman"/>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22</w:t>
                  </w:r>
                </w:p>
              </w:tc>
              <w:tc>
                <w:tcPr>
                  <w:tcW w:w="520" w:type="dxa"/>
                  <w:noWrap/>
                  <w:vAlign w:val="center"/>
                </w:tcPr>
                <w:p w14:paraId="4CF95137">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708" w:type="dxa"/>
                  <w:noWrap/>
                  <w:vAlign w:val="center"/>
                </w:tcPr>
                <w:p w14:paraId="51071028">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96</w:t>
                  </w:r>
                </w:p>
              </w:tc>
              <w:tc>
                <w:tcPr>
                  <w:tcW w:w="660" w:type="dxa"/>
                  <w:noWrap/>
                  <w:vAlign w:val="center"/>
                </w:tcPr>
                <w:p w14:paraId="17090F7E">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37.0</w:t>
                  </w:r>
                </w:p>
              </w:tc>
              <w:tc>
                <w:tcPr>
                  <w:tcW w:w="660" w:type="dxa"/>
                  <w:noWrap/>
                  <w:vAlign w:val="center"/>
                </w:tcPr>
                <w:p w14:paraId="0883A6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2FA2C5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397" w:type="dxa"/>
                  <w:noWrap/>
                  <w:vAlign w:val="center"/>
                </w:tcPr>
                <w:p w14:paraId="0E3A7D1A">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5</w:t>
                  </w:r>
                </w:p>
              </w:tc>
              <w:tc>
                <w:tcPr>
                  <w:tcW w:w="585" w:type="dxa"/>
                  <w:vMerge w:val="continue"/>
                  <w:noWrap/>
                  <w:vAlign w:val="center"/>
                </w:tcPr>
                <w:p w14:paraId="38938A12">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noWrap/>
                  <w:vAlign w:val="center"/>
                </w:tcPr>
                <w:p w14:paraId="12327237">
                  <w:pPr>
                    <w:keepNext w:val="0"/>
                    <w:keepLines w:val="0"/>
                    <w:widowControl/>
                    <w:suppressLineNumbers w:val="0"/>
                    <w:jc w:val="center"/>
                    <w:textAlignment w:val="center"/>
                    <w:rPr>
                      <w:rFonts w:hint="eastAsia" w:ascii="Times New Roman" w:hAnsi="Times New Roman" w:eastAsia="宋体" w:cs="Times New Roman"/>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辊压机（负极）</w:t>
                  </w:r>
                </w:p>
              </w:tc>
              <w:tc>
                <w:tcPr>
                  <w:tcW w:w="857" w:type="dxa"/>
                  <w:noWrap/>
                  <w:vAlign w:val="center"/>
                </w:tcPr>
                <w:p w14:paraId="2DDEB1C7">
                  <w:pPr>
                    <w:keepNext w:val="0"/>
                    <w:keepLines w:val="0"/>
                    <w:widowControl/>
                    <w:suppressLineNumbers w:val="0"/>
                    <w:jc w:val="center"/>
                    <w:textAlignment w:val="center"/>
                    <w:rPr>
                      <w:rFonts w:hint="default" w:ascii="Times New Roman" w:hAnsi="Times New Roman" w:eastAsia="宋体" w:cs="Times New Roman"/>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80</w:t>
                  </w:r>
                </w:p>
              </w:tc>
              <w:tc>
                <w:tcPr>
                  <w:tcW w:w="687" w:type="dxa"/>
                  <w:noWrap/>
                  <w:vAlign w:val="center"/>
                </w:tcPr>
                <w:p w14:paraId="6D3B4FCF">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w:t>
                  </w:r>
                </w:p>
              </w:tc>
              <w:tc>
                <w:tcPr>
                  <w:tcW w:w="687" w:type="dxa"/>
                  <w:vMerge w:val="continue"/>
                  <w:noWrap/>
                  <w:vAlign w:val="center"/>
                </w:tcPr>
                <w:p w14:paraId="3F56FCFA">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noWrap/>
                  <w:vAlign w:val="center"/>
                </w:tcPr>
                <w:p w14:paraId="04D1A534">
                  <w:pPr>
                    <w:keepNext w:val="0"/>
                    <w:keepLines w:val="0"/>
                    <w:widowControl/>
                    <w:suppressLineNumbers w:val="0"/>
                    <w:jc w:val="center"/>
                    <w:textAlignment w:val="center"/>
                    <w:rPr>
                      <w:rFonts w:hint="eastAsia"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-124</w:t>
                  </w:r>
                </w:p>
              </w:tc>
              <w:tc>
                <w:tcPr>
                  <w:tcW w:w="607" w:type="dxa"/>
                  <w:noWrap/>
                  <w:vAlign w:val="center"/>
                </w:tcPr>
                <w:p w14:paraId="59C0B27A">
                  <w:pPr>
                    <w:keepNext w:val="0"/>
                    <w:keepLines w:val="0"/>
                    <w:widowControl/>
                    <w:suppressLineNumbers w:val="0"/>
                    <w:jc w:val="center"/>
                    <w:textAlignment w:val="center"/>
                    <w:rPr>
                      <w:rFonts w:hint="default" w:ascii="Times New Roman" w:hAnsi="Times New Roman" w:eastAsia="宋体" w:cs="Times New Roman"/>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23</w:t>
                  </w:r>
                </w:p>
              </w:tc>
              <w:tc>
                <w:tcPr>
                  <w:tcW w:w="520" w:type="dxa"/>
                  <w:noWrap/>
                  <w:vAlign w:val="center"/>
                </w:tcPr>
                <w:p w14:paraId="20722303">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708" w:type="dxa"/>
                  <w:noWrap/>
                  <w:vAlign w:val="center"/>
                </w:tcPr>
                <w:p w14:paraId="5293E950">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104</w:t>
                  </w:r>
                </w:p>
              </w:tc>
              <w:tc>
                <w:tcPr>
                  <w:tcW w:w="660" w:type="dxa"/>
                  <w:noWrap/>
                  <w:vAlign w:val="center"/>
                </w:tcPr>
                <w:p w14:paraId="6825E0D7">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41.8</w:t>
                  </w:r>
                </w:p>
              </w:tc>
              <w:tc>
                <w:tcPr>
                  <w:tcW w:w="660" w:type="dxa"/>
                  <w:noWrap/>
                  <w:vAlign w:val="center"/>
                </w:tcPr>
                <w:p w14:paraId="534EAF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6B4A65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397" w:type="dxa"/>
                  <w:noWrap/>
                  <w:vAlign w:val="center"/>
                </w:tcPr>
                <w:p w14:paraId="2B33E19E">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6</w:t>
                  </w:r>
                </w:p>
              </w:tc>
              <w:tc>
                <w:tcPr>
                  <w:tcW w:w="585" w:type="dxa"/>
                  <w:vMerge w:val="continue"/>
                  <w:noWrap/>
                  <w:vAlign w:val="center"/>
                </w:tcPr>
                <w:p w14:paraId="4124D89A">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noWrap/>
                  <w:vAlign w:val="center"/>
                </w:tcPr>
                <w:p w14:paraId="39633BBF">
                  <w:pPr>
                    <w:keepNext w:val="0"/>
                    <w:keepLines w:val="0"/>
                    <w:widowControl/>
                    <w:suppressLineNumbers w:val="0"/>
                    <w:jc w:val="center"/>
                    <w:textAlignment w:val="center"/>
                    <w:rPr>
                      <w:rFonts w:hint="default" w:cs="Times New Roman"/>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辊压机（负极）</w:t>
                  </w:r>
                </w:p>
              </w:tc>
              <w:tc>
                <w:tcPr>
                  <w:tcW w:w="857" w:type="dxa"/>
                  <w:noWrap/>
                  <w:vAlign w:val="center"/>
                </w:tcPr>
                <w:p w14:paraId="55302FD1">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80</w:t>
                  </w:r>
                </w:p>
              </w:tc>
              <w:tc>
                <w:tcPr>
                  <w:tcW w:w="687" w:type="dxa"/>
                  <w:noWrap/>
                  <w:vAlign w:val="center"/>
                </w:tcPr>
                <w:p w14:paraId="657AF8CA">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w:t>
                  </w:r>
                </w:p>
              </w:tc>
              <w:tc>
                <w:tcPr>
                  <w:tcW w:w="687" w:type="dxa"/>
                  <w:vMerge w:val="continue"/>
                  <w:noWrap/>
                  <w:vAlign w:val="center"/>
                </w:tcPr>
                <w:p w14:paraId="78B1EF4D">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noWrap/>
                  <w:vAlign w:val="center"/>
                </w:tcPr>
                <w:p w14:paraId="65577342">
                  <w:pPr>
                    <w:keepNext w:val="0"/>
                    <w:keepLines w:val="0"/>
                    <w:widowControl/>
                    <w:suppressLineNumbers w:val="0"/>
                    <w:jc w:val="center"/>
                    <w:textAlignment w:val="center"/>
                    <w:rPr>
                      <w:rFonts w:hint="eastAsia"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-124</w:t>
                  </w:r>
                </w:p>
              </w:tc>
              <w:tc>
                <w:tcPr>
                  <w:tcW w:w="607" w:type="dxa"/>
                  <w:noWrap/>
                  <w:vAlign w:val="center"/>
                </w:tcPr>
                <w:p w14:paraId="0C53A2C7">
                  <w:pPr>
                    <w:keepNext w:val="0"/>
                    <w:keepLines w:val="0"/>
                    <w:widowControl/>
                    <w:suppressLineNumbers w:val="0"/>
                    <w:jc w:val="center"/>
                    <w:textAlignment w:val="center"/>
                    <w:rPr>
                      <w:rFonts w:hint="eastAsia" w:cs="Times New Roman"/>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18</w:t>
                  </w:r>
                </w:p>
              </w:tc>
              <w:tc>
                <w:tcPr>
                  <w:tcW w:w="520" w:type="dxa"/>
                  <w:noWrap/>
                  <w:vAlign w:val="center"/>
                </w:tcPr>
                <w:p w14:paraId="5EFB2F0A">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708" w:type="dxa"/>
                  <w:noWrap/>
                  <w:vAlign w:val="center"/>
                </w:tcPr>
                <w:p w14:paraId="042CAE21">
                  <w:pPr>
                    <w:keepNext w:val="0"/>
                    <w:keepLines w:val="0"/>
                    <w:widowControl/>
                    <w:suppressLineNumbers w:val="0"/>
                    <w:jc w:val="center"/>
                    <w:textAlignment w:val="center"/>
                    <w:rPr>
                      <w:rFonts w:hint="eastAsia"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96</w:t>
                  </w:r>
                </w:p>
              </w:tc>
              <w:tc>
                <w:tcPr>
                  <w:tcW w:w="660" w:type="dxa"/>
                  <w:noWrap/>
                  <w:vAlign w:val="center"/>
                </w:tcPr>
                <w:p w14:paraId="140CB04F">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42.0</w:t>
                  </w:r>
                </w:p>
              </w:tc>
              <w:tc>
                <w:tcPr>
                  <w:tcW w:w="660" w:type="dxa"/>
                  <w:noWrap/>
                  <w:vAlign w:val="center"/>
                </w:tcPr>
                <w:p w14:paraId="259B21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4E8A0E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397" w:type="dxa"/>
                  <w:noWrap/>
                  <w:vAlign w:val="center"/>
                </w:tcPr>
                <w:p w14:paraId="4495EA04">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7</w:t>
                  </w:r>
                </w:p>
              </w:tc>
              <w:tc>
                <w:tcPr>
                  <w:tcW w:w="585" w:type="dxa"/>
                  <w:vMerge w:val="continue"/>
                  <w:noWrap/>
                  <w:vAlign w:val="center"/>
                </w:tcPr>
                <w:p w14:paraId="78D534C5">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noWrap/>
                  <w:vAlign w:val="center"/>
                </w:tcPr>
                <w:p w14:paraId="6DE8CD84">
                  <w:pPr>
                    <w:keepNext w:val="0"/>
                    <w:keepLines w:val="0"/>
                    <w:widowControl/>
                    <w:suppressLineNumbers w:val="0"/>
                    <w:jc w:val="center"/>
                    <w:textAlignment w:val="center"/>
                    <w:rPr>
                      <w:rFonts w:hint="default" w:cs="Times New Roman"/>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分条机（正极）</w:t>
                  </w:r>
                </w:p>
              </w:tc>
              <w:tc>
                <w:tcPr>
                  <w:tcW w:w="857" w:type="dxa"/>
                  <w:noWrap/>
                  <w:vAlign w:val="center"/>
                </w:tcPr>
                <w:p w14:paraId="32DF9199">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80</w:t>
                  </w:r>
                </w:p>
              </w:tc>
              <w:tc>
                <w:tcPr>
                  <w:tcW w:w="687" w:type="dxa"/>
                  <w:noWrap/>
                  <w:vAlign w:val="center"/>
                </w:tcPr>
                <w:p w14:paraId="5C8F9B2E">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2</w:t>
                  </w:r>
                </w:p>
              </w:tc>
              <w:tc>
                <w:tcPr>
                  <w:tcW w:w="687" w:type="dxa"/>
                  <w:vMerge w:val="continue"/>
                  <w:noWrap/>
                  <w:vAlign w:val="center"/>
                </w:tcPr>
                <w:p w14:paraId="1D11CA3A">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noWrap/>
                  <w:vAlign w:val="center"/>
                </w:tcPr>
                <w:p w14:paraId="41058C24">
                  <w:pPr>
                    <w:keepNext w:val="0"/>
                    <w:keepLines w:val="0"/>
                    <w:widowControl/>
                    <w:suppressLineNumbers w:val="0"/>
                    <w:jc w:val="center"/>
                    <w:textAlignment w:val="center"/>
                    <w:rPr>
                      <w:rFonts w:hint="eastAsia"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-130</w:t>
                  </w:r>
                </w:p>
              </w:tc>
              <w:tc>
                <w:tcPr>
                  <w:tcW w:w="607" w:type="dxa"/>
                  <w:noWrap/>
                  <w:vAlign w:val="center"/>
                </w:tcPr>
                <w:p w14:paraId="703039D7">
                  <w:pPr>
                    <w:keepNext w:val="0"/>
                    <w:keepLines w:val="0"/>
                    <w:widowControl/>
                    <w:suppressLineNumbers w:val="0"/>
                    <w:jc w:val="center"/>
                    <w:textAlignment w:val="center"/>
                    <w:rPr>
                      <w:rFonts w:hint="eastAsia" w:cs="Times New Roman"/>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11</w:t>
                  </w:r>
                </w:p>
              </w:tc>
              <w:tc>
                <w:tcPr>
                  <w:tcW w:w="520" w:type="dxa"/>
                  <w:noWrap/>
                  <w:vAlign w:val="center"/>
                </w:tcPr>
                <w:p w14:paraId="43D0DAE2">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708" w:type="dxa"/>
                  <w:noWrap/>
                  <w:vAlign w:val="center"/>
                </w:tcPr>
                <w:p w14:paraId="59A74C44">
                  <w:pPr>
                    <w:keepNext w:val="0"/>
                    <w:keepLines w:val="0"/>
                    <w:widowControl/>
                    <w:suppressLineNumbers w:val="0"/>
                    <w:jc w:val="center"/>
                    <w:textAlignment w:val="center"/>
                    <w:rPr>
                      <w:rFonts w:hint="eastAsia"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110</w:t>
                  </w:r>
                </w:p>
              </w:tc>
              <w:tc>
                <w:tcPr>
                  <w:tcW w:w="660" w:type="dxa"/>
                  <w:noWrap/>
                  <w:vAlign w:val="center"/>
                </w:tcPr>
                <w:p w14:paraId="2DF12A3F">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44.7</w:t>
                  </w:r>
                </w:p>
              </w:tc>
              <w:tc>
                <w:tcPr>
                  <w:tcW w:w="660" w:type="dxa"/>
                  <w:noWrap/>
                  <w:vAlign w:val="center"/>
                </w:tcPr>
                <w:p w14:paraId="345420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060B09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397" w:type="dxa"/>
                  <w:noWrap/>
                  <w:vAlign w:val="center"/>
                </w:tcPr>
                <w:p w14:paraId="78F18030">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8</w:t>
                  </w:r>
                </w:p>
              </w:tc>
              <w:tc>
                <w:tcPr>
                  <w:tcW w:w="585" w:type="dxa"/>
                  <w:vMerge w:val="continue"/>
                  <w:noWrap/>
                  <w:vAlign w:val="center"/>
                </w:tcPr>
                <w:p w14:paraId="32D4C459">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noWrap/>
                  <w:vAlign w:val="center"/>
                </w:tcPr>
                <w:p w14:paraId="59299391">
                  <w:pPr>
                    <w:keepNext w:val="0"/>
                    <w:keepLines w:val="0"/>
                    <w:widowControl/>
                    <w:suppressLineNumbers w:val="0"/>
                    <w:jc w:val="center"/>
                    <w:textAlignment w:val="center"/>
                    <w:rPr>
                      <w:rFonts w:hint="eastAsia" w:cs="Times New Roman"/>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分条机（负极）</w:t>
                  </w:r>
                </w:p>
              </w:tc>
              <w:tc>
                <w:tcPr>
                  <w:tcW w:w="857" w:type="dxa"/>
                  <w:noWrap/>
                  <w:vAlign w:val="center"/>
                </w:tcPr>
                <w:p w14:paraId="7F4293AE">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80</w:t>
                  </w:r>
                </w:p>
              </w:tc>
              <w:tc>
                <w:tcPr>
                  <w:tcW w:w="687" w:type="dxa"/>
                  <w:noWrap/>
                  <w:vAlign w:val="center"/>
                </w:tcPr>
                <w:p w14:paraId="68B250DD">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2</w:t>
                  </w:r>
                </w:p>
              </w:tc>
              <w:tc>
                <w:tcPr>
                  <w:tcW w:w="687" w:type="dxa"/>
                  <w:vMerge w:val="continue"/>
                  <w:noWrap/>
                  <w:vAlign w:val="center"/>
                </w:tcPr>
                <w:p w14:paraId="3E63B6FA">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noWrap/>
                  <w:vAlign w:val="center"/>
                </w:tcPr>
                <w:p w14:paraId="37476DE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color="auto"/>
                      <w:lang w:val="en-US" w:eastAsia="zh-CN" w:bidi="ar"/>
                    </w:rPr>
                    <w:t>-130</w:t>
                  </w:r>
                </w:p>
              </w:tc>
              <w:tc>
                <w:tcPr>
                  <w:tcW w:w="607" w:type="dxa"/>
                  <w:noWrap/>
                  <w:vAlign w:val="center"/>
                </w:tcPr>
                <w:p w14:paraId="1090E30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color="auto"/>
                      <w:lang w:val="en-US" w:eastAsia="zh-CN" w:bidi="ar"/>
                    </w:rPr>
                    <w:t>21</w:t>
                  </w:r>
                </w:p>
              </w:tc>
              <w:tc>
                <w:tcPr>
                  <w:tcW w:w="520" w:type="dxa"/>
                  <w:noWrap/>
                  <w:vAlign w:val="center"/>
                </w:tcPr>
                <w:p w14:paraId="1B4846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708" w:type="dxa"/>
                  <w:noWrap/>
                  <w:vAlign w:val="center"/>
                </w:tcPr>
                <w:p w14:paraId="198EF28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color="auto"/>
                      <w:lang w:val="en-US" w:eastAsia="zh-CN" w:bidi="ar"/>
                    </w:rPr>
                    <w:t>112</w:t>
                  </w:r>
                </w:p>
              </w:tc>
              <w:tc>
                <w:tcPr>
                  <w:tcW w:w="660" w:type="dxa"/>
                  <w:noWrap/>
                  <w:vAlign w:val="center"/>
                </w:tcPr>
                <w:p w14:paraId="5CF8846B">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44.7</w:t>
                  </w:r>
                </w:p>
              </w:tc>
              <w:tc>
                <w:tcPr>
                  <w:tcW w:w="660" w:type="dxa"/>
                  <w:noWrap/>
                  <w:vAlign w:val="center"/>
                </w:tcPr>
                <w:p w14:paraId="147329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59F3B4D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02" w:hRule="atLeast"/>
                <w:jc w:val="center"/>
              </w:trPr>
              <w:tc>
                <w:tcPr>
                  <w:tcW w:w="397" w:type="dxa"/>
                  <w:noWrap/>
                  <w:vAlign w:val="center"/>
                </w:tcPr>
                <w:p w14:paraId="778703C1">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9</w:t>
                  </w:r>
                </w:p>
              </w:tc>
              <w:tc>
                <w:tcPr>
                  <w:tcW w:w="585" w:type="dxa"/>
                  <w:vMerge w:val="continue"/>
                  <w:noWrap/>
                  <w:vAlign w:val="center"/>
                </w:tcPr>
                <w:p w14:paraId="6C5DD3B8">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noWrap/>
                  <w:vAlign w:val="center"/>
                </w:tcPr>
                <w:p w14:paraId="359C5FB5">
                  <w:pPr>
                    <w:keepNext w:val="0"/>
                    <w:keepLines w:val="0"/>
                    <w:widowControl/>
                    <w:suppressLineNumbers w:val="0"/>
                    <w:jc w:val="center"/>
                    <w:textAlignment w:val="center"/>
                    <w:rPr>
                      <w:rFonts w:hint="eastAsia" w:cs="Times New Roman"/>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制片机</w:t>
                  </w:r>
                </w:p>
              </w:tc>
              <w:tc>
                <w:tcPr>
                  <w:tcW w:w="857" w:type="dxa"/>
                  <w:noWrap/>
                  <w:vAlign w:val="center"/>
                </w:tcPr>
                <w:p w14:paraId="12E0700E">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75</w:t>
                  </w:r>
                </w:p>
              </w:tc>
              <w:tc>
                <w:tcPr>
                  <w:tcW w:w="687" w:type="dxa"/>
                  <w:noWrap/>
                  <w:vAlign w:val="center"/>
                </w:tcPr>
                <w:p w14:paraId="5858C8C4">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40</w:t>
                  </w:r>
                </w:p>
              </w:tc>
              <w:tc>
                <w:tcPr>
                  <w:tcW w:w="687" w:type="dxa"/>
                  <w:vMerge w:val="continue"/>
                  <w:noWrap/>
                  <w:vAlign w:val="center"/>
                </w:tcPr>
                <w:p w14:paraId="0290A7AA">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noWrap/>
                  <w:vAlign w:val="center"/>
                </w:tcPr>
                <w:p w14:paraId="382823F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152</w:t>
                  </w:r>
                </w:p>
              </w:tc>
              <w:tc>
                <w:tcPr>
                  <w:tcW w:w="607" w:type="dxa"/>
                  <w:noWrap/>
                  <w:vAlign w:val="center"/>
                </w:tcPr>
                <w:p w14:paraId="25F373B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50</w:t>
                  </w:r>
                </w:p>
              </w:tc>
              <w:tc>
                <w:tcPr>
                  <w:tcW w:w="520" w:type="dxa"/>
                  <w:noWrap/>
                  <w:vAlign w:val="center"/>
                </w:tcPr>
                <w:p w14:paraId="100011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708" w:type="dxa"/>
                  <w:noWrap/>
                  <w:vAlign w:val="center"/>
                </w:tcPr>
                <w:p w14:paraId="5C7CB85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140</w:t>
                  </w:r>
                </w:p>
              </w:tc>
              <w:tc>
                <w:tcPr>
                  <w:tcW w:w="660" w:type="dxa"/>
                  <w:noWrap/>
                  <w:vAlign w:val="center"/>
                </w:tcPr>
                <w:p w14:paraId="018755DF">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52.4</w:t>
                  </w:r>
                </w:p>
              </w:tc>
              <w:tc>
                <w:tcPr>
                  <w:tcW w:w="660" w:type="dxa"/>
                  <w:noWrap/>
                  <w:vAlign w:val="center"/>
                </w:tcPr>
                <w:p w14:paraId="428DAA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5821480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397" w:type="dxa"/>
                  <w:noWrap/>
                  <w:vAlign w:val="center"/>
                </w:tcPr>
                <w:p w14:paraId="4A8687D1">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10</w:t>
                  </w:r>
                </w:p>
              </w:tc>
              <w:tc>
                <w:tcPr>
                  <w:tcW w:w="585" w:type="dxa"/>
                  <w:vMerge w:val="continue"/>
                  <w:noWrap/>
                  <w:vAlign w:val="center"/>
                </w:tcPr>
                <w:p w14:paraId="21BF428C">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noWrap/>
                  <w:vAlign w:val="center"/>
                </w:tcPr>
                <w:p w14:paraId="48239544">
                  <w:pPr>
                    <w:keepNext w:val="0"/>
                    <w:keepLines w:val="0"/>
                    <w:widowControl/>
                    <w:suppressLineNumbers w:val="0"/>
                    <w:jc w:val="center"/>
                    <w:textAlignment w:val="center"/>
                    <w:rPr>
                      <w:rFonts w:hint="eastAsia" w:cs="Times New Roman"/>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卷绕机</w:t>
                  </w:r>
                </w:p>
              </w:tc>
              <w:tc>
                <w:tcPr>
                  <w:tcW w:w="857" w:type="dxa"/>
                  <w:noWrap/>
                  <w:vAlign w:val="center"/>
                </w:tcPr>
                <w:p w14:paraId="77CCE84E">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70</w:t>
                  </w:r>
                </w:p>
              </w:tc>
              <w:tc>
                <w:tcPr>
                  <w:tcW w:w="687" w:type="dxa"/>
                  <w:noWrap/>
                  <w:vAlign w:val="center"/>
                </w:tcPr>
                <w:p w14:paraId="59EE603E">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54</w:t>
                  </w:r>
                </w:p>
              </w:tc>
              <w:tc>
                <w:tcPr>
                  <w:tcW w:w="687" w:type="dxa"/>
                  <w:vMerge w:val="continue"/>
                  <w:noWrap/>
                  <w:vAlign w:val="center"/>
                </w:tcPr>
                <w:p w14:paraId="7EC9B6A9">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noWrap/>
                  <w:vAlign w:val="center"/>
                </w:tcPr>
                <w:p w14:paraId="7093DE7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181</w:t>
                  </w:r>
                </w:p>
              </w:tc>
              <w:tc>
                <w:tcPr>
                  <w:tcW w:w="607" w:type="dxa"/>
                  <w:noWrap/>
                  <w:vAlign w:val="center"/>
                </w:tcPr>
                <w:p w14:paraId="736835B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48</w:t>
                  </w:r>
                </w:p>
              </w:tc>
              <w:tc>
                <w:tcPr>
                  <w:tcW w:w="520" w:type="dxa"/>
                  <w:noWrap/>
                  <w:vAlign w:val="center"/>
                </w:tcPr>
                <w:p w14:paraId="6D47EE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708" w:type="dxa"/>
                  <w:noWrap/>
                  <w:vAlign w:val="center"/>
                </w:tcPr>
                <w:p w14:paraId="579E4FB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167</w:t>
                  </w:r>
                </w:p>
              </w:tc>
              <w:tc>
                <w:tcPr>
                  <w:tcW w:w="660" w:type="dxa"/>
                  <w:noWrap/>
                  <w:vAlign w:val="center"/>
                </w:tcPr>
                <w:p w14:paraId="1D8728DB">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48.3</w:t>
                  </w:r>
                </w:p>
              </w:tc>
              <w:tc>
                <w:tcPr>
                  <w:tcW w:w="660" w:type="dxa"/>
                  <w:noWrap/>
                  <w:vAlign w:val="center"/>
                </w:tcPr>
                <w:p w14:paraId="7BBFF0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4F698F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1" w:hRule="atLeast"/>
                <w:jc w:val="center"/>
              </w:trPr>
              <w:tc>
                <w:tcPr>
                  <w:tcW w:w="397" w:type="dxa"/>
                  <w:noWrap/>
                  <w:vAlign w:val="center"/>
                </w:tcPr>
                <w:p w14:paraId="0AE99F0E">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11</w:t>
                  </w:r>
                </w:p>
              </w:tc>
              <w:tc>
                <w:tcPr>
                  <w:tcW w:w="585" w:type="dxa"/>
                  <w:vMerge w:val="continue"/>
                  <w:noWrap/>
                  <w:vAlign w:val="center"/>
                </w:tcPr>
                <w:p w14:paraId="0DCE38CA">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noWrap/>
                  <w:vAlign w:val="center"/>
                </w:tcPr>
                <w:p w14:paraId="0EA6757D">
                  <w:pPr>
                    <w:keepNext w:val="0"/>
                    <w:keepLines w:val="0"/>
                    <w:widowControl/>
                    <w:suppressLineNumbers w:val="0"/>
                    <w:jc w:val="center"/>
                    <w:textAlignment w:val="center"/>
                    <w:rPr>
                      <w:rFonts w:hint="eastAsia" w:cs="Times New Roman"/>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装配注液一体机</w:t>
                  </w:r>
                </w:p>
              </w:tc>
              <w:tc>
                <w:tcPr>
                  <w:tcW w:w="857" w:type="dxa"/>
                  <w:noWrap/>
                  <w:vAlign w:val="center"/>
                </w:tcPr>
                <w:p w14:paraId="4E903455">
                  <w:pPr>
                    <w:keepNext w:val="0"/>
                    <w:keepLines w:val="0"/>
                    <w:widowControl/>
                    <w:suppressLineNumbers w:val="0"/>
                    <w:jc w:val="center"/>
                    <w:textAlignment w:val="center"/>
                    <w:rPr>
                      <w:rFonts w:hint="eastAsia"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75</w:t>
                  </w:r>
                </w:p>
              </w:tc>
              <w:tc>
                <w:tcPr>
                  <w:tcW w:w="687" w:type="dxa"/>
                  <w:noWrap/>
                  <w:vAlign w:val="center"/>
                </w:tcPr>
                <w:p w14:paraId="1D9558A0">
                  <w:pPr>
                    <w:keepNext w:val="0"/>
                    <w:keepLines w:val="0"/>
                    <w:widowControl/>
                    <w:suppressLineNumbers w:val="0"/>
                    <w:jc w:val="center"/>
                    <w:textAlignment w:val="center"/>
                    <w:rPr>
                      <w:rFonts w:hint="eastAsia"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34</w:t>
                  </w:r>
                </w:p>
              </w:tc>
              <w:tc>
                <w:tcPr>
                  <w:tcW w:w="687" w:type="dxa"/>
                  <w:vMerge w:val="continue"/>
                  <w:noWrap/>
                  <w:vAlign w:val="center"/>
                </w:tcPr>
                <w:p w14:paraId="64F092D6">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noWrap/>
                  <w:vAlign w:val="center"/>
                </w:tcPr>
                <w:p w14:paraId="509C191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232</w:t>
                  </w:r>
                </w:p>
              </w:tc>
              <w:tc>
                <w:tcPr>
                  <w:tcW w:w="607" w:type="dxa"/>
                  <w:noWrap/>
                  <w:vAlign w:val="center"/>
                </w:tcPr>
                <w:p w14:paraId="2837D6D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33</w:t>
                  </w:r>
                </w:p>
              </w:tc>
              <w:tc>
                <w:tcPr>
                  <w:tcW w:w="520" w:type="dxa"/>
                  <w:noWrap/>
                  <w:vAlign w:val="center"/>
                </w:tcPr>
                <w:p w14:paraId="16F272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1.2</w:t>
                  </w:r>
                </w:p>
              </w:tc>
              <w:tc>
                <w:tcPr>
                  <w:tcW w:w="708" w:type="dxa"/>
                  <w:noWrap/>
                  <w:vAlign w:val="center"/>
                </w:tcPr>
                <w:p w14:paraId="44BFC37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219</w:t>
                  </w:r>
                </w:p>
              </w:tc>
              <w:tc>
                <w:tcPr>
                  <w:tcW w:w="660" w:type="dxa"/>
                  <w:noWrap/>
                  <w:vAlign w:val="center"/>
                </w:tcPr>
                <w:p w14:paraId="3885FCF4">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51.1</w:t>
                  </w:r>
                </w:p>
              </w:tc>
              <w:tc>
                <w:tcPr>
                  <w:tcW w:w="660" w:type="dxa"/>
                  <w:noWrap/>
                  <w:vAlign w:val="center"/>
                </w:tcPr>
                <w:p w14:paraId="061451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113B67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1" w:hRule="atLeast"/>
                <w:jc w:val="center"/>
              </w:trPr>
              <w:tc>
                <w:tcPr>
                  <w:tcW w:w="397" w:type="dxa"/>
                  <w:noWrap/>
                  <w:vAlign w:val="center"/>
                </w:tcPr>
                <w:p w14:paraId="198BCDAD">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585" w:type="dxa"/>
                  <w:vMerge w:val="continue"/>
                  <w:noWrap/>
                  <w:vAlign w:val="center"/>
                </w:tcPr>
                <w:p w14:paraId="22F59CF3">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noWrap/>
                  <w:vAlign w:val="center"/>
                </w:tcPr>
                <w:p w14:paraId="41E34FF3">
                  <w:pPr>
                    <w:keepNext w:val="0"/>
                    <w:keepLines w:val="0"/>
                    <w:widowControl/>
                    <w:suppressLineNumbers w:val="0"/>
                    <w:jc w:val="center"/>
                    <w:textAlignment w:val="center"/>
                    <w:rPr>
                      <w:rFonts w:hint="eastAsia" w:cs="Times New Roman"/>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手套箱注液线</w:t>
                  </w:r>
                </w:p>
              </w:tc>
              <w:tc>
                <w:tcPr>
                  <w:tcW w:w="857" w:type="dxa"/>
                  <w:noWrap/>
                  <w:vAlign w:val="center"/>
                </w:tcPr>
                <w:p w14:paraId="5BAB2EF0">
                  <w:pPr>
                    <w:keepNext w:val="0"/>
                    <w:keepLines w:val="0"/>
                    <w:widowControl/>
                    <w:suppressLineNumbers w:val="0"/>
                    <w:jc w:val="center"/>
                    <w:textAlignment w:val="center"/>
                    <w:rPr>
                      <w:rFonts w:hint="eastAsia"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70</w:t>
                  </w:r>
                </w:p>
              </w:tc>
              <w:tc>
                <w:tcPr>
                  <w:tcW w:w="687" w:type="dxa"/>
                  <w:noWrap/>
                  <w:vAlign w:val="center"/>
                </w:tcPr>
                <w:p w14:paraId="75777C08">
                  <w:pPr>
                    <w:keepNext w:val="0"/>
                    <w:keepLines w:val="0"/>
                    <w:widowControl/>
                    <w:suppressLineNumbers w:val="0"/>
                    <w:jc w:val="center"/>
                    <w:textAlignment w:val="center"/>
                    <w:rPr>
                      <w:rFonts w:hint="eastAsia"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w:t>
                  </w:r>
                </w:p>
              </w:tc>
              <w:tc>
                <w:tcPr>
                  <w:tcW w:w="687" w:type="dxa"/>
                  <w:vMerge w:val="continue"/>
                  <w:noWrap/>
                  <w:vAlign w:val="center"/>
                </w:tcPr>
                <w:p w14:paraId="6A420249">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noWrap/>
                  <w:vAlign w:val="center"/>
                </w:tcPr>
                <w:p w14:paraId="43A15A9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220</w:t>
                  </w:r>
                </w:p>
              </w:tc>
              <w:tc>
                <w:tcPr>
                  <w:tcW w:w="607" w:type="dxa"/>
                  <w:noWrap/>
                  <w:vAlign w:val="center"/>
                </w:tcPr>
                <w:p w14:paraId="3EC9DDD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54</w:t>
                  </w:r>
                </w:p>
              </w:tc>
              <w:tc>
                <w:tcPr>
                  <w:tcW w:w="520" w:type="dxa"/>
                  <w:noWrap/>
                  <w:vAlign w:val="center"/>
                </w:tcPr>
                <w:p w14:paraId="50FC1B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1.2</w:t>
                  </w:r>
                </w:p>
              </w:tc>
              <w:tc>
                <w:tcPr>
                  <w:tcW w:w="708" w:type="dxa"/>
                  <w:noWrap/>
                  <w:vAlign w:val="center"/>
                </w:tcPr>
                <w:p w14:paraId="65EF1A0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210</w:t>
                  </w:r>
                </w:p>
              </w:tc>
              <w:tc>
                <w:tcPr>
                  <w:tcW w:w="660" w:type="dxa"/>
                  <w:noWrap/>
                  <w:vAlign w:val="center"/>
                </w:tcPr>
                <w:p w14:paraId="0E7CD2EC">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37.1</w:t>
                  </w:r>
                </w:p>
              </w:tc>
              <w:tc>
                <w:tcPr>
                  <w:tcW w:w="660" w:type="dxa"/>
                  <w:noWrap/>
                  <w:vAlign w:val="center"/>
                </w:tcPr>
                <w:p w14:paraId="384848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673F63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397" w:type="dxa"/>
                  <w:noWrap/>
                  <w:vAlign w:val="center"/>
                </w:tcPr>
                <w:p w14:paraId="74566D2F">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13</w:t>
                  </w:r>
                </w:p>
              </w:tc>
              <w:tc>
                <w:tcPr>
                  <w:tcW w:w="585" w:type="dxa"/>
                  <w:vMerge w:val="continue"/>
                  <w:noWrap/>
                  <w:vAlign w:val="center"/>
                </w:tcPr>
                <w:p w14:paraId="7CDEE3F0">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noWrap/>
                  <w:vAlign w:val="center"/>
                </w:tcPr>
                <w:p w14:paraId="072542E5">
                  <w:pPr>
                    <w:keepNext w:val="0"/>
                    <w:keepLines w:val="0"/>
                    <w:widowControl/>
                    <w:suppressLineNumbers w:val="0"/>
                    <w:jc w:val="center"/>
                    <w:textAlignment w:val="center"/>
                    <w:rPr>
                      <w:rFonts w:hint="eastAsia" w:cs="Times New Roman"/>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制氮机</w:t>
                  </w:r>
                </w:p>
              </w:tc>
              <w:tc>
                <w:tcPr>
                  <w:tcW w:w="857" w:type="dxa"/>
                  <w:noWrap/>
                  <w:vAlign w:val="center"/>
                </w:tcPr>
                <w:p w14:paraId="5864C84E">
                  <w:pPr>
                    <w:keepNext w:val="0"/>
                    <w:keepLines w:val="0"/>
                    <w:widowControl/>
                    <w:suppressLineNumbers w:val="0"/>
                    <w:jc w:val="center"/>
                    <w:textAlignment w:val="center"/>
                    <w:rPr>
                      <w:rFonts w:hint="eastAsia"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80</w:t>
                  </w:r>
                </w:p>
              </w:tc>
              <w:tc>
                <w:tcPr>
                  <w:tcW w:w="687" w:type="dxa"/>
                  <w:noWrap/>
                  <w:vAlign w:val="center"/>
                </w:tcPr>
                <w:p w14:paraId="35F615B8">
                  <w:pPr>
                    <w:keepNext w:val="0"/>
                    <w:keepLines w:val="0"/>
                    <w:widowControl/>
                    <w:suppressLineNumbers w:val="0"/>
                    <w:jc w:val="center"/>
                    <w:textAlignment w:val="center"/>
                    <w:rPr>
                      <w:rFonts w:hint="eastAsia"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w:t>
                  </w:r>
                </w:p>
              </w:tc>
              <w:tc>
                <w:tcPr>
                  <w:tcW w:w="687" w:type="dxa"/>
                  <w:vMerge w:val="continue"/>
                  <w:noWrap/>
                  <w:vAlign w:val="center"/>
                </w:tcPr>
                <w:p w14:paraId="7FA2255A">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noWrap/>
                  <w:vAlign w:val="center"/>
                </w:tcPr>
                <w:p w14:paraId="5055B8C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240</w:t>
                  </w:r>
                </w:p>
              </w:tc>
              <w:tc>
                <w:tcPr>
                  <w:tcW w:w="607" w:type="dxa"/>
                  <w:noWrap/>
                  <w:vAlign w:val="center"/>
                </w:tcPr>
                <w:p w14:paraId="43B4A80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48</w:t>
                  </w:r>
                </w:p>
              </w:tc>
              <w:tc>
                <w:tcPr>
                  <w:tcW w:w="520" w:type="dxa"/>
                  <w:noWrap/>
                  <w:vAlign w:val="center"/>
                </w:tcPr>
                <w:p w14:paraId="397052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1.2</w:t>
                  </w:r>
                </w:p>
              </w:tc>
              <w:tc>
                <w:tcPr>
                  <w:tcW w:w="708" w:type="dxa"/>
                  <w:noWrap/>
                  <w:vAlign w:val="center"/>
                </w:tcPr>
                <w:p w14:paraId="1A031F9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223</w:t>
                  </w:r>
                </w:p>
              </w:tc>
              <w:tc>
                <w:tcPr>
                  <w:tcW w:w="660" w:type="dxa"/>
                  <w:noWrap/>
                  <w:vAlign w:val="center"/>
                </w:tcPr>
                <w:p w14:paraId="6BD94F2D">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41.1</w:t>
                  </w:r>
                </w:p>
              </w:tc>
              <w:tc>
                <w:tcPr>
                  <w:tcW w:w="660" w:type="dxa"/>
                  <w:noWrap/>
                  <w:vAlign w:val="center"/>
                </w:tcPr>
                <w:p w14:paraId="25FF82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044D5C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21" w:hRule="atLeast"/>
                <w:jc w:val="center"/>
              </w:trPr>
              <w:tc>
                <w:tcPr>
                  <w:tcW w:w="397" w:type="dxa"/>
                  <w:tcBorders>
                    <w:bottom w:val="single" w:color="000000" w:sz="8" w:space="0"/>
                  </w:tcBorders>
                  <w:noWrap/>
                  <w:vAlign w:val="center"/>
                </w:tcPr>
                <w:p w14:paraId="01BF7CD3">
                  <w:pPr>
                    <w:keepNext w:val="0"/>
                    <w:keepLines w:val="0"/>
                    <w:widowControl/>
                    <w:suppressLineNumbers w:val="0"/>
                    <w:jc w:val="center"/>
                    <w:textAlignment w:val="center"/>
                    <w:rPr>
                      <w:rFonts w:hint="default" w:ascii="Times New Roman" w:hAnsi="Times New Roman" w:eastAsia="宋体" w:cs="Times New Roman"/>
                      <w:bCs/>
                      <w:kern w:val="2"/>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14</w:t>
                  </w:r>
                </w:p>
              </w:tc>
              <w:tc>
                <w:tcPr>
                  <w:tcW w:w="585" w:type="dxa"/>
                  <w:vMerge w:val="continue"/>
                  <w:tcBorders>
                    <w:bottom w:val="single" w:color="000000" w:sz="8" w:space="0"/>
                  </w:tcBorders>
                  <w:noWrap/>
                  <w:vAlign w:val="center"/>
                </w:tcPr>
                <w:p w14:paraId="02EDB22F">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965" w:type="dxa"/>
                  <w:tcBorders>
                    <w:bottom w:val="single" w:color="000000" w:sz="8" w:space="0"/>
                  </w:tcBorders>
                  <w:noWrap/>
                  <w:vAlign w:val="center"/>
                </w:tcPr>
                <w:p w14:paraId="3EC86B54">
                  <w:pPr>
                    <w:keepNext w:val="0"/>
                    <w:keepLines w:val="0"/>
                    <w:widowControl/>
                    <w:suppressLineNumbers w:val="0"/>
                    <w:jc w:val="center"/>
                    <w:textAlignment w:val="center"/>
                    <w:rPr>
                      <w:rFonts w:hint="eastAsia" w:cs="Times New Roman"/>
                      <w:szCs w:val="21"/>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真空泵</w:t>
                  </w:r>
                </w:p>
              </w:tc>
              <w:tc>
                <w:tcPr>
                  <w:tcW w:w="857" w:type="dxa"/>
                  <w:tcBorders>
                    <w:bottom w:val="single" w:color="000000" w:sz="8" w:space="0"/>
                  </w:tcBorders>
                  <w:noWrap/>
                  <w:vAlign w:val="center"/>
                </w:tcPr>
                <w:p w14:paraId="506B1506">
                  <w:pPr>
                    <w:keepNext w:val="0"/>
                    <w:keepLines w:val="0"/>
                    <w:widowControl/>
                    <w:suppressLineNumbers w:val="0"/>
                    <w:jc w:val="center"/>
                    <w:textAlignment w:val="center"/>
                    <w:rPr>
                      <w:rFonts w:hint="eastAsia"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85</w:t>
                  </w:r>
                </w:p>
              </w:tc>
              <w:tc>
                <w:tcPr>
                  <w:tcW w:w="687" w:type="dxa"/>
                  <w:tcBorders>
                    <w:bottom w:val="single" w:color="000000" w:sz="8" w:space="0"/>
                  </w:tcBorders>
                  <w:noWrap/>
                  <w:vAlign w:val="center"/>
                </w:tcPr>
                <w:p w14:paraId="1912B86A">
                  <w:pPr>
                    <w:keepNext w:val="0"/>
                    <w:keepLines w:val="0"/>
                    <w:widowControl/>
                    <w:suppressLineNumbers w:val="0"/>
                    <w:jc w:val="center"/>
                    <w:textAlignment w:val="center"/>
                    <w:rPr>
                      <w:rFonts w:hint="eastAsia" w:cs="Times New Roman"/>
                      <w:bCs/>
                      <w:kern w:val="2"/>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9</w:t>
                  </w:r>
                </w:p>
              </w:tc>
              <w:tc>
                <w:tcPr>
                  <w:tcW w:w="687" w:type="dxa"/>
                  <w:vMerge w:val="continue"/>
                  <w:tcBorders>
                    <w:bottom w:val="single" w:color="000000" w:sz="8" w:space="0"/>
                  </w:tcBorders>
                  <w:noWrap/>
                  <w:vAlign w:val="center"/>
                </w:tcPr>
                <w:p w14:paraId="24BEB149">
                  <w:pPr>
                    <w:tabs>
                      <w:tab w:val="left" w:pos="3620"/>
                    </w:tabs>
                    <w:adjustRightInd w:val="0"/>
                    <w:snapToGrid w:val="0"/>
                    <w:jc w:val="center"/>
                    <w:rPr>
                      <w:rFonts w:hint="default" w:ascii="Times New Roman" w:hAnsi="Times New Roman" w:eastAsia="宋体" w:cs="Times New Roman"/>
                      <w:bCs/>
                      <w:kern w:val="2"/>
                      <w:szCs w:val="21"/>
                      <w:u w:val="none" w:color="auto"/>
                    </w:rPr>
                  </w:pPr>
                </w:p>
              </w:tc>
              <w:tc>
                <w:tcPr>
                  <w:tcW w:w="687" w:type="dxa"/>
                  <w:tcBorders>
                    <w:bottom w:val="single" w:color="000000" w:sz="8" w:space="0"/>
                  </w:tcBorders>
                  <w:noWrap/>
                  <w:vAlign w:val="center"/>
                </w:tcPr>
                <w:p w14:paraId="2021E0B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235</w:t>
                  </w:r>
                </w:p>
              </w:tc>
              <w:tc>
                <w:tcPr>
                  <w:tcW w:w="607" w:type="dxa"/>
                  <w:tcBorders>
                    <w:bottom w:val="single" w:color="000000" w:sz="8" w:space="0"/>
                  </w:tcBorders>
                  <w:noWrap/>
                  <w:vAlign w:val="center"/>
                </w:tcPr>
                <w:p w14:paraId="32F9BC1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38</w:t>
                  </w:r>
                </w:p>
              </w:tc>
              <w:tc>
                <w:tcPr>
                  <w:tcW w:w="520" w:type="dxa"/>
                  <w:tcBorders>
                    <w:bottom w:val="single" w:color="000000" w:sz="8" w:space="0"/>
                  </w:tcBorders>
                  <w:noWrap/>
                  <w:vAlign w:val="center"/>
                </w:tcPr>
                <w:p w14:paraId="4D8713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1.2</w:t>
                  </w:r>
                </w:p>
              </w:tc>
              <w:tc>
                <w:tcPr>
                  <w:tcW w:w="708" w:type="dxa"/>
                  <w:tcBorders>
                    <w:bottom w:val="single" w:color="000000" w:sz="8" w:space="0"/>
                  </w:tcBorders>
                  <w:noWrap/>
                  <w:vAlign w:val="center"/>
                </w:tcPr>
                <w:p w14:paraId="719CA0B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218</w:t>
                  </w:r>
                </w:p>
              </w:tc>
              <w:tc>
                <w:tcPr>
                  <w:tcW w:w="660" w:type="dxa"/>
                  <w:tcBorders>
                    <w:bottom w:val="single" w:color="000000" w:sz="8" w:space="0"/>
                  </w:tcBorders>
                  <w:noWrap/>
                  <w:vAlign w:val="center"/>
                </w:tcPr>
                <w:p w14:paraId="6B18F8D5">
                  <w:pPr>
                    <w:keepNext w:val="0"/>
                    <w:keepLines w:val="0"/>
                    <w:widowControl/>
                    <w:suppressLineNumbers w:val="0"/>
                    <w:jc w:val="center"/>
                    <w:textAlignment w:val="center"/>
                    <w:rPr>
                      <w:rFonts w:hint="default" w:ascii="Times New Roman" w:hAnsi="Times New Roman" w:eastAsia="宋体" w:cs="Times New Roman"/>
                      <w:bCs/>
                      <w:kern w:val="2"/>
                      <w:sz w:val="21"/>
                      <w:szCs w:val="21"/>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56.1</w:t>
                  </w:r>
                </w:p>
              </w:tc>
              <w:tc>
                <w:tcPr>
                  <w:tcW w:w="660" w:type="dxa"/>
                  <w:tcBorders>
                    <w:bottom w:val="single" w:color="000000" w:sz="8" w:space="0"/>
                  </w:tcBorders>
                  <w:noWrap/>
                  <w:vAlign w:val="center"/>
                </w:tcPr>
                <w:p w14:paraId="3B4271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bookmarkEnd w:id="43"/>
          </w:tbl>
          <w:p w14:paraId="274C42A7">
            <w:pPr>
              <w:keepNext w:val="0"/>
              <w:keepLines w:val="0"/>
              <w:suppressLineNumbers w:val="0"/>
              <w:spacing w:before="0" w:beforeAutospacing="0" w:after="0" w:afterAutospacing="0" w:line="440" w:lineRule="exact"/>
              <w:ind w:left="0" w:right="0" w:firstLine="480" w:firstLineChars="200"/>
              <w:rPr>
                <w:rFonts w:hint="default"/>
                <w:sz w:val="24"/>
                <w:u w:val="none" w:color="auto"/>
              </w:rPr>
            </w:pPr>
            <w:r>
              <w:rPr>
                <w:rFonts w:hint="default"/>
                <w:sz w:val="24"/>
                <w:u w:val="none" w:color="auto"/>
              </w:rPr>
              <w:t>本项目主要噪声源的</w:t>
            </w:r>
            <w:r>
              <w:rPr>
                <w:rFonts w:hint="eastAsia"/>
                <w:sz w:val="24"/>
                <w:u w:val="none" w:color="auto"/>
                <w:lang w:val="en-US" w:eastAsia="zh-CN"/>
              </w:rPr>
              <w:t>叠加</w:t>
            </w:r>
            <w:r>
              <w:rPr>
                <w:rFonts w:hint="default"/>
                <w:sz w:val="24"/>
                <w:u w:val="none" w:color="auto"/>
              </w:rPr>
              <w:t>声级及治理情况见下表。</w:t>
            </w:r>
          </w:p>
          <w:p w14:paraId="14DACD78">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imes New Roman" w:hAnsi="Times New Roman" w:eastAsia="宋体" w:cs="Times New Roman"/>
                <w:b/>
                <w:sz w:val="24"/>
                <w:u w:val="none" w:color="auto"/>
                <w:lang w:val="en-US" w:eastAsia="zh-CN"/>
              </w:rPr>
            </w:pPr>
            <w:r>
              <w:rPr>
                <w:rFonts w:hint="eastAsia" w:ascii="Times New Roman" w:hAnsi="Times New Roman" w:eastAsia="宋体" w:cs="Times New Roman"/>
                <w:b/>
                <w:sz w:val="24"/>
                <w:u w:val="none" w:color="auto"/>
                <w:lang w:val="en-US" w:eastAsia="zh-CN"/>
              </w:rPr>
              <w:t>表4-</w:t>
            </w:r>
            <w:r>
              <w:rPr>
                <w:rFonts w:hint="eastAsia" w:cs="Times New Roman"/>
                <w:b/>
                <w:sz w:val="24"/>
                <w:u w:val="none" w:color="auto"/>
                <w:lang w:val="en-US" w:eastAsia="zh-CN"/>
              </w:rPr>
              <w:t>21</w:t>
            </w:r>
            <w:r>
              <w:rPr>
                <w:rFonts w:hint="eastAsia" w:ascii="Times New Roman" w:hAnsi="Times New Roman" w:eastAsia="宋体" w:cs="Times New Roman"/>
                <w:b/>
                <w:sz w:val="24"/>
                <w:u w:val="none" w:color="auto"/>
                <w:lang w:val="en-US" w:eastAsia="zh-CN"/>
              </w:rPr>
              <w:t xml:space="preserve">    本项目叠加噪声级</w:t>
            </w:r>
          </w:p>
          <w:tbl>
            <w:tblPr>
              <w:tblStyle w:val="32"/>
              <w:tblW w:w="7738" w:type="dxa"/>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253"/>
              <w:gridCol w:w="2252"/>
              <w:gridCol w:w="1617"/>
              <w:gridCol w:w="1616"/>
            </w:tblGrid>
            <w:tr w14:paraId="7EEE1ADF">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35" w:hRule="atLeast"/>
                <w:jc w:val="center"/>
              </w:trPr>
              <w:tc>
                <w:tcPr>
                  <w:tcW w:w="2253" w:type="dxa"/>
                  <w:tcBorders>
                    <w:bottom w:val="single" w:color="000000" w:sz="8" w:space="0"/>
                  </w:tcBorders>
                  <w:noWrap/>
                  <w:vAlign w:val="center"/>
                </w:tcPr>
                <w:p w14:paraId="4F0E46C5">
                  <w:pPr>
                    <w:tabs>
                      <w:tab w:val="left" w:pos="8370"/>
                      <w:tab w:val="left" w:pos="8600"/>
                    </w:tabs>
                    <w:adjustRightInd w:val="0"/>
                    <w:snapToGrid w:val="0"/>
                    <w:jc w:val="center"/>
                    <w:rPr>
                      <w:b/>
                      <w:color w:val="000000"/>
                      <w:kern w:val="2"/>
                      <w:szCs w:val="21"/>
                      <w:u w:val="none" w:color="auto"/>
                    </w:rPr>
                  </w:pPr>
                  <w:r>
                    <w:rPr>
                      <w:rFonts w:hint="eastAsia"/>
                      <w:b/>
                      <w:color w:val="000000"/>
                      <w:kern w:val="2"/>
                      <w:szCs w:val="21"/>
                      <w:u w:val="none" w:color="auto"/>
                    </w:rPr>
                    <w:t>建筑物名称</w:t>
                  </w:r>
                </w:p>
              </w:tc>
              <w:tc>
                <w:tcPr>
                  <w:tcW w:w="2252" w:type="dxa"/>
                  <w:tcBorders>
                    <w:bottom w:val="single" w:color="000000" w:sz="8" w:space="0"/>
                  </w:tcBorders>
                  <w:noWrap/>
                  <w:vAlign w:val="center"/>
                </w:tcPr>
                <w:p w14:paraId="0AD062F0">
                  <w:pPr>
                    <w:tabs>
                      <w:tab w:val="left" w:pos="8370"/>
                      <w:tab w:val="left" w:pos="8600"/>
                    </w:tabs>
                    <w:adjustRightInd w:val="0"/>
                    <w:snapToGrid w:val="0"/>
                    <w:jc w:val="center"/>
                    <w:rPr>
                      <w:b/>
                      <w:color w:val="000000"/>
                      <w:kern w:val="2"/>
                      <w:szCs w:val="21"/>
                      <w:u w:val="none" w:color="auto"/>
                    </w:rPr>
                  </w:pPr>
                  <w:r>
                    <w:rPr>
                      <w:rFonts w:hint="eastAsia"/>
                      <w:b/>
                      <w:color w:val="000000"/>
                      <w:kern w:val="2"/>
                      <w:szCs w:val="21"/>
                      <w:u w:val="none" w:color="auto"/>
                    </w:rPr>
                    <w:t>生产车间室内边界叠加噪声级</w:t>
                  </w:r>
                  <w:r>
                    <w:rPr>
                      <w:b/>
                      <w:kern w:val="2"/>
                      <w:szCs w:val="21"/>
                      <w:u w:val="none" w:color="auto"/>
                    </w:rPr>
                    <w:t>/dB</w:t>
                  </w:r>
                  <w:r>
                    <w:rPr>
                      <w:rFonts w:hAnsi="宋体"/>
                      <w:b/>
                      <w:kern w:val="2"/>
                      <w:szCs w:val="21"/>
                      <w:u w:val="none" w:color="auto"/>
                    </w:rPr>
                    <w:t>（</w:t>
                  </w:r>
                  <w:r>
                    <w:rPr>
                      <w:b/>
                      <w:kern w:val="2"/>
                      <w:szCs w:val="21"/>
                      <w:u w:val="none" w:color="auto"/>
                    </w:rPr>
                    <w:t>A</w:t>
                  </w:r>
                  <w:r>
                    <w:rPr>
                      <w:rFonts w:hAnsi="宋体"/>
                      <w:b/>
                      <w:kern w:val="2"/>
                      <w:szCs w:val="21"/>
                      <w:u w:val="none" w:color="auto"/>
                    </w:rPr>
                    <w:t>）</w:t>
                  </w:r>
                </w:p>
              </w:tc>
              <w:tc>
                <w:tcPr>
                  <w:tcW w:w="1617" w:type="dxa"/>
                  <w:tcBorders>
                    <w:bottom w:val="single" w:color="000000" w:sz="8" w:space="0"/>
                  </w:tcBorders>
                  <w:noWrap/>
                  <w:vAlign w:val="center"/>
                </w:tcPr>
                <w:p w14:paraId="0F35C77A">
                  <w:pPr>
                    <w:tabs>
                      <w:tab w:val="left" w:pos="8370"/>
                      <w:tab w:val="left" w:pos="8600"/>
                    </w:tabs>
                    <w:adjustRightInd w:val="0"/>
                    <w:snapToGrid w:val="0"/>
                    <w:jc w:val="center"/>
                    <w:rPr>
                      <w:b/>
                      <w:color w:val="000000"/>
                      <w:kern w:val="2"/>
                      <w:szCs w:val="21"/>
                      <w:u w:val="none" w:color="auto"/>
                    </w:rPr>
                  </w:pPr>
                  <w:r>
                    <w:rPr>
                      <w:rFonts w:hint="eastAsia"/>
                      <w:b/>
                      <w:color w:val="000000"/>
                      <w:kern w:val="2"/>
                      <w:szCs w:val="21"/>
                      <w:u w:val="none" w:color="auto"/>
                    </w:rPr>
                    <w:t>建筑物插入损失</w:t>
                  </w:r>
                  <w:r>
                    <w:rPr>
                      <w:b/>
                      <w:kern w:val="2"/>
                      <w:szCs w:val="21"/>
                      <w:u w:val="none" w:color="auto"/>
                    </w:rPr>
                    <w:t>/dB</w:t>
                  </w:r>
                  <w:r>
                    <w:rPr>
                      <w:rFonts w:hAnsi="宋体"/>
                      <w:b/>
                      <w:kern w:val="2"/>
                      <w:szCs w:val="21"/>
                      <w:u w:val="none" w:color="auto"/>
                    </w:rPr>
                    <w:t>（</w:t>
                  </w:r>
                  <w:r>
                    <w:rPr>
                      <w:b/>
                      <w:kern w:val="2"/>
                      <w:szCs w:val="21"/>
                      <w:u w:val="none" w:color="auto"/>
                    </w:rPr>
                    <w:t>A</w:t>
                  </w:r>
                  <w:r>
                    <w:rPr>
                      <w:rFonts w:hAnsi="宋体"/>
                      <w:b/>
                      <w:kern w:val="2"/>
                      <w:szCs w:val="21"/>
                      <w:u w:val="none" w:color="auto"/>
                    </w:rPr>
                    <w:t>）</w:t>
                  </w:r>
                </w:p>
              </w:tc>
              <w:tc>
                <w:tcPr>
                  <w:tcW w:w="1616" w:type="dxa"/>
                  <w:tcBorders>
                    <w:bottom w:val="single" w:color="000000" w:sz="8" w:space="0"/>
                  </w:tcBorders>
                  <w:noWrap/>
                  <w:vAlign w:val="center"/>
                </w:tcPr>
                <w:p w14:paraId="25AA8ACE">
                  <w:pPr>
                    <w:tabs>
                      <w:tab w:val="left" w:pos="8370"/>
                      <w:tab w:val="left" w:pos="8600"/>
                    </w:tabs>
                    <w:adjustRightInd w:val="0"/>
                    <w:snapToGrid w:val="0"/>
                    <w:jc w:val="center"/>
                    <w:rPr>
                      <w:b/>
                      <w:color w:val="000000"/>
                      <w:kern w:val="2"/>
                      <w:szCs w:val="21"/>
                      <w:u w:val="none" w:color="auto"/>
                    </w:rPr>
                  </w:pPr>
                  <w:r>
                    <w:rPr>
                      <w:rFonts w:hint="eastAsia"/>
                      <w:b/>
                      <w:color w:val="000000"/>
                      <w:kern w:val="2"/>
                      <w:szCs w:val="21"/>
                      <w:u w:val="none" w:color="auto"/>
                    </w:rPr>
                    <w:t>生产车间室外边界叠加噪声级</w:t>
                  </w:r>
                  <w:r>
                    <w:rPr>
                      <w:b/>
                      <w:kern w:val="2"/>
                      <w:szCs w:val="21"/>
                      <w:u w:val="none" w:color="auto"/>
                    </w:rPr>
                    <w:t>/dB</w:t>
                  </w:r>
                  <w:r>
                    <w:rPr>
                      <w:rFonts w:hAnsi="宋体"/>
                      <w:b/>
                      <w:kern w:val="2"/>
                      <w:szCs w:val="21"/>
                      <w:u w:val="none" w:color="auto"/>
                    </w:rPr>
                    <w:t>（</w:t>
                  </w:r>
                  <w:r>
                    <w:rPr>
                      <w:b/>
                      <w:kern w:val="2"/>
                      <w:szCs w:val="21"/>
                      <w:u w:val="none" w:color="auto"/>
                    </w:rPr>
                    <w:t>A</w:t>
                  </w:r>
                  <w:r>
                    <w:rPr>
                      <w:rFonts w:hAnsi="宋体"/>
                      <w:b/>
                      <w:kern w:val="2"/>
                      <w:szCs w:val="21"/>
                      <w:u w:val="none" w:color="auto"/>
                    </w:rPr>
                    <w:t>）</w:t>
                  </w:r>
                </w:p>
              </w:tc>
            </w:tr>
            <w:tr w14:paraId="43D5398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2253" w:type="dxa"/>
                  <w:tcBorders>
                    <w:top w:val="single" w:color="000000" w:sz="8" w:space="0"/>
                  </w:tcBorders>
                  <w:noWrap/>
                  <w:vAlign w:val="center"/>
                </w:tcPr>
                <w:p w14:paraId="781AD717">
                  <w:pPr>
                    <w:tabs>
                      <w:tab w:val="left" w:pos="8370"/>
                      <w:tab w:val="left" w:pos="8600"/>
                    </w:tabs>
                    <w:adjustRightInd w:val="0"/>
                    <w:snapToGrid w:val="0"/>
                    <w:jc w:val="center"/>
                    <w:rPr>
                      <w:color w:val="000000"/>
                      <w:kern w:val="2"/>
                      <w:szCs w:val="21"/>
                      <w:u w:val="none" w:color="auto"/>
                    </w:rPr>
                  </w:pPr>
                  <w:r>
                    <w:rPr>
                      <w:rFonts w:hint="eastAsia" w:hAnsi="宋体"/>
                      <w:kern w:val="2"/>
                      <w:szCs w:val="21"/>
                      <w:u w:val="none" w:color="auto"/>
                    </w:rPr>
                    <w:t>生产车间</w:t>
                  </w:r>
                </w:p>
              </w:tc>
              <w:tc>
                <w:tcPr>
                  <w:tcW w:w="2252" w:type="dxa"/>
                  <w:tcBorders>
                    <w:top w:val="single" w:color="000000" w:sz="8" w:space="0"/>
                  </w:tcBorders>
                  <w:noWrap/>
                  <w:vAlign w:val="center"/>
                </w:tcPr>
                <w:p w14:paraId="4E08C2CE">
                  <w:pPr>
                    <w:tabs>
                      <w:tab w:val="left" w:pos="8370"/>
                      <w:tab w:val="left" w:pos="8600"/>
                    </w:tabs>
                    <w:adjustRightInd w:val="0"/>
                    <w:snapToGrid w:val="0"/>
                    <w:jc w:val="center"/>
                    <w:rPr>
                      <w:rFonts w:hint="default" w:eastAsia="宋体"/>
                      <w:color w:val="000000"/>
                      <w:kern w:val="2"/>
                      <w:szCs w:val="21"/>
                      <w:u w:val="none" w:color="auto"/>
                      <w:lang w:val="en-US" w:eastAsia="zh-CN"/>
                    </w:rPr>
                  </w:pPr>
                  <w:r>
                    <w:rPr>
                      <w:rFonts w:hint="eastAsia"/>
                      <w:color w:val="000000"/>
                      <w:kern w:val="2"/>
                      <w:szCs w:val="21"/>
                      <w:u w:val="none" w:color="auto"/>
                      <w:lang w:val="en-US" w:eastAsia="zh-CN"/>
                    </w:rPr>
                    <w:t>62.8</w:t>
                  </w:r>
                </w:p>
              </w:tc>
              <w:tc>
                <w:tcPr>
                  <w:tcW w:w="1617" w:type="dxa"/>
                  <w:tcBorders>
                    <w:top w:val="single" w:color="000000" w:sz="8" w:space="0"/>
                  </w:tcBorders>
                  <w:noWrap/>
                  <w:vAlign w:val="center"/>
                </w:tcPr>
                <w:p w14:paraId="047BA206">
                  <w:pPr>
                    <w:tabs>
                      <w:tab w:val="left" w:pos="8370"/>
                      <w:tab w:val="left" w:pos="8600"/>
                    </w:tabs>
                    <w:adjustRightInd w:val="0"/>
                    <w:snapToGrid w:val="0"/>
                    <w:jc w:val="center"/>
                    <w:rPr>
                      <w:rFonts w:hint="default" w:eastAsia="宋体"/>
                      <w:color w:val="000000"/>
                      <w:kern w:val="2"/>
                      <w:szCs w:val="21"/>
                      <w:u w:val="none" w:color="auto"/>
                      <w:lang w:val="en-US" w:eastAsia="zh-CN"/>
                    </w:rPr>
                  </w:pPr>
                  <w:r>
                    <w:rPr>
                      <w:rFonts w:hint="eastAsia"/>
                      <w:color w:val="000000"/>
                      <w:kern w:val="2"/>
                      <w:szCs w:val="21"/>
                      <w:u w:val="none" w:color="auto"/>
                      <w:lang w:val="en-US" w:eastAsia="zh-CN"/>
                    </w:rPr>
                    <w:t>21</w:t>
                  </w:r>
                </w:p>
              </w:tc>
              <w:tc>
                <w:tcPr>
                  <w:tcW w:w="1616" w:type="dxa"/>
                  <w:tcBorders>
                    <w:top w:val="single" w:color="000000" w:sz="8" w:space="0"/>
                  </w:tcBorders>
                  <w:noWrap/>
                  <w:vAlign w:val="center"/>
                </w:tcPr>
                <w:p w14:paraId="6A6CAA11">
                  <w:pPr>
                    <w:tabs>
                      <w:tab w:val="left" w:pos="8370"/>
                      <w:tab w:val="left" w:pos="8600"/>
                    </w:tabs>
                    <w:adjustRightInd w:val="0"/>
                    <w:snapToGrid w:val="0"/>
                    <w:jc w:val="center"/>
                    <w:rPr>
                      <w:rFonts w:hint="default" w:eastAsia="宋体"/>
                      <w:color w:val="000000"/>
                      <w:kern w:val="2"/>
                      <w:szCs w:val="21"/>
                      <w:u w:val="none" w:color="auto"/>
                      <w:lang w:val="en-US" w:eastAsia="zh-CN"/>
                    </w:rPr>
                  </w:pPr>
                  <w:r>
                    <w:rPr>
                      <w:rFonts w:hint="eastAsia"/>
                      <w:color w:val="000000"/>
                      <w:kern w:val="2"/>
                      <w:szCs w:val="21"/>
                      <w:u w:val="none" w:color="auto"/>
                      <w:lang w:val="en-US" w:eastAsia="zh-CN"/>
                    </w:rPr>
                    <w:t>41.8</w:t>
                  </w:r>
                </w:p>
              </w:tc>
            </w:tr>
          </w:tbl>
          <w:p w14:paraId="1EA4E9AE">
            <w:pPr>
              <w:tabs>
                <w:tab w:val="left" w:pos="3620"/>
              </w:tabs>
              <w:adjustRightInd w:val="0"/>
              <w:snapToGrid w:val="0"/>
              <w:spacing w:line="440" w:lineRule="exact"/>
              <w:ind w:firstLine="480" w:firstLineChars="200"/>
              <w:rPr>
                <w:rFonts w:hAnsi="宋体"/>
                <w:kern w:val="2"/>
                <w:sz w:val="24"/>
                <w:u w:val="none" w:color="auto"/>
              </w:rPr>
            </w:pPr>
            <w:r>
              <w:rPr>
                <w:rFonts w:hint="eastAsia" w:hAnsi="宋体"/>
                <w:kern w:val="2"/>
                <w:sz w:val="24"/>
                <w:u w:val="none" w:color="auto"/>
              </w:rPr>
              <w:t>经计算，生产车间厂房外各生产设备等效声功率级为</w:t>
            </w:r>
            <w:r>
              <w:rPr>
                <w:rFonts w:hint="eastAsia" w:hAnsi="宋体"/>
                <w:kern w:val="2"/>
                <w:sz w:val="24"/>
                <w:u w:val="none" w:color="auto"/>
                <w:lang w:val="en-US" w:eastAsia="zh-CN"/>
              </w:rPr>
              <w:t>62.6</w:t>
            </w:r>
            <w:r>
              <w:rPr>
                <w:rFonts w:hAnsi="宋体"/>
                <w:kern w:val="2"/>
                <w:sz w:val="24"/>
                <w:u w:val="none" w:color="auto"/>
              </w:rPr>
              <w:t>dB（A）</w:t>
            </w:r>
            <w:r>
              <w:rPr>
                <w:rFonts w:hint="eastAsia" w:hAnsi="宋体"/>
                <w:kern w:val="2"/>
                <w:sz w:val="24"/>
                <w:u w:val="none" w:color="auto"/>
              </w:rPr>
              <w:t>。</w:t>
            </w:r>
          </w:p>
          <w:p w14:paraId="1BEAA1C5">
            <w:pPr>
              <w:keepNext w:val="0"/>
              <w:keepLines w:val="0"/>
              <w:suppressLineNumbers w:val="0"/>
              <w:tabs>
                <w:tab w:val="left" w:pos="3620"/>
              </w:tabs>
              <w:adjustRightInd w:val="0"/>
              <w:snapToGrid w:val="0"/>
              <w:spacing w:before="0" w:beforeAutospacing="0" w:after="0" w:afterAutospacing="0" w:line="440" w:lineRule="exact"/>
              <w:ind w:left="0" w:right="0" w:firstLine="480" w:firstLineChars="200"/>
              <w:rPr>
                <w:rFonts w:hint="default"/>
                <w:b w:val="0"/>
                <w:bCs w:val="0"/>
                <w:color w:val="000000"/>
                <w:sz w:val="24"/>
                <w:u w:val="none" w:color="auto"/>
                <w:lang w:val="en-US" w:eastAsia="zh-CN"/>
              </w:rPr>
            </w:pPr>
            <w:r>
              <w:rPr>
                <w:rFonts w:hint="eastAsia"/>
                <w:b w:val="0"/>
                <w:bCs w:val="0"/>
                <w:color w:val="000000"/>
                <w:sz w:val="24"/>
                <w:u w:val="none" w:color="auto"/>
                <w:lang w:val="en-US" w:eastAsia="zh-CN"/>
              </w:rPr>
              <w:t>室外噪声源强见下表。</w:t>
            </w:r>
          </w:p>
          <w:p w14:paraId="0EE691F5">
            <w:pPr>
              <w:keepNext w:val="0"/>
              <w:keepLines w:val="0"/>
              <w:suppressLineNumbers w:val="0"/>
              <w:tabs>
                <w:tab w:val="left" w:pos="3620"/>
              </w:tabs>
              <w:adjustRightInd w:val="0"/>
              <w:snapToGrid w:val="0"/>
              <w:spacing w:before="0" w:beforeAutospacing="0" w:after="0" w:afterAutospacing="0" w:line="440" w:lineRule="exact"/>
              <w:ind w:left="0" w:right="0" w:firstLine="482" w:firstLineChars="200"/>
              <w:jc w:val="center"/>
              <w:rPr>
                <w:rFonts w:hint="default" w:ascii="Times New Roman" w:hAnsi="黑体" w:eastAsia="黑体" w:cs="Times New Roman"/>
                <w:color w:val="000000"/>
                <w:sz w:val="24"/>
                <w:highlight w:val="none"/>
                <w:u w:val="none" w:color="auto"/>
              </w:rPr>
            </w:pPr>
            <w:r>
              <w:rPr>
                <w:rFonts w:hint="default"/>
                <w:b/>
                <w:bCs/>
                <w:color w:val="000000"/>
                <w:sz w:val="24"/>
                <w:u w:val="none" w:color="auto"/>
                <w:lang w:val="en-US" w:eastAsia="zh-CN"/>
              </w:rPr>
              <w:t>表</w:t>
            </w:r>
            <w:r>
              <w:rPr>
                <w:rFonts w:hint="eastAsia"/>
                <w:b/>
                <w:bCs/>
                <w:color w:val="000000"/>
                <w:sz w:val="24"/>
                <w:u w:val="none" w:color="auto"/>
                <w:lang w:val="en-US" w:eastAsia="zh-CN"/>
              </w:rPr>
              <w:t xml:space="preserve">4-22     </w:t>
            </w:r>
            <w:r>
              <w:rPr>
                <w:rFonts w:hint="default"/>
                <w:b/>
                <w:bCs/>
                <w:color w:val="000000"/>
                <w:sz w:val="24"/>
                <w:u w:val="none" w:color="auto"/>
                <w:lang w:val="en-US" w:eastAsia="zh-CN"/>
              </w:rPr>
              <w:t>项目室外噪声源强调查清单</w:t>
            </w:r>
          </w:p>
          <w:tbl>
            <w:tblPr>
              <w:tblStyle w:val="32"/>
              <w:tblW w:w="4745"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2"/>
              <w:gridCol w:w="615"/>
              <w:gridCol w:w="950"/>
              <w:gridCol w:w="866"/>
              <w:gridCol w:w="708"/>
              <w:gridCol w:w="644"/>
              <w:gridCol w:w="1109"/>
              <w:gridCol w:w="965"/>
              <w:gridCol w:w="1170"/>
            </w:tblGrid>
            <w:tr w14:paraId="6100981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472" w:type="dxa"/>
                  <w:vMerge w:val="restart"/>
                  <w:tcBorders>
                    <w:tl2br w:val="nil"/>
                    <w:tr2bl w:val="nil"/>
                  </w:tcBorders>
                  <w:noWrap w:val="0"/>
                  <w:vAlign w:val="center"/>
                </w:tcPr>
                <w:p w14:paraId="7A0A15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kern w:val="2"/>
                      <w:sz w:val="21"/>
                      <w:szCs w:val="21"/>
                      <w:u w:val="none" w:color="auto"/>
                    </w:rPr>
                  </w:pPr>
                  <w:r>
                    <w:rPr>
                      <w:rFonts w:hint="default" w:ascii="Times New Roman" w:hAnsi="Times New Roman" w:cs="Times New Roman"/>
                      <w:b/>
                      <w:bCs w:val="0"/>
                      <w:color w:val="auto"/>
                      <w:kern w:val="2"/>
                      <w:sz w:val="21"/>
                      <w:szCs w:val="21"/>
                      <w:u w:val="none" w:color="auto"/>
                    </w:rPr>
                    <w:t>序号</w:t>
                  </w:r>
                </w:p>
              </w:tc>
              <w:tc>
                <w:tcPr>
                  <w:tcW w:w="1565" w:type="dxa"/>
                  <w:gridSpan w:val="2"/>
                  <w:vMerge w:val="restart"/>
                  <w:tcBorders>
                    <w:tl2br w:val="nil"/>
                    <w:tr2bl w:val="nil"/>
                  </w:tcBorders>
                  <w:noWrap w:val="0"/>
                  <w:vAlign w:val="center"/>
                </w:tcPr>
                <w:p w14:paraId="3C3185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kern w:val="2"/>
                      <w:sz w:val="21"/>
                      <w:szCs w:val="21"/>
                      <w:u w:val="none" w:color="auto"/>
                    </w:rPr>
                  </w:pPr>
                  <w:r>
                    <w:rPr>
                      <w:rFonts w:hint="default" w:ascii="Times New Roman" w:hAnsi="Times New Roman" w:cs="Times New Roman"/>
                      <w:b/>
                      <w:bCs w:val="0"/>
                      <w:color w:val="auto"/>
                      <w:kern w:val="2"/>
                      <w:sz w:val="21"/>
                      <w:szCs w:val="21"/>
                      <w:u w:val="none" w:color="auto"/>
                    </w:rPr>
                    <w:t>声源名称</w:t>
                  </w:r>
                </w:p>
              </w:tc>
              <w:tc>
                <w:tcPr>
                  <w:tcW w:w="2218" w:type="dxa"/>
                  <w:gridSpan w:val="3"/>
                  <w:tcBorders>
                    <w:tl2br w:val="nil"/>
                    <w:tr2bl w:val="nil"/>
                  </w:tcBorders>
                  <w:noWrap w:val="0"/>
                  <w:vAlign w:val="center"/>
                </w:tcPr>
                <w:p w14:paraId="36AE2C5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kern w:val="2"/>
                      <w:sz w:val="21"/>
                      <w:szCs w:val="21"/>
                      <w:u w:val="none" w:color="auto"/>
                    </w:rPr>
                  </w:pPr>
                  <w:r>
                    <w:rPr>
                      <w:rFonts w:hint="default" w:ascii="Times New Roman" w:hAnsi="Times New Roman" w:cs="Times New Roman"/>
                      <w:b/>
                      <w:bCs w:val="0"/>
                      <w:color w:val="auto"/>
                      <w:kern w:val="2"/>
                      <w:sz w:val="21"/>
                      <w:szCs w:val="21"/>
                      <w:u w:val="none" w:color="auto"/>
                    </w:rPr>
                    <w:t>空间相对位置/m</w:t>
                  </w:r>
                </w:p>
              </w:tc>
              <w:tc>
                <w:tcPr>
                  <w:tcW w:w="1109" w:type="dxa"/>
                  <w:tcBorders>
                    <w:tl2br w:val="nil"/>
                    <w:tr2bl w:val="nil"/>
                  </w:tcBorders>
                  <w:noWrap w:val="0"/>
                  <w:vAlign w:val="center"/>
                </w:tcPr>
                <w:p w14:paraId="226A16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kern w:val="2"/>
                      <w:sz w:val="21"/>
                      <w:szCs w:val="21"/>
                      <w:u w:val="none" w:color="auto"/>
                    </w:rPr>
                  </w:pPr>
                  <w:r>
                    <w:rPr>
                      <w:rFonts w:hint="default" w:ascii="Times New Roman" w:hAnsi="Times New Roman" w:cs="Times New Roman"/>
                      <w:b/>
                      <w:bCs w:val="0"/>
                      <w:color w:val="auto"/>
                      <w:kern w:val="2"/>
                      <w:sz w:val="21"/>
                      <w:szCs w:val="21"/>
                      <w:u w:val="none" w:color="auto"/>
                    </w:rPr>
                    <w:t>声源源强</w:t>
                  </w:r>
                </w:p>
              </w:tc>
              <w:tc>
                <w:tcPr>
                  <w:tcW w:w="965" w:type="dxa"/>
                  <w:vMerge w:val="restart"/>
                  <w:tcBorders>
                    <w:bottom w:val="nil"/>
                    <w:tl2br w:val="nil"/>
                    <w:tr2bl w:val="nil"/>
                  </w:tcBorders>
                  <w:noWrap w:val="0"/>
                  <w:vAlign w:val="center"/>
                </w:tcPr>
                <w:p w14:paraId="7E316C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kern w:val="2"/>
                      <w:sz w:val="21"/>
                      <w:szCs w:val="21"/>
                      <w:u w:val="none" w:color="auto"/>
                    </w:rPr>
                  </w:pPr>
                  <w:r>
                    <w:rPr>
                      <w:rFonts w:hint="default" w:ascii="Times New Roman" w:hAnsi="Times New Roman" w:cs="Times New Roman"/>
                      <w:b/>
                      <w:bCs w:val="0"/>
                      <w:color w:val="auto"/>
                      <w:kern w:val="2"/>
                      <w:sz w:val="21"/>
                      <w:szCs w:val="21"/>
                      <w:u w:val="none" w:color="auto"/>
                    </w:rPr>
                    <w:t>声源控制措施</w:t>
                  </w:r>
                </w:p>
              </w:tc>
              <w:tc>
                <w:tcPr>
                  <w:tcW w:w="1170" w:type="dxa"/>
                  <w:vMerge w:val="restart"/>
                  <w:tcBorders>
                    <w:bottom w:val="nil"/>
                    <w:tl2br w:val="nil"/>
                    <w:tr2bl w:val="nil"/>
                  </w:tcBorders>
                  <w:noWrap w:val="0"/>
                  <w:vAlign w:val="center"/>
                </w:tcPr>
                <w:p w14:paraId="583B99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kern w:val="2"/>
                      <w:sz w:val="21"/>
                      <w:szCs w:val="21"/>
                      <w:u w:val="none" w:color="auto"/>
                      <w:lang w:val="en-US" w:eastAsia="zh-CN"/>
                    </w:rPr>
                  </w:pPr>
                  <w:r>
                    <w:rPr>
                      <w:rFonts w:hint="default" w:ascii="Times New Roman" w:hAnsi="Times New Roman" w:cs="Times New Roman"/>
                      <w:b/>
                      <w:bCs w:val="0"/>
                      <w:color w:val="auto"/>
                      <w:kern w:val="2"/>
                      <w:sz w:val="21"/>
                      <w:szCs w:val="21"/>
                      <w:u w:val="none" w:color="auto"/>
                    </w:rPr>
                    <w:t>运行</w:t>
                  </w:r>
                  <w:r>
                    <w:rPr>
                      <w:rFonts w:hint="eastAsia" w:ascii="Times New Roman" w:hAnsi="Times New Roman" w:cs="Times New Roman"/>
                      <w:b/>
                      <w:bCs w:val="0"/>
                      <w:color w:val="auto"/>
                      <w:kern w:val="2"/>
                      <w:sz w:val="21"/>
                      <w:szCs w:val="21"/>
                      <w:u w:val="none" w:color="auto"/>
                      <w:lang w:val="en-US" w:eastAsia="zh-CN"/>
                    </w:rPr>
                    <w:t>时间/d</w:t>
                  </w:r>
                </w:p>
              </w:tc>
            </w:tr>
            <w:tr w14:paraId="48BD4A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72" w:type="dxa"/>
                  <w:vMerge w:val="continue"/>
                  <w:tcBorders>
                    <w:bottom w:val="single" w:color="000000" w:sz="8" w:space="0"/>
                    <w:tl2br w:val="nil"/>
                    <w:tr2bl w:val="nil"/>
                  </w:tcBorders>
                  <w:noWrap w:val="0"/>
                  <w:vAlign w:val="center"/>
                </w:tcPr>
                <w:p w14:paraId="50A71C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kern w:val="2"/>
                      <w:sz w:val="21"/>
                      <w:szCs w:val="21"/>
                      <w:u w:val="none" w:color="auto"/>
                    </w:rPr>
                  </w:pPr>
                </w:p>
              </w:tc>
              <w:tc>
                <w:tcPr>
                  <w:tcW w:w="1565" w:type="dxa"/>
                  <w:gridSpan w:val="2"/>
                  <w:vMerge w:val="continue"/>
                  <w:tcBorders>
                    <w:bottom w:val="single" w:color="000000" w:sz="8" w:space="0"/>
                    <w:tl2br w:val="nil"/>
                    <w:tr2bl w:val="nil"/>
                  </w:tcBorders>
                  <w:noWrap w:val="0"/>
                  <w:vAlign w:val="center"/>
                </w:tcPr>
                <w:p w14:paraId="6384D7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kern w:val="2"/>
                      <w:sz w:val="21"/>
                      <w:szCs w:val="21"/>
                      <w:u w:val="none" w:color="auto"/>
                    </w:rPr>
                  </w:pPr>
                </w:p>
              </w:tc>
              <w:tc>
                <w:tcPr>
                  <w:tcW w:w="866" w:type="dxa"/>
                  <w:tcBorders>
                    <w:bottom w:val="single" w:color="000000" w:sz="8" w:space="0"/>
                    <w:tl2br w:val="nil"/>
                    <w:tr2bl w:val="nil"/>
                  </w:tcBorders>
                  <w:noWrap w:val="0"/>
                  <w:vAlign w:val="center"/>
                </w:tcPr>
                <w:p w14:paraId="17212B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kern w:val="2"/>
                      <w:sz w:val="21"/>
                      <w:szCs w:val="21"/>
                      <w:u w:val="none" w:color="auto"/>
                    </w:rPr>
                  </w:pPr>
                  <w:r>
                    <w:rPr>
                      <w:rFonts w:hint="default" w:ascii="Times New Roman" w:hAnsi="Times New Roman" w:cs="Times New Roman"/>
                      <w:b/>
                      <w:bCs w:val="0"/>
                      <w:color w:val="auto"/>
                      <w:kern w:val="2"/>
                      <w:sz w:val="21"/>
                      <w:szCs w:val="21"/>
                      <w:u w:val="none" w:color="auto"/>
                    </w:rPr>
                    <w:t>X</w:t>
                  </w:r>
                </w:p>
              </w:tc>
              <w:tc>
                <w:tcPr>
                  <w:tcW w:w="708" w:type="dxa"/>
                  <w:tcBorders>
                    <w:bottom w:val="single" w:color="000000" w:sz="8" w:space="0"/>
                    <w:tl2br w:val="nil"/>
                    <w:tr2bl w:val="nil"/>
                  </w:tcBorders>
                  <w:noWrap w:val="0"/>
                  <w:vAlign w:val="center"/>
                </w:tcPr>
                <w:p w14:paraId="53E26F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val="0"/>
                      <w:color w:val="auto"/>
                      <w:kern w:val="2"/>
                      <w:sz w:val="21"/>
                      <w:szCs w:val="21"/>
                      <w:u w:val="none" w:color="auto"/>
                      <w:lang w:eastAsia="zh-CN"/>
                    </w:rPr>
                  </w:pPr>
                  <w:r>
                    <w:rPr>
                      <w:rFonts w:hint="eastAsia" w:cs="Times New Roman"/>
                      <w:b/>
                      <w:bCs w:val="0"/>
                      <w:color w:val="auto"/>
                      <w:kern w:val="2"/>
                      <w:sz w:val="21"/>
                      <w:szCs w:val="21"/>
                      <w:u w:val="none" w:color="auto"/>
                      <w:lang w:val="en-US" w:eastAsia="zh-CN"/>
                    </w:rPr>
                    <w:t>Y</w:t>
                  </w:r>
                </w:p>
              </w:tc>
              <w:tc>
                <w:tcPr>
                  <w:tcW w:w="644" w:type="dxa"/>
                  <w:tcBorders>
                    <w:bottom w:val="single" w:color="000000" w:sz="8" w:space="0"/>
                    <w:tl2br w:val="nil"/>
                    <w:tr2bl w:val="nil"/>
                  </w:tcBorders>
                  <w:noWrap w:val="0"/>
                  <w:vAlign w:val="center"/>
                </w:tcPr>
                <w:p w14:paraId="3B70CF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val="0"/>
                      <w:color w:val="auto"/>
                      <w:kern w:val="2"/>
                      <w:sz w:val="21"/>
                      <w:szCs w:val="21"/>
                      <w:u w:val="none" w:color="auto"/>
                      <w:lang w:eastAsia="zh-CN"/>
                    </w:rPr>
                  </w:pPr>
                  <w:r>
                    <w:rPr>
                      <w:rFonts w:hint="eastAsia" w:cs="Times New Roman"/>
                      <w:b/>
                      <w:bCs w:val="0"/>
                      <w:color w:val="auto"/>
                      <w:kern w:val="2"/>
                      <w:sz w:val="21"/>
                      <w:szCs w:val="21"/>
                      <w:u w:val="none" w:color="auto"/>
                      <w:lang w:val="en-US" w:eastAsia="zh-CN"/>
                    </w:rPr>
                    <w:t>Z</w:t>
                  </w:r>
                </w:p>
              </w:tc>
              <w:tc>
                <w:tcPr>
                  <w:tcW w:w="1109" w:type="dxa"/>
                  <w:tcBorders>
                    <w:bottom w:val="single" w:color="000000" w:sz="8" w:space="0"/>
                    <w:tl2br w:val="nil"/>
                    <w:tr2bl w:val="nil"/>
                  </w:tcBorders>
                  <w:noWrap w:val="0"/>
                  <w:vAlign w:val="center"/>
                </w:tcPr>
                <w:p w14:paraId="6F388D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
                      <w:bCs w:val="0"/>
                      <w:color w:val="auto"/>
                      <w:kern w:val="2"/>
                      <w:sz w:val="21"/>
                      <w:szCs w:val="21"/>
                      <w:u w:val="none" w:color="auto"/>
                    </w:rPr>
                  </w:pPr>
                  <w:r>
                    <w:rPr>
                      <w:rFonts w:hint="default" w:ascii="Times New Roman" w:hAnsi="Times New Roman" w:cs="Times New Roman"/>
                      <w:b/>
                      <w:bCs w:val="0"/>
                      <w:color w:val="auto"/>
                      <w:kern w:val="2"/>
                      <w:sz w:val="21"/>
                      <w:szCs w:val="21"/>
                      <w:u w:val="none" w:color="auto"/>
                    </w:rPr>
                    <w:t>声功率级/dB（A）</w:t>
                  </w:r>
                </w:p>
              </w:tc>
              <w:tc>
                <w:tcPr>
                  <w:tcW w:w="965" w:type="dxa"/>
                  <w:vMerge w:val="continue"/>
                  <w:tcBorders>
                    <w:top w:val="nil"/>
                    <w:bottom w:val="single" w:color="auto" w:sz="8" w:space="0"/>
                    <w:tl2br w:val="nil"/>
                    <w:tr2bl w:val="nil"/>
                  </w:tcBorders>
                  <w:noWrap w:val="0"/>
                  <w:vAlign w:val="center"/>
                </w:tcPr>
                <w:p w14:paraId="10C15C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Cs/>
                      <w:color w:val="auto"/>
                      <w:kern w:val="2"/>
                      <w:sz w:val="21"/>
                      <w:szCs w:val="21"/>
                      <w:u w:val="none" w:color="auto"/>
                    </w:rPr>
                  </w:pPr>
                </w:p>
              </w:tc>
              <w:tc>
                <w:tcPr>
                  <w:tcW w:w="1170" w:type="dxa"/>
                  <w:vMerge w:val="continue"/>
                  <w:tcBorders>
                    <w:top w:val="nil"/>
                    <w:bottom w:val="single" w:color="auto" w:sz="8" w:space="0"/>
                    <w:tl2br w:val="nil"/>
                    <w:tr2bl w:val="nil"/>
                  </w:tcBorders>
                  <w:noWrap w:val="0"/>
                  <w:vAlign w:val="center"/>
                </w:tcPr>
                <w:p w14:paraId="50FD94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Cs/>
                      <w:color w:val="auto"/>
                      <w:kern w:val="2"/>
                      <w:sz w:val="21"/>
                      <w:szCs w:val="21"/>
                      <w:u w:val="none" w:color="auto"/>
                    </w:rPr>
                  </w:pPr>
                </w:p>
              </w:tc>
            </w:tr>
            <w:tr w14:paraId="44FB2AE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72" w:type="dxa"/>
                  <w:tcBorders>
                    <w:top w:val="single" w:color="000000" w:sz="8" w:space="0"/>
                    <w:bottom w:val="single" w:color="auto" w:sz="4" w:space="0"/>
                  </w:tcBorders>
                  <w:noWrap w:val="0"/>
                  <w:vAlign w:val="center"/>
                </w:tcPr>
                <w:p w14:paraId="291D49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2"/>
                      <w:sz w:val="21"/>
                      <w:szCs w:val="21"/>
                      <w:u w:val="none" w:color="auto"/>
                      <w:lang w:val="en-US" w:eastAsia="zh-CN"/>
                    </w:rPr>
                  </w:pPr>
                  <w:r>
                    <w:rPr>
                      <w:rFonts w:hint="default" w:ascii="Times New Roman" w:hAnsi="Times New Roman" w:cs="Times New Roman"/>
                      <w:bCs/>
                      <w:color w:val="auto"/>
                      <w:kern w:val="2"/>
                      <w:sz w:val="21"/>
                      <w:szCs w:val="21"/>
                      <w:u w:val="none" w:color="auto"/>
                      <w:lang w:val="en-US" w:eastAsia="zh-CN"/>
                    </w:rPr>
                    <w:t>1</w:t>
                  </w:r>
                </w:p>
              </w:tc>
              <w:tc>
                <w:tcPr>
                  <w:tcW w:w="615" w:type="dxa"/>
                  <w:vMerge w:val="restart"/>
                  <w:tcBorders>
                    <w:top w:val="single" w:color="000000" w:sz="8" w:space="0"/>
                  </w:tcBorders>
                  <w:noWrap w:val="0"/>
                  <w:vAlign w:val="center"/>
                </w:tcPr>
                <w:p w14:paraId="50011D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u w:val="none" w:color="auto"/>
                      <w:lang w:val="en-US" w:eastAsia="zh-CN"/>
                    </w:rPr>
                  </w:pPr>
                  <w:r>
                    <w:rPr>
                      <w:rFonts w:hint="default" w:ascii="Times New Roman" w:hAnsi="Times New Roman" w:cs="Times New Roman"/>
                      <w:color w:val="auto"/>
                      <w:kern w:val="2"/>
                      <w:sz w:val="21"/>
                      <w:szCs w:val="21"/>
                      <w:u w:val="none" w:color="auto"/>
                    </w:rPr>
                    <w:t>废气处理</w:t>
                  </w:r>
                  <w:r>
                    <w:rPr>
                      <w:rFonts w:hint="eastAsia" w:cs="Times New Roman"/>
                      <w:color w:val="auto"/>
                      <w:kern w:val="2"/>
                      <w:sz w:val="21"/>
                      <w:szCs w:val="21"/>
                      <w:u w:val="none" w:color="auto"/>
                      <w:lang w:val="en-US" w:eastAsia="zh-CN"/>
                    </w:rPr>
                    <w:t>配套风机</w:t>
                  </w:r>
                </w:p>
              </w:tc>
              <w:tc>
                <w:tcPr>
                  <w:tcW w:w="950" w:type="dxa"/>
                  <w:tcBorders>
                    <w:top w:val="single" w:color="000000" w:sz="8" w:space="0"/>
                    <w:bottom w:val="single" w:color="auto" w:sz="4" w:space="0"/>
                  </w:tcBorders>
                  <w:noWrap w:val="0"/>
                  <w:vAlign w:val="center"/>
                </w:tcPr>
                <w:p w14:paraId="6C3EC6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2"/>
                      <w:sz w:val="21"/>
                      <w:szCs w:val="21"/>
                      <w:u w:val="none" w:color="auto"/>
                      <w:lang w:val="en-US" w:eastAsia="zh-CN"/>
                    </w:rPr>
                  </w:pPr>
                  <w:r>
                    <w:rPr>
                      <w:rFonts w:hint="eastAsia" w:ascii="Times New Roman" w:hAnsi="Times New Roman" w:cs="Times New Roman"/>
                      <w:color w:val="auto"/>
                      <w:kern w:val="2"/>
                      <w:sz w:val="21"/>
                      <w:szCs w:val="21"/>
                      <w:u w:val="none" w:color="auto"/>
                      <w:lang w:val="en-US" w:eastAsia="zh-CN"/>
                    </w:rPr>
                    <w:t>DA001</w:t>
                  </w:r>
                  <w:r>
                    <w:rPr>
                      <w:rFonts w:hint="default" w:ascii="Times New Roman" w:hAnsi="Times New Roman" w:cs="Times New Roman"/>
                      <w:color w:val="auto"/>
                      <w:kern w:val="2"/>
                      <w:sz w:val="21"/>
                      <w:szCs w:val="21"/>
                      <w:u w:val="none" w:color="auto"/>
                    </w:rPr>
                    <w:t>风机</w:t>
                  </w:r>
                </w:p>
              </w:tc>
              <w:tc>
                <w:tcPr>
                  <w:tcW w:w="866" w:type="dxa"/>
                  <w:tcBorders>
                    <w:top w:val="single" w:color="000000" w:sz="8" w:space="0"/>
                    <w:bottom w:val="single" w:color="auto" w:sz="4" w:space="0"/>
                  </w:tcBorders>
                  <w:noWrap w:val="0"/>
                  <w:vAlign w:val="center"/>
                </w:tcPr>
                <w:p w14:paraId="0DF665AA">
                  <w:pPr>
                    <w:keepNext w:val="0"/>
                    <w:keepLines w:val="0"/>
                    <w:suppressLineNumbers w:val="0"/>
                    <w:tabs>
                      <w:tab w:val="left" w:pos="3620"/>
                    </w:tabs>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u w:val="none" w:color="auto"/>
                      <w:lang w:val="en-US" w:eastAsia="zh-CN"/>
                    </w:rPr>
                  </w:pPr>
                  <w:r>
                    <w:rPr>
                      <w:rFonts w:hint="eastAsia" w:ascii="Times New Roman" w:hAnsi="Times New Roman" w:eastAsia="宋体" w:cs="Times New Roman"/>
                      <w:color w:val="auto"/>
                      <w:kern w:val="2"/>
                      <w:sz w:val="21"/>
                      <w:szCs w:val="21"/>
                      <w:u w:val="none" w:color="auto"/>
                      <w:lang w:val="en-US" w:eastAsia="zh-CN"/>
                    </w:rPr>
                    <w:t>-48</w:t>
                  </w:r>
                </w:p>
              </w:tc>
              <w:tc>
                <w:tcPr>
                  <w:tcW w:w="708" w:type="dxa"/>
                  <w:tcBorders>
                    <w:top w:val="single" w:color="000000" w:sz="8" w:space="0"/>
                    <w:bottom w:val="single" w:color="auto" w:sz="4" w:space="0"/>
                  </w:tcBorders>
                  <w:noWrap w:val="0"/>
                  <w:vAlign w:val="center"/>
                </w:tcPr>
                <w:p w14:paraId="37D955E9">
                  <w:pPr>
                    <w:keepNext w:val="0"/>
                    <w:keepLines w:val="0"/>
                    <w:suppressLineNumbers w:val="0"/>
                    <w:tabs>
                      <w:tab w:val="left" w:pos="3620"/>
                    </w:tabs>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u w:val="none" w:color="auto"/>
                      <w:lang w:val="en-US" w:eastAsia="zh-CN"/>
                    </w:rPr>
                  </w:pPr>
                  <w:r>
                    <w:rPr>
                      <w:rFonts w:hint="eastAsia" w:ascii="Times New Roman" w:hAnsi="Times New Roman" w:eastAsia="宋体" w:cs="Times New Roman"/>
                      <w:color w:val="auto"/>
                      <w:kern w:val="2"/>
                      <w:sz w:val="21"/>
                      <w:szCs w:val="21"/>
                      <w:u w:val="none" w:color="auto"/>
                      <w:lang w:val="en-US" w:eastAsia="zh-CN"/>
                    </w:rPr>
                    <w:t>-5</w:t>
                  </w:r>
                </w:p>
              </w:tc>
              <w:tc>
                <w:tcPr>
                  <w:tcW w:w="644" w:type="dxa"/>
                  <w:tcBorders>
                    <w:top w:val="single" w:color="000000" w:sz="8" w:space="0"/>
                    <w:bottom w:val="single" w:color="auto" w:sz="4" w:space="0"/>
                  </w:tcBorders>
                  <w:noWrap w:val="0"/>
                  <w:vAlign w:val="center"/>
                </w:tcPr>
                <w:p w14:paraId="1A6AB5A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 w:val="21"/>
                      <w:szCs w:val="21"/>
                      <w:u w:val="none" w:color="auto"/>
                      <w:lang w:val="en-US" w:eastAsia="zh-CN"/>
                    </w:rPr>
                  </w:pPr>
                  <w:r>
                    <w:rPr>
                      <w:rFonts w:hint="eastAsia" w:ascii="Times New Roman" w:hAnsi="Times New Roman" w:eastAsia="宋体" w:cs="Times New Roman"/>
                      <w:bCs/>
                      <w:color w:val="auto"/>
                      <w:kern w:val="2"/>
                      <w:sz w:val="21"/>
                      <w:szCs w:val="21"/>
                      <w:u w:val="none" w:color="auto"/>
                      <w:lang w:val="en-US" w:eastAsia="zh-CN"/>
                    </w:rPr>
                    <w:t>1.2</w:t>
                  </w:r>
                </w:p>
              </w:tc>
              <w:tc>
                <w:tcPr>
                  <w:tcW w:w="1109" w:type="dxa"/>
                  <w:tcBorders>
                    <w:top w:val="single" w:color="000000" w:sz="8" w:space="0"/>
                    <w:bottom w:val="single" w:color="auto" w:sz="4" w:space="0"/>
                  </w:tcBorders>
                  <w:noWrap w:val="0"/>
                  <w:vAlign w:val="center"/>
                </w:tcPr>
                <w:p w14:paraId="0595CC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85</w:t>
                  </w:r>
                </w:p>
              </w:tc>
              <w:tc>
                <w:tcPr>
                  <w:tcW w:w="965" w:type="dxa"/>
                  <w:vMerge w:val="restart"/>
                  <w:tcBorders>
                    <w:top w:val="single" w:color="auto" w:sz="8" w:space="0"/>
                  </w:tcBorders>
                  <w:noWrap w:val="0"/>
                  <w:vAlign w:val="center"/>
                </w:tcPr>
                <w:p w14:paraId="541B59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Cs/>
                      <w:color w:val="auto"/>
                      <w:kern w:val="2"/>
                      <w:sz w:val="21"/>
                      <w:szCs w:val="21"/>
                      <w:u w:val="none" w:color="auto"/>
                    </w:rPr>
                  </w:pPr>
                  <w:r>
                    <w:rPr>
                      <w:rFonts w:hint="default" w:ascii="Times New Roman" w:hAnsi="Times New Roman" w:cs="Times New Roman"/>
                      <w:bCs/>
                      <w:color w:val="auto"/>
                      <w:kern w:val="2"/>
                      <w:sz w:val="21"/>
                      <w:szCs w:val="21"/>
                      <w:u w:val="none" w:color="auto"/>
                    </w:rPr>
                    <w:t>基础减振、消声</w:t>
                  </w:r>
                </w:p>
              </w:tc>
              <w:tc>
                <w:tcPr>
                  <w:tcW w:w="1170" w:type="dxa"/>
                  <w:tcBorders>
                    <w:top w:val="single" w:color="auto" w:sz="8" w:space="0"/>
                    <w:bottom w:val="single" w:color="auto" w:sz="4" w:space="0"/>
                  </w:tcBorders>
                  <w:noWrap w:val="0"/>
                  <w:vAlign w:val="center"/>
                </w:tcPr>
                <w:p w14:paraId="44F546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u w:val="none" w:color="auto"/>
                      <w:lang w:val="en-US" w:eastAsia="zh-CN"/>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334C2ED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472" w:type="dxa"/>
                  <w:tcBorders>
                    <w:top w:val="single" w:color="auto" w:sz="4" w:space="0"/>
                    <w:bottom w:val="single" w:color="auto" w:sz="4" w:space="0"/>
                  </w:tcBorders>
                  <w:noWrap w:val="0"/>
                  <w:vAlign w:val="center"/>
                </w:tcPr>
                <w:p w14:paraId="1B9A93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Cs/>
                      <w:color w:val="auto"/>
                      <w:kern w:val="2"/>
                      <w:sz w:val="21"/>
                      <w:szCs w:val="21"/>
                      <w:u w:val="none" w:color="auto"/>
                      <w:lang w:val="en-US" w:eastAsia="zh-CN"/>
                    </w:rPr>
                  </w:pPr>
                  <w:r>
                    <w:rPr>
                      <w:rFonts w:hint="eastAsia" w:ascii="Times New Roman" w:hAnsi="Times New Roman" w:cs="Times New Roman"/>
                      <w:bCs/>
                      <w:color w:val="auto"/>
                      <w:kern w:val="2"/>
                      <w:sz w:val="21"/>
                      <w:szCs w:val="21"/>
                      <w:u w:val="none" w:color="auto"/>
                      <w:lang w:val="en-US" w:eastAsia="zh-CN"/>
                    </w:rPr>
                    <w:t>2</w:t>
                  </w:r>
                </w:p>
              </w:tc>
              <w:tc>
                <w:tcPr>
                  <w:tcW w:w="615" w:type="dxa"/>
                  <w:vMerge w:val="continue"/>
                  <w:noWrap w:val="0"/>
                  <w:vAlign w:val="center"/>
                </w:tcPr>
                <w:p w14:paraId="70B71D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kern w:val="2"/>
                      <w:sz w:val="21"/>
                      <w:szCs w:val="21"/>
                      <w:u w:val="none" w:color="auto"/>
                    </w:rPr>
                  </w:pPr>
                </w:p>
              </w:tc>
              <w:tc>
                <w:tcPr>
                  <w:tcW w:w="950" w:type="dxa"/>
                  <w:tcBorders>
                    <w:top w:val="single" w:color="auto" w:sz="4" w:space="0"/>
                    <w:bottom w:val="single" w:color="auto" w:sz="4" w:space="0"/>
                  </w:tcBorders>
                  <w:noWrap w:val="0"/>
                  <w:vAlign w:val="center"/>
                </w:tcPr>
                <w:p w14:paraId="20EBF9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kern w:val="2"/>
                      <w:sz w:val="21"/>
                      <w:szCs w:val="21"/>
                      <w:u w:val="none" w:color="auto"/>
                      <w:lang w:val="en-US" w:eastAsia="zh-CN"/>
                    </w:rPr>
                  </w:pPr>
                  <w:r>
                    <w:rPr>
                      <w:rFonts w:hint="eastAsia" w:ascii="Times New Roman" w:hAnsi="Times New Roman" w:cs="Times New Roman"/>
                      <w:color w:val="auto"/>
                      <w:kern w:val="2"/>
                      <w:sz w:val="21"/>
                      <w:szCs w:val="21"/>
                      <w:u w:val="none" w:color="auto"/>
                      <w:lang w:val="en-US" w:eastAsia="zh-CN"/>
                    </w:rPr>
                    <w:t>DA002</w:t>
                  </w:r>
                  <w:r>
                    <w:rPr>
                      <w:rFonts w:hint="default" w:ascii="Times New Roman" w:hAnsi="Times New Roman" w:cs="Times New Roman"/>
                      <w:color w:val="auto"/>
                      <w:kern w:val="2"/>
                      <w:sz w:val="21"/>
                      <w:szCs w:val="21"/>
                      <w:u w:val="none" w:color="auto"/>
                    </w:rPr>
                    <w:t>风机</w:t>
                  </w:r>
                </w:p>
              </w:tc>
              <w:tc>
                <w:tcPr>
                  <w:tcW w:w="866" w:type="dxa"/>
                  <w:tcBorders>
                    <w:top w:val="single" w:color="auto" w:sz="4" w:space="0"/>
                    <w:bottom w:val="single" w:color="auto" w:sz="4" w:space="0"/>
                  </w:tcBorders>
                  <w:noWrap w:val="0"/>
                  <w:vAlign w:val="center"/>
                </w:tcPr>
                <w:p w14:paraId="160861AA">
                  <w:pPr>
                    <w:keepNext w:val="0"/>
                    <w:keepLines w:val="0"/>
                    <w:suppressLineNumbers w:val="0"/>
                    <w:tabs>
                      <w:tab w:val="left" w:pos="3620"/>
                    </w:tabs>
                    <w:adjustRightInd w:val="0"/>
                    <w:snapToGrid w:val="0"/>
                    <w:spacing w:before="0" w:beforeAutospacing="0" w:after="0" w:afterAutospacing="0"/>
                    <w:ind w:left="0" w:right="0"/>
                    <w:jc w:val="center"/>
                    <w:rPr>
                      <w:rFonts w:hint="default"/>
                      <w:bCs/>
                      <w:sz w:val="21"/>
                      <w:szCs w:val="21"/>
                      <w:u w:val="none" w:color="auto"/>
                      <w:lang w:val="en-US" w:eastAsia="zh-CN"/>
                    </w:rPr>
                  </w:pPr>
                  <w:r>
                    <w:rPr>
                      <w:rFonts w:hint="eastAsia"/>
                      <w:bCs/>
                      <w:sz w:val="21"/>
                      <w:szCs w:val="21"/>
                      <w:u w:val="none" w:color="auto"/>
                      <w:lang w:val="en-US" w:eastAsia="zh-CN"/>
                    </w:rPr>
                    <w:t>-46</w:t>
                  </w:r>
                </w:p>
              </w:tc>
              <w:tc>
                <w:tcPr>
                  <w:tcW w:w="708" w:type="dxa"/>
                  <w:tcBorders>
                    <w:top w:val="single" w:color="auto" w:sz="4" w:space="0"/>
                    <w:bottom w:val="single" w:color="auto" w:sz="4" w:space="0"/>
                  </w:tcBorders>
                  <w:noWrap w:val="0"/>
                  <w:vAlign w:val="center"/>
                </w:tcPr>
                <w:p w14:paraId="555D1E79">
                  <w:pPr>
                    <w:keepNext w:val="0"/>
                    <w:keepLines w:val="0"/>
                    <w:suppressLineNumbers w:val="0"/>
                    <w:tabs>
                      <w:tab w:val="left" w:pos="3620"/>
                    </w:tabs>
                    <w:adjustRightInd w:val="0"/>
                    <w:snapToGrid w:val="0"/>
                    <w:spacing w:before="0" w:beforeAutospacing="0" w:after="0" w:afterAutospacing="0"/>
                    <w:ind w:left="0" w:right="0"/>
                    <w:jc w:val="center"/>
                    <w:rPr>
                      <w:rFonts w:hint="default"/>
                      <w:bCs/>
                      <w:sz w:val="21"/>
                      <w:szCs w:val="21"/>
                      <w:u w:val="none" w:color="auto"/>
                      <w:lang w:val="en-US" w:eastAsia="zh-CN"/>
                    </w:rPr>
                  </w:pPr>
                  <w:r>
                    <w:rPr>
                      <w:rFonts w:hint="eastAsia"/>
                      <w:bCs/>
                      <w:sz w:val="21"/>
                      <w:szCs w:val="21"/>
                      <w:u w:val="none" w:color="auto"/>
                      <w:lang w:val="en-US" w:eastAsia="zh-CN"/>
                    </w:rPr>
                    <w:t>-10</w:t>
                  </w:r>
                </w:p>
              </w:tc>
              <w:tc>
                <w:tcPr>
                  <w:tcW w:w="644" w:type="dxa"/>
                  <w:tcBorders>
                    <w:top w:val="single" w:color="auto" w:sz="4" w:space="0"/>
                    <w:bottom w:val="single" w:color="auto" w:sz="4" w:space="0"/>
                  </w:tcBorders>
                  <w:noWrap w:val="0"/>
                  <w:vAlign w:val="center"/>
                </w:tcPr>
                <w:p w14:paraId="43AFA2BB">
                  <w:pPr>
                    <w:keepNext w:val="0"/>
                    <w:keepLines w:val="0"/>
                    <w:suppressLineNumbers w:val="0"/>
                    <w:adjustRightInd w:val="0"/>
                    <w:snapToGrid w:val="0"/>
                    <w:spacing w:before="0" w:beforeAutospacing="0" w:after="0" w:afterAutospacing="0"/>
                    <w:ind w:left="0" w:right="0"/>
                    <w:jc w:val="center"/>
                    <w:rPr>
                      <w:rFonts w:hint="default"/>
                      <w:bCs/>
                      <w:sz w:val="21"/>
                      <w:szCs w:val="21"/>
                      <w:u w:val="none" w:color="auto"/>
                      <w:lang w:val="en-US" w:eastAsia="zh-CN"/>
                    </w:rPr>
                  </w:pPr>
                  <w:r>
                    <w:rPr>
                      <w:rFonts w:hint="eastAsia"/>
                      <w:bCs/>
                      <w:sz w:val="21"/>
                      <w:szCs w:val="21"/>
                      <w:u w:val="none" w:color="auto"/>
                      <w:lang w:val="en-US" w:eastAsia="zh-CN"/>
                    </w:rPr>
                    <w:t>1.2</w:t>
                  </w:r>
                </w:p>
              </w:tc>
              <w:tc>
                <w:tcPr>
                  <w:tcW w:w="1109" w:type="dxa"/>
                  <w:tcBorders>
                    <w:top w:val="single" w:color="auto" w:sz="4" w:space="0"/>
                    <w:bottom w:val="single" w:color="auto" w:sz="4" w:space="0"/>
                  </w:tcBorders>
                  <w:noWrap w:val="0"/>
                  <w:vAlign w:val="center"/>
                </w:tcPr>
                <w:p w14:paraId="15423A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80</w:t>
                  </w:r>
                </w:p>
              </w:tc>
              <w:tc>
                <w:tcPr>
                  <w:tcW w:w="965" w:type="dxa"/>
                  <w:vMerge w:val="continue"/>
                  <w:noWrap w:val="0"/>
                  <w:vAlign w:val="center"/>
                </w:tcPr>
                <w:p w14:paraId="45B69C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Cs/>
                      <w:color w:val="auto"/>
                      <w:kern w:val="2"/>
                      <w:sz w:val="21"/>
                      <w:szCs w:val="21"/>
                      <w:u w:val="none" w:color="auto"/>
                    </w:rPr>
                  </w:pPr>
                </w:p>
              </w:tc>
              <w:tc>
                <w:tcPr>
                  <w:tcW w:w="1170" w:type="dxa"/>
                  <w:tcBorders>
                    <w:top w:val="single" w:color="auto" w:sz="4" w:space="0"/>
                    <w:bottom w:val="single" w:color="auto" w:sz="4" w:space="0"/>
                  </w:tcBorders>
                  <w:noWrap w:val="0"/>
                  <w:vAlign w:val="center"/>
                </w:tcPr>
                <w:p w14:paraId="75198F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u w:val="none" w:color="auto"/>
                      <w:lang w:val="en-US" w:eastAsia="zh-CN"/>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r w14:paraId="47C252E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472" w:type="dxa"/>
                  <w:tcBorders>
                    <w:top w:val="single" w:color="auto" w:sz="4" w:space="0"/>
                    <w:bottom w:val="single" w:color="auto" w:sz="4" w:space="0"/>
                  </w:tcBorders>
                  <w:noWrap w:val="0"/>
                  <w:vAlign w:val="center"/>
                </w:tcPr>
                <w:p w14:paraId="6555C9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Cs/>
                      <w:color w:val="auto"/>
                      <w:kern w:val="2"/>
                      <w:sz w:val="21"/>
                      <w:szCs w:val="21"/>
                      <w:u w:val="none" w:color="auto"/>
                      <w:lang w:val="en-US" w:eastAsia="zh-CN"/>
                    </w:rPr>
                  </w:pPr>
                  <w:r>
                    <w:rPr>
                      <w:rFonts w:hint="eastAsia" w:cs="Times New Roman"/>
                      <w:bCs/>
                      <w:color w:val="auto"/>
                      <w:kern w:val="2"/>
                      <w:sz w:val="21"/>
                      <w:szCs w:val="21"/>
                      <w:u w:val="none" w:color="auto"/>
                      <w:lang w:val="en-US" w:eastAsia="zh-CN"/>
                    </w:rPr>
                    <w:t>3</w:t>
                  </w:r>
                </w:p>
              </w:tc>
              <w:tc>
                <w:tcPr>
                  <w:tcW w:w="615" w:type="dxa"/>
                  <w:vMerge w:val="continue"/>
                  <w:tcBorders>
                    <w:bottom w:val="single" w:color="auto" w:sz="4" w:space="0"/>
                  </w:tcBorders>
                  <w:noWrap w:val="0"/>
                  <w:vAlign w:val="center"/>
                </w:tcPr>
                <w:p w14:paraId="43B263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kern w:val="2"/>
                      <w:sz w:val="21"/>
                      <w:szCs w:val="21"/>
                      <w:u w:val="none" w:color="auto"/>
                    </w:rPr>
                  </w:pPr>
                </w:p>
              </w:tc>
              <w:tc>
                <w:tcPr>
                  <w:tcW w:w="950" w:type="dxa"/>
                  <w:tcBorders>
                    <w:top w:val="single" w:color="auto" w:sz="4" w:space="0"/>
                    <w:bottom w:val="single" w:color="auto" w:sz="4" w:space="0"/>
                  </w:tcBorders>
                  <w:noWrap w:val="0"/>
                  <w:vAlign w:val="center"/>
                </w:tcPr>
                <w:p w14:paraId="2EBE5D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kern w:val="2"/>
                      <w:sz w:val="21"/>
                      <w:szCs w:val="21"/>
                      <w:u w:val="none" w:color="auto"/>
                      <w:lang w:val="en-US" w:eastAsia="zh-CN"/>
                    </w:rPr>
                  </w:pPr>
                  <w:r>
                    <w:rPr>
                      <w:rFonts w:hint="eastAsia" w:ascii="Times New Roman" w:hAnsi="Times New Roman" w:cs="Times New Roman"/>
                      <w:color w:val="auto"/>
                      <w:kern w:val="2"/>
                      <w:sz w:val="21"/>
                      <w:szCs w:val="21"/>
                      <w:u w:val="none" w:color="auto"/>
                      <w:lang w:val="en-US" w:eastAsia="zh-CN"/>
                    </w:rPr>
                    <w:t>DA00</w:t>
                  </w:r>
                  <w:r>
                    <w:rPr>
                      <w:rFonts w:hint="eastAsia" w:cs="Times New Roman"/>
                      <w:color w:val="auto"/>
                      <w:kern w:val="2"/>
                      <w:sz w:val="21"/>
                      <w:szCs w:val="21"/>
                      <w:u w:val="none" w:color="auto"/>
                      <w:lang w:val="en-US" w:eastAsia="zh-CN"/>
                    </w:rPr>
                    <w:t>3</w:t>
                  </w:r>
                  <w:r>
                    <w:rPr>
                      <w:rFonts w:hint="default" w:ascii="Times New Roman" w:hAnsi="Times New Roman" w:cs="Times New Roman"/>
                      <w:color w:val="auto"/>
                      <w:kern w:val="2"/>
                      <w:sz w:val="21"/>
                      <w:szCs w:val="21"/>
                      <w:u w:val="none" w:color="auto"/>
                    </w:rPr>
                    <w:t>风机</w:t>
                  </w:r>
                </w:p>
              </w:tc>
              <w:tc>
                <w:tcPr>
                  <w:tcW w:w="866" w:type="dxa"/>
                  <w:tcBorders>
                    <w:top w:val="single" w:color="auto" w:sz="4" w:space="0"/>
                    <w:bottom w:val="single" w:color="auto" w:sz="4" w:space="0"/>
                  </w:tcBorders>
                  <w:noWrap w:val="0"/>
                  <w:vAlign w:val="center"/>
                </w:tcPr>
                <w:p w14:paraId="50C0463A">
                  <w:pPr>
                    <w:keepNext w:val="0"/>
                    <w:keepLines w:val="0"/>
                    <w:suppressLineNumbers w:val="0"/>
                    <w:tabs>
                      <w:tab w:val="left" w:pos="3620"/>
                    </w:tabs>
                    <w:adjustRightInd w:val="0"/>
                    <w:snapToGrid w:val="0"/>
                    <w:spacing w:before="0" w:beforeAutospacing="0" w:after="0" w:afterAutospacing="0"/>
                    <w:ind w:left="0" w:right="0"/>
                    <w:jc w:val="center"/>
                    <w:rPr>
                      <w:rFonts w:hint="default"/>
                      <w:bCs/>
                      <w:sz w:val="21"/>
                      <w:szCs w:val="21"/>
                      <w:u w:val="none" w:color="auto"/>
                      <w:lang w:val="en-US" w:eastAsia="zh-CN"/>
                    </w:rPr>
                  </w:pPr>
                  <w:r>
                    <w:rPr>
                      <w:rFonts w:hint="eastAsia"/>
                      <w:bCs/>
                      <w:sz w:val="21"/>
                      <w:szCs w:val="21"/>
                      <w:u w:val="none" w:color="auto"/>
                      <w:lang w:val="en-US" w:eastAsia="zh-CN"/>
                    </w:rPr>
                    <w:t>30</w:t>
                  </w:r>
                </w:p>
              </w:tc>
              <w:tc>
                <w:tcPr>
                  <w:tcW w:w="708" w:type="dxa"/>
                  <w:tcBorders>
                    <w:top w:val="single" w:color="auto" w:sz="4" w:space="0"/>
                    <w:bottom w:val="single" w:color="auto" w:sz="4" w:space="0"/>
                  </w:tcBorders>
                  <w:noWrap w:val="0"/>
                  <w:vAlign w:val="center"/>
                </w:tcPr>
                <w:p w14:paraId="2E4A1D9A">
                  <w:pPr>
                    <w:keepNext w:val="0"/>
                    <w:keepLines w:val="0"/>
                    <w:suppressLineNumbers w:val="0"/>
                    <w:tabs>
                      <w:tab w:val="left" w:pos="3620"/>
                    </w:tabs>
                    <w:adjustRightInd w:val="0"/>
                    <w:snapToGrid w:val="0"/>
                    <w:spacing w:before="0" w:beforeAutospacing="0" w:after="0" w:afterAutospacing="0"/>
                    <w:ind w:left="0" w:right="0"/>
                    <w:jc w:val="center"/>
                    <w:rPr>
                      <w:rFonts w:hint="default"/>
                      <w:bCs/>
                      <w:sz w:val="21"/>
                      <w:szCs w:val="21"/>
                      <w:u w:val="none" w:color="auto"/>
                      <w:lang w:val="en-US" w:eastAsia="zh-CN"/>
                    </w:rPr>
                  </w:pPr>
                  <w:r>
                    <w:rPr>
                      <w:rFonts w:hint="eastAsia"/>
                      <w:bCs/>
                      <w:sz w:val="21"/>
                      <w:szCs w:val="21"/>
                      <w:u w:val="none" w:color="auto"/>
                      <w:lang w:val="en-US" w:eastAsia="zh-CN"/>
                    </w:rPr>
                    <w:t>60</w:t>
                  </w:r>
                </w:p>
              </w:tc>
              <w:tc>
                <w:tcPr>
                  <w:tcW w:w="644" w:type="dxa"/>
                  <w:tcBorders>
                    <w:top w:val="single" w:color="auto" w:sz="4" w:space="0"/>
                    <w:bottom w:val="single" w:color="auto" w:sz="4" w:space="0"/>
                  </w:tcBorders>
                  <w:noWrap w:val="0"/>
                  <w:vAlign w:val="center"/>
                </w:tcPr>
                <w:p w14:paraId="4BF38F11">
                  <w:pPr>
                    <w:keepNext w:val="0"/>
                    <w:keepLines w:val="0"/>
                    <w:suppressLineNumbers w:val="0"/>
                    <w:adjustRightInd w:val="0"/>
                    <w:snapToGrid w:val="0"/>
                    <w:spacing w:before="0" w:beforeAutospacing="0" w:after="0" w:afterAutospacing="0"/>
                    <w:ind w:left="0" w:right="0"/>
                    <w:jc w:val="center"/>
                    <w:rPr>
                      <w:rFonts w:hint="default"/>
                      <w:bCs/>
                      <w:sz w:val="21"/>
                      <w:szCs w:val="21"/>
                      <w:u w:val="none" w:color="auto"/>
                      <w:lang w:val="en-US" w:eastAsia="zh-CN"/>
                    </w:rPr>
                  </w:pPr>
                  <w:r>
                    <w:rPr>
                      <w:rFonts w:hint="eastAsia"/>
                      <w:bCs/>
                      <w:sz w:val="21"/>
                      <w:szCs w:val="21"/>
                      <w:u w:val="none" w:color="auto"/>
                      <w:lang w:val="en-US" w:eastAsia="zh-CN"/>
                    </w:rPr>
                    <w:t>1.2</w:t>
                  </w:r>
                </w:p>
              </w:tc>
              <w:tc>
                <w:tcPr>
                  <w:tcW w:w="1109" w:type="dxa"/>
                  <w:tcBorders>
                    <w:top w:val="single" w:color="auto" w:sz="4" w:space="0"/>
                    <w:bottom w:val="single" w:color="auto" w:sz="4" w:space="0"/>
                  </w:tcBorders>
                  <w:noWrap w:val="0"/>
                  <w:vAlign w:val="center"/>
                </w:tcPr>
                <w:p w14:paraId="4923BE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0"/>
                      <w:sz w:val="21"/>
                      <w:szCs w:val="21"/>
                      <w:u w:val="none" w:color="auto"/>
                      <w:lang w:val="en-US" w:eastAsia="zh-CN"/>
                    </w:rPr>
                  </w:pPr>
                  <w:r>
                    <w:rPr>
                      <w:rFonts w:hint="eastAsia" w:cs="Times New Roman"/>
                      <w:color w:val="auto"/>
                      <w:kern w:val="0"/>
                      <w:sz w:val="21"/>
                      <w:szCs w:val="21"/>
                      <w:u w:val="none" w:color="auto"/>
                      <w:lang w:val="en-US" w:eastAsia="zh-CN"/>
                    </w:rPr>
                    <w:t>80</w:t>
                  </w:r>
                </w:p>
              </w:tc>
              <w:tc>
                <w:tcPr>
                  <w:tcW w:w="965" w:type="dxa"/>
                  <w:vMerge w:val="continue"/>
                  <w:tcBorders>
                    <w:bottom w:val="single" w:color="auto" w:sz="4" w:space="0"/>
                  </w:tcBorders>
                  <w:noWrap w:val="0"/>
                  <w:vAlign w:val="center"/>
                </w:tcPr>
                <w:p w14:paraId="66CED56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Cs/>
                      <w:color w:val="auto"/>
                      <w:kern w:val="2"/>
                      <w:sz w:val="21"/>
                      <w:szCs w:val="21"/>
                      <w:u w:val="none" w:color="auto"/>
                    </w:rPr>
                  </w:pPr>
                </w:p>
              </w:tc>
              <w:tc>
                <w:tcPr>
                  <w:tcW w:w="1170" w:type="dxa"/>
                  <w:tcBorders>
                    <w:top w:val="single" w:color="auto" w:sz="4" w:space="0"/>
                    <w:bottom w:val="single" w:color="auto" w:sz="4" w:space="0"/>
                  </w:tcBorders>
                  <w:noWrap w:val="0"/>
                  <w:vAlign w:val="center"/>
                </w:tcPr>
                <w:p w14:paraId="7A0B1F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u w:val="none" w:color="auto"/>
                      <w:lang w:val="en-US" w:eastAsia="zh-CN"/>
                    </w:rPr>
                  </w:pPr>
                  <w:r>
                    <w:rPr>
                      <w:rFonts w:hint="eastAsia" w:ascii="Times New Roman" w:hAnsi="Times New Roman" w:eastAsia="宋体" w:cs="Times New Roman"/>
                      <w:i w:val="0"/>
                      <w:iCs w:val="0"/>
                      <w:color w:val="000000"/>
                      <w:kern w:val="0"/>
                      <w:sz w:val="21"/>
                      <w:szCs w:val="21"/>
                      <w:u w:val="none" w:color="auto"/>
                      <w:lang w:val="en-US" w:eastAsia="zh-CN" w:bidi="ar"/>
                    </w:rPr>
                    <w:t>24h</w:t>
                  </w:r>
                </w:p>
              </w:tc>
            </w:tr>
          </w:tbl>
          <w:p w14:paraId="050D61DA">
            <w:pPr>
              <w:keepNext w:val="0"/>
              <w:keepLines w:val="0"/>
              <w:suppressLineNumbers w:val="0"/>
              <w:spacing w:before="0" w:beforeAutospacing="0" w:after="0" w:afterAutospacing="0" w:line="440" w:lineRule="exact"/>
              <w:ind w:left="0" w:right="0" w:firstLine="480" w:firstLineChars="200"/>
              <w:rPr>
                <w:rFonts w:hint="default"/>
                <w:sz w:val="24"/>
                <w:highlight w:val="none"/>
                <w:u w:val="none" w:color="auto"/>
              </w:rPr>
            </w:pPr>
            <w:r>
              <w:rPr>
                <w:rFonts w:hint="default"/>
                <w:sz w:val="24"/>
                <w:highlight w:val="none"/>
                <w:u w:val="none" w:color="auto"/>
              </w:rPr>
              <w:t>根据本项目主要高噪声设备的分布状况和房间外源强，</w:t>
            </w:r>
            <w:r>
              <w:rPr>
                <w:rFonts w:hint="eastAsia"/>
                <w:sz w:val="24"/>
                <w:highlight w:val="none"/>
                <w:u w:val="none" w:color="auto"/>
              </w:rPr>
              <w:t>根据导则中</w:t>
            </w:r>
            <w:r>
              <w:rPr>
                <w:rFonts w:hint="default"/>
                <w:sz w:val="24"/>
                <w:highlight w:val="none"/>
                <w:u w:val="none" w:color="auto"/>
              </w:rPr>
              <w:t>噪声预测模型</w:t>
            </w:r>
            <w:r>
              <w:rPr>
                <w:rFonts w:hint="eastAsia"/>
                <w:sz w:val="24"/>
                <w:highlight w:val="none"/>
                <w:u w:val="none" w:color="auto"/>
              </w:rPr>
              <w:t>，</w:t>
            </w:r>
            <w:r>
              <w:rPr>
                <w:rFonts w:hint="default"/>
                <w:sz w:val="24"/>
                <w:highlight w:val="none"/>
                <w:u w:val="none" w:color="auto"/>
              </w:rPr>
              <w:t>计算出各声源对</w:t>
            </w:r>
            <w:r>
              <w:rPr>
                <w:rFonts w:hint="eastAsia"/>
                <w:sz w:val="24"/>
                <w:highlight w:val="none"/>
                <w:u w:val="none" w:color="auto"/>
              </w:rPr>
              <w:t>厂界的噪声</w:t>
            </w:r>
            <w:r>
              <w:rPr>
                <w:rFonts w:hint="default"/>
                <w:sz w:val="24"/>
                <w:highlight w:val="none"/>
                <w:u w:val="none" w:color="auto"/>
              </w:rPr>
              <w:t>贡献值</w:t>
            </w:r>
            <w:r>
              <w:rPr>
                <w:rFonts w:hint="eastAsia"/>
                <w:sz w:val="24"/>
                <w:highlight w:val="none"/>
                <w:u w:val="none" w:color="auto"/>
              </w:rPr>
              <w:t>。</w:t>
            </w:r>
          </w:p>
          <w:p w14:paraId="6032697C">
            <w:pPr>
              <w:keepNext w:val="0"/>
              <w:keepLines w:val="0"/>
              <w:suppressLineNumbers w:val="0"/>
              <w:spacing w:before="0" w:beforeAutospacing="0" w:after="0" w:afterAutospacing="0" w:line="440" w:lineRule="exact"/>
              <w:ind w:left="0" w:right="0" w:firstLine="480" w:firstLineChars="200"/>
              <w:rPr>
                <w:rFonts w:hint="default"/>
                <w:sz w:val="24"/>
                <w:highlight w:val="none"/>
                <w:u w:val="none" w:color="auto"/>
              </w:rPr>
            </w:pPr>
            <w:r>
              <w:rPr>
                <w:rFonts w:hint="eastAsia"/>
                <w:sz w:val="24"/>
                <w:highlight w:val="none"/>
                <w:u w:val="none" w:color="auto"/>
              </w:rPr>
              <w:t>点声源</w:t>
            </w:r>
            <w:r>
              <w:rPr>
                <w:rFonts w:hint="default"/>
                <w:sz w:val="24"/>
                <w:highlight w:val="none"/>
                <w:u w:val="none" w:color="auto"/>
              </w:rPr>
              <w:t>的</w:t>
            </w:r>
            <w:r>
              <w:rPr>
                <w:rFonts w:hint="eastAsia"/>
                <w:sz w:val="24"/>
                <w:highlight w:val="none"/>
                <w:u w:val="none" w:color="auto"/>
              </w:rPr>
              <w:t>几何</w:t>
            </w:r>
            <w:r>
              <w:rPr>
                <w:rFonts w:hint="default"/>
                <w:sz w:val="24"/>
                <w:highlight w:val="none"/>
                <w:u w:val="none" w:color="auto"/>
              </w:rPr>
              <w:t>发散衰减的</w:t>
            </w:r>
            <w:r>
              <w:rPr>
                <w:rFonts w:hint="eastAsia"/>
                <w:sz w:val="24"/>
                <w:highlight w:val="none"/>
                <w:u w:val="none" w:color="auto"/>
              </w:rPr>
              <w:t>基本公式</w:t>
            </w:r>
            <w:r>
              <w:rPr>
                <w:rFonts w:hint="default"/>
                <w:sz w:val="24"/>
                <w:highlight w:val="none"/>
                <w:u w:val="none" w:color="auto"/>
              </w:rPr>
              <w:t>如下：</w:t>
            </w:r>
          </w:p>
          <w:p w14:paraId="74BBB7E9">
            <w:pPr>
              <w:keepNext w:val="0"/>
              <w:keepLines w:val="0"/>
              <w:suppressLineNumbers w:val="0"/>
              <w:spacing w:before="0" w:beforeAutospacing="0" w:after="0" w:afterAutospacing="0" w:line="440" w:lineRule="exact"/>
              <w:ind w:left="0" w:right="0"/>
              <w:jc w:val="center"/>
              <w:rPr>
                <w:rFonts w:hint="default"/>
                <w:sz w:val="24"/>
                <w:highlight w:val="none"/>
                <w:u w:val="none" w:color="auto"/>
              </w:rPr>
            </w:pPr>
            <w:r>
              <w:rPr>
                <w:rFonts w:hint="default"/>
                <w:sz w:val="24"/>
                <w:highlight w:val="none"/>
                <w:u w:val="none" w:color="auto"/>
              </w:rPr>
              <w:t>Lp（</w:t>
            </w:r>
            <w:r>
              <w:rPr>
                <w:rFonts w:hint="eastAsia"/>
                <w:sz w:val="24"/>
                <w:highlight w:val="none"/>
                <w:u w:val="none" w:color="auto"/>
              </w:rPr>
              <w:t>r</w:t>
            </w:r>
            <w:r>
              <w:rPr>
                <w:rFonts w:hint="default"/>
                <w:sz w:val="24"/>
                <w:highlight w:val="none"/>
                <w:u w:val="none" w:color="auto"/>
              </w:rPr>
              <w:t>）</w:t>
            </w:r>
            <w:r>
              <w:rPr>
                <w:rFonts w:hint="eastAsia"/>
                <w:sz w:val="24"/>
                <w:highlight w:val="none"/>
                <w:u w:val="none" w:color="auto"/>
              </w:rPr>
              <w:t>=</w:t>
            </w:r>
            <w:r>
              <w:rPr>
                <w:rFonts w:hint="default"/>
                <w:sz w:val="24"/>
                <w:highlight w:val="none"/>
                <w:u w:val="none" w:color="auto"/>
              </w:rPr>
              <w:t>L</w:t>
            </w:r>
            <w:r>
              <w:rPr>
                <w:rFonts w:hint="eastAsia"/>
                <w:sz w:val="24"/>
                <w:highlight w:val="none"/>
                <w:u w:val="none" w:color="auto"/>
              </w:rPr>
              <w:t>w-20</w:t>
            </w:r>
            <w:r>
              <w:rPr>
                <w:rFonts w:hint="default"/>
                <w:sz w:val="24"/>
                <w:highlight w:val="none"/>
                <w:u w:val="none" w:color="auto"/>
              </w:rPr>
              <w:t>lg</w:t>
            </w:r>
            <w:r>
              <w:rPr>
                <w:rFonts w:hint="eastAsia"/>
                <w:sz w:val="24"/>
                <w:highlight w:val="none"/>
                <w:u w:val="none" w:color="auto"/>
              </w:rPr>
              <w:t>r-8</w:t>
            </w:r>
          </w:p>
          <w:p w14:paraId="06A8CEE6">
            <w:pPr>
              <w:keepNext w:val="0"/>
              <w:keepLines w:val="0"/>
              <w:suppressLineNumbers w:val="0"/>
              <w:spacing w:before="0" w:beforeAutospacing="0" w:after="0" w:afterAutospacing="0" w:line="440" w:lineRule="exact"/>
              <w:ind w:left="0" w:right="0"/>
              <w:rPr>
                <w:rFonts w:hint="default"/>
                <w:sz w:val="24"/>
                <w:highlight w:val="none"/>
                <w:u w:val="none" w:color="auto"/>
              </w:rPr>
            </w:pPr>
            <w:r>
              <w:rPr>
                <w:rFonts w:hint="eastAsia"/>
                <w:sz w:val="24"/>
                <w:highlight w:val="none"/>
                <w:u w:val="none" w:color="auto"/>
              </w:rPr>
              <w:t>式中</w:t>
            </w:r>
            <w:r>
              <w:rPr>
                <w:rFonts w:hint="default"/>
                <w:sz w:val="24"/>
                <w:highlight w:val="none"/>
                <w:u w:val="none" w:color="auto"/>
              </w:rPr>
              <w:t>：Lp（</w:t>
            </w:r>
            <w:r>
              <w:rPr>
                <w:rFonts w:hint="eastAsia"/>
                <w:sz w:val="24"/>
                <w:highlight w:val="none"/>
                <w:u w:val="none" w:color="auto"/>
              </w:rPr>
              <w:t>r</w:t>
            </w:r>
            <w:r>
              <w:rPr>
                <w:rFonts w:hint="default"/>
                <w:sz w:val="24"/>
                <w:highlight w:val="none"/>
                <w:u w:val="none" w:color="auto"/>
              </w:rPr>
              <w:t>）</w:t>
            </w:r>
            <w:r>
              <w:rPr>
                <w:rFonts w:hint="eastAsia"/>
                <w:sz w:val="24"/>
                <w:highlight w:val="none"/>
                <w:u w:val="none" w:color="auto"/>
                <w:lang w:eastAsia="zh-CN"/>
              </w:rPr>
              <w:t>—</w:t>
            </w:r>
            <w:r>
              <w:rPr>
                <w:rFonts w:hint="eastAsia"/>
                <w:sz w:val="24"/>
                <w:highlight w:val="none"/>
                <w:u w:val="none" w:color="auto"/>
              </w:rPr>
              <w:t>预测点处声压级，dB；</w:t>
            </w:r>
          </w:p>
          <w:p w14:paraId="077BC7D1">
            <w:pPr>
              <w:keepNext w:val="0"/>
              <w:keepLines w:val="0"/>
              <w:suppressLineNumbers w:val="0"/>
              <w:spacing w:before="0" w:beforeAutospacing="0" w:after="0" w:afterAutospacing="0" w:line="440" w:lineRule="exact"/>
              <w:ind w:left="0" w:right="0" w:firstLine="720" w:firstLineChars="300"/>
              <w:rPr>
                <w:rFonts w:hint="default"/>
                <w:sz w:val="24"/>
                <w:highlight w:val="none"/>
                <w:u w:val="none" w:color="auto"/>
              </w:rPr>
            </w:pPr>
            <w:r>
              <w:rPr>
                <w:rFonts w:hint="default"/>
                <w:sz w:val="24"/>
                <w:highlight w:val="none"/>
                <w:u w:val="none" w:color="auto"/>
              </w:rPr>
              <w:t>L</w:t>
            </w:r>
            <w:r>
              <w:rPr>
                <w:rFonts w:hint="eastAsia"/>
                <w:sz w:val="24"/>
                <w:highlight w:val="none"/>
                <w:u w:val="none" w:color="auto"/>
              </w:rPr>
              <w:t>w—由点声源产生的倍频带声功率级，dB；</w:t>
            </w:r>
          </w:p>
          <w:p w14:paraId="073CA7C7">
            <w:pPr>
              <w:keepNext w:val="0"/>
              <w:keepLines w:val="0"/>
              <w:suppressLineNumbers w:val="0"/>
              <w:spacing w:before="0" w:beforeAutospacing="0" w:after="0" w:afterAutospacing="0" w:line="440" w:lineRule="exact"/>
              <w:ind w:left="0" w:right="0" w:firstLine="720" w:firstLineChars="300"/>
              <w:rPr>
                <w:rFonts w:hint="default"/>
                <w:sz w:val="24"/>
                <w:highlight w:val="none"/>
                <w:u w:val="none" w:color="auto"/>
              </w:rPr>
            </w:pPr>
            <w:r>
              <w:rPr>
                <w:rFonts w:hint="default"/>
                <w:sz w:val="24"/>
                <w:highlight w:val="none"/>
                <w:u w:val="none" w:color="auto"/>
              </w:rPr>
              <w:t>r—</w:t>
            </w:r>
            <w:r>
              <w:rPr>
                <w:rFonts w:hint="eastAsia"/>
                <w:sz w:val="24"/>
                <w:highlight w:val="none"/>
                <w:u w:val="none" w:color="auto"/>
              </w:rPr>
              <w:t>预测点距声源的距离，</w:t>
            </w:r>
            <w:r>
              <w:rPr>
                <w:rFonts w:hint="default"/>
                <w:sz w:val="24"/>
                <w:highlight w:val="none"/>
                <w:u w:val="none" w:color="auto"/>
              </w:rPr>
              <w:t>m；</w:t>
            </w:r>
          </w:p>
          <w:p w14:paraId="1F21B1E8">
            <w:pPr>
              <w:keepNext w:val="0"/>
              <w:keepLines w:val="0"/>
              <w:suppressLineNumbers w:val="0"/>
              <w:spacing w:before="0" w:beforeAutospacing="0" w:after="0" w:afterAutospacing="0" w:line="440" w:lineRule="exact"/>
              <w:ind w:left="0" w:right="0" w:firstLine="480" w:firstLineChars="200"/>
              <w:rPr>
                <w:rFonts w:hint="eastAsia"/>
                <w:sz w:val="24"/>
                <w:highlight w:val="none"/>
                <w:u w:val="none" w:color="auto"/>
                <w:lang w:eastAsia="zh-CN"/>
              </w:rPr>
            </w:pPr>
            <w:r>
              <w:rPr>
                <w:rFonts w:hint="eastAsia"/>
                <w:sz w:val="24"/>
                <w:highlight w:val="none"/>
                <w:u w:val="none" w:color="auto"/>
              </w:rPr>
              <w:t>本项目</w:t>
            </w:r>
            <w:r>
              <w:rPr>
                <w:rFonts w:hint="default"/>
                <w:sz w:val="24"/>
                <w:highlight w:val="none"/>
                <w:u w:val="none" w:color="auto"/>
              </w:rPr>
              <w:t>声源在预测点产生的贡献值（Leqg）计算公式</w:t>
            </w:r>
            <w:r>
              <w:rPr>
                <w:rFonts w:hint="eastAsia"/>
                <w:sz w:val="24"/>
                <w:highlight w:val="none"/>
                <w:u w:val="none" w:color="auto"/>
                <w:lang w:eastAsia="zh-CN"/>
              </w:rPr>
              <w:t>：</w:t>
            </w:r>
          </w:p>
          <w:p w14:paraId="31D59240">
            <w:pPr>
              <w:keepNext w:val="0"/>
              <w:keepLines w:val="0"/>
              <w:suppressLineNumbers w:val="0"/>
              <w:spacing w:before="0" w:beforeAutospacing="0" w:after="0" w:afterAutospacing="0" w:line="360" w:lineRule="auto"/>
              <w:ind w:left="0" w:right="0"/>
              <w:jc w:val="center"/>
              <w:rPr>
                <w:rFonts w:hint="default" w:hAnsi="Cambria Math" w:cs="Times New Roman"/>
                <w:i w:val="0"/>
                <w:color w:val="0C0C0C"/>
                <w:sz w:val="24"/>
                <w:szCs w:val="24"/>
                <w:highlight w:val="none"/>
                <w:u w:val="none" w:color="auto"/>
              </w:rPr>
            </w:pPr>
            <w:r>
              <w:rPr>
                <w:rFonts w:hint="default" w:ascii="Times New Roman" w:hAnsi="Times New Roman" w:cs="Times New Roman"/>
                <w:color w:val="0C0C0C"/>
                <w:sz w:val="24"/>
                <w:szCs w:val="24"/>
                <w:highlight w:val="none"/>
                <w:u w:val="none" w:color="auto"/>
              </w:rPr>
              <w:t>L</w:t>
            </w:r>
            <w:r>
              <w:rPr>
                <w:rFonts w:hint="eastAsia" w:ascii="Times New Roman" w:hAnsi="Times New Roman" w:cs="Times New Roman"/>
                <w:color w:val="0C0C0C"/>
                <w:sz w:val="24"/>
                <w:szCs w:val="24"/>
                <w:highlight w:val="none"/>
                <w:u w:val="none" w:color="auto"/>
                <w:vertAlign w:val="subscript"/>
              </w:rPr>
              <w:t>eqg</w:t>
            </w:r>
            <w:r>
              <w:rPr>
                <w:rFonts w:hint="default" w:ascii="Times New Roman" w:hAnsi="Times New Roman" w:cs="Times New Roman"/>
                <w:color w:val="0C0C0C"/>
                <w:sz w:val="24"/>
                <w:szCs w:val="24"/>
                <w:highlight w:val="none"/>
                <w:u w:val="none" w:color="auto"/>
              </w:rPr>
              <w:t>=10lg</w:t>
            </w:r>
            <m:oMath>
              <m:d>
                <m:dPr>
                  <m:begChr m:val="["/>
                  <m:endChr m:val="]"/>
                  <m:ctrlPr>
                    <w:rPr>
                      <w:rFonts w:hint="default" w:ascii="Cambria Math" w:hAnsi="Cambria Math" w:cs="Times New Roman"/>
                      <w:color w:val="0C0C0C"/>
                      <w:sz w:val="24"/>
                      <w:szCs w:val="24"/>
                      <w:highlight w:val="none"/>
                      <w:u w:val="none" w:color="auto"/>
                    </w:rPr>
                  </m:ctrlPr>
                </m:dPr>
                <m:e>
                  <m:f>
                    <m:fPr>
                      <m:ctrlPr>
                        <w:rPr>
                          <w:rFonts w:hint="default" w:ascii="Cambria Math" w:hAnsi="Cambria Math" w:cs="Times New Roman"/>
                          <w:i/>
                          <w:color w:val="0C0C0C"/>
                          <w:sz w:val="24"/>
                          <w:szCs w:val="24"/>
                          <w:highlight w:val="none"/>
                          <w:u w:val="none" w:color="auto"/>
                        </w:rPr>
                      </m:ctrlPr>
                    </m:fPr>
                    <m:num>
                      <m:r>
                        <m:rPr/>
                        <w:rPr>
                          <w:rFonts w:hint="default" w:ascii="Cambria Math" w:hAnsi="Cambria Math" w:cs="Times New Roman"/>
                          <w:color w:val="0C0C0C"/>
                          <w:sz w:val="24"/>
                          <w:szCs w:val="24"/>
                          <w:highlight w:val="none"/>
                          <w:u w:val="none" w:color="auto"/>
                        </w:rPr>
                        <m:t>1</m:t>
                      </m:r>
                      <m:ctrlPr>
                        <w:rPr>
                          <w:rFonts w:hint="default" w:ascii="Cambria Math" w:hAnsi="Cambria Math" w:cs="Times New Roman"/>
                          <w:i/>
                          <w:color w:val="0C0C0C"/>
                          <w:sz w:val="24"/>
                          <w:szCs w:val="24"/>
                          <w:highlight w:val="none"/>
                          <w:u w:val="none" w:color="auto"/>
                        </w:rPr>
                      </m:ctrlPr>
                    </m:num>
                    <m:den>
                      <m:r>
                        <m:rPr/>
                        <w:rPr>
                          <w:rFonts w:hint="default" w:ascii="Cambria Math" w:hAnsi="Cambria Math" w:cs="Times New Roman"/>
                          <w:color w:val="0C0C0C"/>
                          <w:sz w:val="24"/>
                          <w:szCs w:val="24"/>
                          <w:highlight w:val="none"/>
                          <w:u w:val="none" w:color="auto"/>
                        </w:rPr>
                        <m:t>T</m:t>
                      </m:r>
                      <m:ctrlPr>
                        <w:rPr>
                          <w:rFonts w:hint="default" w:ascii="Cambria Math" w:hAnsi="Cambria Math" w:cs="Times New Roman"/>
                          <w:i/>
                          <w:color w:val="0C0C0C"/>
                          <w:sz w:val="24"/>
                          <w:szCs w:val="24"/>
                          <w:highlight w:val="none"/>
                          <w:u w:val="none" w:color="auto"/>
                        </w:rPr>
                      </m:ctrlPr>
                    </m:den>
                  </m:f>
                  <m:d>
                    <m:dPr>
                      <m:begChr m:val="{"/>
                      <m:endChr m:val="}"/>
                      <m:ctrlPr>
                        <w:rPr>
                          <w:rFonts w:hint="default" w:ascii="Cambria Math" w:hAnsi="Cambria Math" w:cs="Times New Roman"/>
                          <w:i/>
                          <w:color w:val="0C0C0C"/>
                          <w:sz w:val="24"/>
                          <w:szCs w:val="24"/>
                          <w:highlight w:val="none"/>
                          <w:u w:val="none" w:color="auto"/>
                        </w:rPr>
                      </m:ctrlPr>
                    </m:dPr>
                    <m:e>
                      <m:limLow>
                        <m:limLowPr>
                          <m:ctrlPr>
                            <w:rPr>
                              <w:rFonts w:hint="default" w:ascii="Cambria Math" w:hAnsi="Cambria Math" w:cs="Times New Roman"/>
                              <w:color w:val="0C0C0C"/>
                              <w:sz w:val="24"/>
                              <w:szCs w:val="24"/>
                              <w:highlight w:val="none"/>
                              <w:u w:val="none" w:color="auto"/>
                            </w:rPr>
                          </m:ctrlPr>
                        </m:limLowPr>
                        <m:e>
                          <m:limUpp>
                            <m:limUppPr>
                              <m:ctrlPr>
                                <w:rPr>
                                  <w:rFonts w:hint="default" w:ascii="Cambria Math" w:hAnsi="Cambria Math" w:cs="Times New Roman"/>
                                  <w:i/>
                                  <w:color w:val="0C0C0C"/>
                                  <w:sz w:val="24"/>
                                  <w:szCs w:val="24"/>
                                  <w:highlight w:val="none"/>
                                  <w:u w:val="none" w:color="auto"/>
                                </w:rPr>
                              </m:ctrlPr>
                            </m:limUppPr>
                            <m:e>
                              <m:r>
                                <m:rPr/>
                                <w:rPr>
                                  <w:rFonts w:hint="default" w:ascii="Cambria Math" w:hAnsi="Cambria Math" w:cs="Times New Roman"/>
                                  <w:color w:val="0C0C0C"/>
                                  <w:sz w:val="24"/>
                                  <w:szCs w:val="24"/>
                                  <w:highlight w:val="none"/>
                                  <w:u w:val="none" w:color="auto"/>
                                </w:rPr>
                                <m:t>∑</m:t>
                              </m:r>
                              <m:ctrlPr>
                                <w:rPr>
                                  <w:rFonts w:hint="default" w:ascii="Cambria Math" w:hAnsi="Cambria Math" w:cs="Times New Roman"/>
                                  <w:i/>
                                  <w:color w:val="0C0C0C"/>
                                  <w:sz w:val="24"/>
                                  <w:szCs w:val="24"/>
                                  <w:highlight w:val="none"/>
                                  <w:u w:val="none" w:color="auto"/>
                                </w:rPr>
                              </m:ctrlPr>
                            </m:e>
                            <m:lim>
                              <m:r>
                                <m:rPr/>
                                <w:rPr>
                                  <w:rFonts w:hint="default" w:ascii="Cambria Math" w:hAnsi="Cambria Math" w:cs="Times New Roman"/>
                                  <w:color w:val="0C0C0C"/>
                                  <w:sz w:val="24"/>
                                  <w:szCs w:val="24"/>
                                  <w:highlight w:val="none"/>
                                  <w:u w:val="none" w:color="auto"/>
                                </w:rPr>
                                <m:t>N</m:t>
                              </m:r>
                              <m:ctrlPr>
                                <w:rPr>
                                  <w:rFonts w:hint="default" w:ascii="Cambria Math" w:hAnsi="Cambria Math" w:cs="Times New Roman"/>
                                  <w:i/>
                                  <w:color w:val="0C0C0C"/>
                                  <w:sz w:val="24"/>
                                  <w:szCs w:val="24"/>
                                  <w:highlight w:val="none"/>
                                  <w:u w:val="none" w:color="auto"/>
                                </w:rPr>
                              </m:ctrlPr>
                            </m:lim>
                          </m:limUpp>
                          <m:ctrlPr>
                            <w:rPr>
                              <w:rFonts w:hint="default" w:ascii="Cambria Math" w:hAnsi="Cambria Math" w:cs="Times New Roman"/>
                              <w:i/>
                              <w:sz w:val="24"/>
                              <w:szCs w:val="24"/>
                              <w:highlight w:val="none"/>
                              <w:u w:val="none" w:color="auto"/>
                            </w:rPr>
                          </m:ctrlPr>
                        </m:e>
                        <m:lim>
                          <m:r>
                            <m:rPr/>
                            <w:rPr>
                              <w:rFonts w:hint="default" w:ascii="Cambria Math" w:hAnsi="Cambria Math" w:cs="Times New Roman"/>
                              <w:sz w:val="24"/>
                              <w:szCs w:val="24"/>
                              <w:highlight w:val="none"/>
                              <w:u w:val="none" w:color="auto"/>
                            </w:rPr>
                            <m:t>i=1</m:t>
                          </m:r>
                          <m:ctrlPr>
                            <w:rPr>
                              <w:rFonts w:hint="default" w:ascii="Cambria Math" w:hAnsi="Cambria Math" w:cs="Times New Roman"/>
                              <w:color w:val="0C0C0C"/>
                              <w:sz w:val="24"/>
                              <w:szCs w:val="24"/>
                              <w:highlight w:val="none"/>
                              <w:u w:val="none" w:color="auto"/>
                            </w:rPr>
                          </m:ctrlPr>
                        </m:lim>
                      </m:limLow>
                      <m:sSub>
                        <m:sSubPr>
                          <m:ctrlPr>
                            <w:rPr>
                              <w:rFonts w:hint="default" w:ascii="Cambria Math" w:hAnsi="Cambria Math" w:cs="Times New Roman"/>
                              <w:i/>
                              <w:color w:val="0C0C0C"/>
                              <w:sz w:val="24"/>
                              <w:szCs w:val="24"/>
                              <w:highlight w:val="none"/>
                              <w:u w:val="none" w:color="auto"/>
                            </w:rPr>
                          </m:ctrlPr>
                        </m:sSubPr>
                        <m:e>
                          <m:r>
                            <m:rPr/>
                            <w:rPr>
                              <w:rFonts w:hint="default" w:ascii="Cambria Math" w:hAnsi="Cambria Math" w:cs="Times New Roman"/>
                              <w:color w:val="0C0C0C"/>
                              <w:sz w:val="24"/>
                              <w:szCs w:val="24"/>
                              <w:highlight w:val="none"/>
                              <w:u w:val="none" w:color="auto"/>
                            </w:rPr>
                            <m:t>t</m:t>
                          </m:r>
                          <m:ctrlPr>
                            <w:rPr>
                              <w:rFonts w:hint="default" w:ascii="Cambria Math" w:hAnsi="Cambria Math" w:cs="Times New Roman"/>
                              <w:i/>
                              <w:color w:val="0C0C0C"/>
                              <w:sz w:val="24"/>
                              <w:szCs w:val="24"/>
                              <w:highlight w:val="none"/>
                              <w:u w:val="none" w:color="auto"/>
                            </w:rPr>
                          </m:ctrlPr>
                        </m:e>
                        <m:sub>
                          <m:r>
                            <m:rPr/>
                            <w:rPr>
                              <w:rFonts w:hint="default" w:ascii="Cambria Math" w:hAnsi="Cambria Math" w:cs="Times New Roman"/>
                              <w:color w:val="0C0C0C"/>
                              <w:sz w:val="24"/>
                              <w:szCs w:val="24"/>
                              <w:highlight w:val="none"/>
                              <w:u w:val="none" w:color="auto"/>
                            </w:rPr>
                            <m:t>i</m:t>
                          </m:r>
                          <m:ctrlPr>
                            <w:rPr>
                              <w:rFonts w:hint="default" w:ascii="Cambria Math" w:hAnsi="Cambria Math" w:cs="Times New Roman"/>
                              <w:i/>
                              <w:color w:val="0C0C0C"/>
                              <w:sz w:val="24"/>
                              <w:szCs w:val="24"/>
                              <w:highlight w:val="none"/>
                              <w:u w:val="none" w:color="auto"/>
                            </w:rPr>
                          </m:ctrlPr>
                        </m:sub>
                      </m:sSub>
                      <m:sSup>
                        <m:sSupPr>
                          <m:ctrlPr>
                            <w:rPr>
                              <w:rFonts w:hint="default" w:ascii="Cambria Math" w:hAnsi="Cambria Math" w:cs="Times New Roman"/>
                              <w:i/>
                              <w:color w:val="0C0C0C"/>
                              <w:sz w:val="24"/>
                              <w:szCs w:val="24"/>
                              <w:highlight w:val="none"/>
                              <w:u w:val="none" w:color="auto"/>
                            </w:rPr>
                          </m:ctrlPr>
                        </m:sSupPr>
                        <m:e>
                          <m:r>
                            <m:rPr/>
                            <w:rPr>
                              <w:rFonts w:hint="default" w:ascii="Cambria Math" w:hAnsi="Cambria Math" w:cs="Times New Roman"/>
                              <w:color w:val="0C0C0C"/>
                              <w:sz w:val="24"/>
                              <w:szCs w:val="24"/>
                              <w:highlight w:val="none"/>
                              <w:u w:val="none" w:color="auto"/>
                            </w:rPr>
                            <m:t>10</m:t>
                          </m:r>
                          <m:ctrlPr>
                            <w:rPr>
                              <w:rFonts w:hint="default" w:ascii="Cambria Math" w:hAnsi="Cambria Math" w:cs="Times New Roman"/>
                              <w:i/>
                              <w:color w:val="0C0C0C"/>
                              <w:sz w:val="24"/>
                              <w:szCs w:val="24"/>
                              <w:highlight w:val="none"/>
                              <w:u w:val="none" w:color="auto"/>
                            </w:rPr>
                          </m:ctrlPr>
                        </m:e>
                        <m:sup>
                          <m:sSub>
                            <m:sSubPr>
                              <m:ctrlPr>
                                <w:rPr>
                                  <w:rFonts w:hint="default" w:ascii="Cambria Math" w:hAnsi="Cambria Math" w:cs="Times New Roman"/>
                                  <w:i/>
                                  <w:color w:val="0C0C0C"/>
                                  <w:sz w:val="24"/>
                                  <w:szCs w:val="24"/>
                                  <w:highlight w:val="none"/>
                                  <w:u w:val="none" w:color="auto"/>
                                </w:rPr>
                              </m:ctrlPr>
                            </m:sSubPr>
                            <m:e>
                              <m:r>
                                <m:rPr/>
                                <w:rPr>
                                  <w:rFonts w:hint="default" w:ascii="Cambria Math" w:hAnsi="Cambria Math" w:cs="Times New Roman"/>
                                  <w:color w:val="0C0C0C"/>
                                  <w:sz w:val="24"/>
                                  <w:szCs w:val="24"/>
                                  <w:highlight w:val="none"/>
                                  <w:u w:val="none" w:color="auto"/>
                                </w:rPr>
                                <m:t>0.1L</m:t>
                              </m:r>
                              <m:ctrlPr>
                                <w:rPr>
                                  <w:rFonts w:hint="default" w:ascii="Cambria Math" w:hAnsi="Cambria Math" w:cs="Times New Roman"/>
                                  <w:i/>
                                  <w:color w:val="0C0C0C"/>
                                  <w:sz w:val="24"/>
                                  <w:szCs w:val="24"/>
                                  <w:highlight w:val="none"/>
                                  <w:u w:val="none" w:color="auto"/>
                                </w:rPr>
                              </m:ctrlPr>
                            </m:e>
                            <m:sub>
                              <m:r>
                                <m:rPr/>
                                <w:rPr>
                                  <w:rFonts w:hint="default" w:ascii="Cambria Math" w:hAnsi="Cambria Math" w:cs="Times New Roman"/>
                                  <w:color w:val="0C0C0C"/>
                                  <w:sz w:val="24"/>
                                  <w:szCs w:val="24"/>
                                  <w:highlight w:val="none"/>
                                  <w:u w:val="none" w:color="auto"/>
                                </w:rPr>
                                <m:t>Ai</m:t>
                              </m:r>
                              <m:ctrlPr>
                                <w:rPr>
                                  <w:rFonts w:hint="default" w:ascii="Cambria Math" w:hAnsi="Cambria Math" w:cs="Times New Roman"/>
                                  <w:i/>
                                  <w:color w:val="0C0C0C"/>
                                  <w:sz w:val="24"/>
                                  <w:szCs w:val="24"/>
                                  <w:highlight w:val="none"/>
                                  <w:u w:val="none" w:color="auto"/>
                                </w:rPr>
                              </m:ctrlPr>
                            </m:sub>
                          </m:sSub>
                          <m:ctrlPr>
                            <w:rPr>
                              <w:rFonts w:hint="default" w:ascii="Cambria Math" w:hAnsi="Cambria Math" w:cs="Times New Roman"/>
                              <w:i/>
                              <w:color w:val="0C0C0C"/>
                              <w:sz w:val="24"/>
                              <w:szCs w:val="24"/>
                              <w:highlight w:val="none"/>
                              <w:u w:val="none" w:color="auto"/>
                            </w:rPr>
                          </m:ctrlPr>
                        </m:sup>
                      </m:sSup>
                      <m:r>
                        <m:rPr/>
                        <w:rPr>
                          <w:rFonts w:hint="default" w:ascii="Cambria Math" w:hAnsi="Cambria Math" w:cs="Times New Roman"/>
                          <w:color w:val="0C0C0C"/>
                          <w:sz w:val="24"/>
                          <w:szCs w:val="24"/>
                          <w:highlight w:val="none"/>
                          <w:u w:val="none" w:color="auto"/>
                        </w:rPr>
                        <m:t>+</m:t>
                      </m:r>
                      <m:limLow>
                        <m:limLowPr>
                          <m:ctrlPr>
                            <w:rPr>
                              <w:rFonts w:hint="default" w:ascii="Cambria Math" w:hAnsi="Cambria Math" w:cs="Times New Roman"/>
                              <w:color w:val="0C0C0C"/>
                              <w:sz w:val="24"/>
                              <w:szCs w:val="24"/>
                              <w:highlight w:val="none"/>
                              <w:u w:val="none" w:color="auto"/>
                            </w:rPr>
                          </m:ctrlPr>
                        </m:limLowPr>
                        <m:e>
                          <m:limUpp>
                            <m:limUppPr>
                              <m:ctrlPr>
                                <w:rPr>
                                  <w:rFonts w:hint="default" w:ascii="Cambria Math" w:hAnsi="Cambria Math" w:cs="Times New Roman"/>
                                  <w:i/>
                                  <w:color w:val="0C0C0C"/>
                                  <w:sz w:val="24"/>
                                  <w:szCs w:val="24"/>
                                  <w:highlight w:val="none"/>
                                  <w:u w:val="none" w:color="auto"/>
                                </w:rPr>
                              </m:ctrlPr>
                            </m:limUppPr>
                            <m:e>
                              <m:r>
                                <m:rPr/>
                                <w:rPr>
                                  <w:rFonts w:hint="default" w:ascii="Cambria Math" w:hAnsi="Cambria Math" w:cs="Times New Roman"/>
                                  <w:color w:val="0C0C0C"/>
                                  <w:sz w:val="24"/>
                                  <w:szCs w:val="24"/>
                                  <w:highlight w:val="none"/>
                                  <w:u w:val="none" w:color="auto"/>
                                </w:rPr>
                                <m:t>∑</m:t>
                              </m:r>
                              <m:ctrlPr>
                                <w:rPr>
                                  <w:rFonts w:hint="default" w:ascii="Cambria Math" w:hAnsi="Cambria Math" w:cs="Times New Roman"/>
                                  <w:i/>
                                  <w:color w:val="0C0C0C"/>
                                  <w:sz w:val="24"/>
                                  <w:szCs w:val="24"/>
                                  <w:highlight w:val="none"/>
                                  <w:u w:val="none" w:color="auto"/>
                                </w:rPr>
                              </m:ctrlPr>
                            </m:e>
                            <m:lim>
                              <m:r>
                                <m:rPr/>
                                <w:rPr>
                                  <w:rFonts w:hint="default" w:ascii="Cambria Math" w:hAnsi="Cambria Math" w:cs="Times New Roman"/>
                                  <w:color w:val="0C0C0C"/>
                                  <w:sz w:val="24"/>
                                  <w:szCs w:val="24"/>
                                  <w:highlight w:val="none"/>
                                  <w:u w:val="none" w:color="auto"/>
                                </w:rPr>
                                <m:t>M</m:t>
                              </m:r>
                              <m:ctrlPr>
                                <w:rPr>
                                  <w:rFonts w:hint="default" w:ascii="Cambria Math" w:hAnsi="Cambria Math" w:cs="Times New Roman"/>
                                  <w:i/>
                                  <w:color w:val="0C0C0C"/>
                                  <w:sz w:val="24"/>
                                  <w:szCs w:val="24"/>
                                  <w:highlight w:val="none"/>
                                  <w:u w:val="none" w:color="auto"/>
                                </w:rPr>
                              </m:ctrlPr>
                            </m:lim>
                          </m:limUpp>
                          <m:ctrlPr>
                            <w:rPr>
                              <w:rFonts w:hint="default" w:ascii="Cambria Math" w:hAnsi="Cambria Math" w:cs="Times New Roman"/>
                              <w:i/>
                              <w:sz w:val="24"/>
                              <w:szCs w:val="24"/>
                              <w:highlight w:val="none"/>
                              <w:u w:val="none" w:color="auto"/>
                            </w:rPr>
                          </m:ctrlPr>
                        </m:e>
                        <m:lim>
                          <m:r>
                            <m:rPr/>
                            <w:rPr>
                              <w:rFonts w:hint="default" w:ascii="Cambria Math" w:hAnsi="Cambria Math" w:cs="Times New Roman"/>
                              <w:sz w:val="24"/>
                              <w:szCs w:val="24"/>
                              <w:highlight w:val="none"/>
                              <w:u w:val="none" w:color="auto"/>
                            </w:rPr>
                            <m:t>j=1</m:t>
                          </m:r>
                          <m:ctrlPr>
                            <w:rPr>
                              <w:rFonts w:hint="default" w:ascii="Cambria Math" w:hAnsi="Cambria Math" w:cs="Times New Roman"/>
                              <w:color w:val="0C0C0C"/>
                              <w:sz w:val="24"/>
                              <w:szCs w:val="24"/>
                              <w:highlight w:val="none"/>
                              <w:u w:val="none" w:color="auto"/>
                            </w:rPr>
                          </m:ctrlPr>
                        </m:lim>
                      </m:limLow>
                      <m:sSub>
                        <m:sSubPr>
                          <m:ctrlPr>
                            <w:rPr>
                              <w:rFonts w:hint="default" w:ascii="Cambria Math" w:hAnsi="Cambria Math" w:cs="Times New Roman"/>
                              <w:i/>
                              <w:color w:val="0C0C0C"/>
                              <w:sz w:val="24"/>
                              <w:szCs w:val="24"/>
                              <w:highlight w:val="none"/>
                              <w:u w:val="none" w:color="auto"/>
                            </w:rPr>
                          </m:ctrlPr>
                        </m:sSubPr>
                        <m:e>
                          <m:r>
                            <m:rPr/>
                            <w:rPr>
                              <w:rFonts w:hint="default" w:ascii="Cambria Math" w:hAnsi="Cambria Math" w:cs="Times New Roman"/>
                              <w:color w:val="0C0C0C"/>
                              <w:sz w:val="24"/>
                              <w:szCs w:val="24"/>
                              <w:highlight w:val="none"/>
                              <w:u w:val="none" w:color="auto"/>
                            </w:rPr>
                            <m:t>t</m:t>
                          </m:r>
                          <m:ctrlPr>
                            <w:rPr>
                              <w:rFonts w:hint="default" w:ascii="Cambria Math" w:hAnsi="Cambria Math" w:cs="Times New Roman"/>
                              <w:i/>
                              <w:color w:val="0C0C0C"/>
                              <w:sz w:val="24"/>
                              <w:szCs w:val="24"/>
                              <w:highlight w:val="none"/>
                              <w:u w:val="none" w:color="auto"/>
                            </w:rPr>
                          </m:ctrlPr>
                        </m:e>
                        <m:sub>
                          <m:r>
                            <m:rPr/>
                            <w:rPr>
                              <w:rFonts w:hint="default" w:ascii="Cambria Math" w:hAnsi="Cambria Math" w:cs="Times New Roman"/>
                              <w:color w:val="0C0C0C"/>
                              <w:sz w:val="24"/>
                              <w:szCs w:val="24"/>
                              <w:highlight w:val="none"/>
                              <w:u w:val="none" w:color="auto"/>
                            </w:rPr>
                            <m:t>j</m:t>
                          </m:r>
                          <m:ctrlPr>
                            <w:rPr>
                              <w:rFonts w:hint="default" w:ascii="Cambria Math" w:hAnsi="Cambria Math" w:cs="Times New Roman"/>
                              <w:i/>
                              <w:color w:val="0C0C0C"/>
                              <w:sz w:val="24"/>
                              <w:szCs w:val="24"/>
                              <w:highlight w:val="none"/>
                              <w:u w:val="none" w:color="auto"/>
                            </w:rPr>
                          </m:ctrlPr>
                        </m:sub>
                      </m:sSub>
                      <m:sSup>
                        <m:sSupPr>
                          <m:ctrlPr>
                            <w:rPr>
                              <w:rFonts w:hint="default" w:ascii="Cambria Math" w:hAnsi="Cambria Math" w:cs="Times New Roman"/>
                              <w:i/>
                              <w:color w:val="0C0C0C"/>
                              <w:sz w:val="24"/>
                              <w:szCs w:val="24"/>
                              <w:highlight w:val="none"/>
                              <w:u w:val="none" w:color="auto"/>
                            </w:rPr>
                          </m:ctrlPr>
                        </m:sSupPr>
                        <m:e>
                          <m:r>
                            <m:rPr/>
                            <w:rPr>
                              <w:rFonts w:hint="default" w:ascii="Cambria Math" w:hAnsi="Cambria Math" w:cs="Times New Roman"/>
                              <w:color w:val="0C0C0C"/>
                              <w:sz w:val="24"/>
                              <w:szCs w:val="24"/>
                              <w:highlight w:val="none"/>
                              <w:u w:val="none" w:color="auto"/>
                            </w:rPr>
                            <m:t>10</m:t>
                          </m:r>
                          <m:ctrlPr>
                            <w:rPr>
                              <w:rFonts w:hint="default" w:ascii="Cambria Math" w:hAnsi="Cambria Math" w:cs="Times New Roman"/>
                              <w:i/>
                              <w:color w:val="0C0C0C"/>
                              <w:sz w:val="24"/>
                              <w:szCs w:val="24"/>
                              <w:highlight w:val="none"/>
                              <w:u w:val="none" w:color="auto"/>
                            </w:rPr>
                          </m:ctrlPr>
                        </m:e>
                        <m:sup>
                          <m:sSub>
                            <m:sSubPr>
                              <m:ctrlPr>
                                <w:rPr>
                                  <w:rFonts w:hint="default" w:ascii="Cambria Math" w:hAnsi="Cambria Math" w:cs="Times New Roman"/>
                                  <w:i/>
                                  <w:color w:val="0C0C0C"/>
                                  <w:sz w:val="24"/>
                                  <w:szCs w:val="24"/>
                                  <w:highlight w:val="none"/>
                                  <w:u w:val="none" w:color="auto"/>
                                </w:rPr>
                              </m:ctrlPr>
                            </m:sSubPr>
                            <m:e>
                              <m:r>
                                <m:rPr/>
                                <w:rPr>
                                  <w:rFonts w:hint="default" w:ascii="Cambria Math" w:hAnsi="Cambria Math" w:cs="Times New Roman"/>
                                  <w:color w:val="0C0C0C"/>
                                  <w:sz w:val="24"/>
                                  <w:szCs w:val="24"/>
                                  <w:highlight w:val="none"/>
                                  <w:u w:val="none" w:color="auto"/>
                                </w:rPr>
                                <m:t>0.1L</m:t>
                              </m:r>
                              <m:ctrlPr>
                                <w:rPr>
                                  <w:rFonts w:hint="default" w:ascii="Cambria Math" w:hAnsi="Cambria Math" w:cs="Times New Roman"/>
                                  <w:i/>
                                  <w:color w:val="0C0C0C"/>
                                  <w:sz w:val="24"/>
                                  <w:szCs w:val="24"/>
                                  <w:highlight w:val="none"/>
                                  <w:u w:val="none" w:color="auto"/>
                                </w:rPr>
                              </m:ctrlPr>
                            </m:e>
                            <m:sub>
                              <m:r>
                                <m:rPr/>
                                <w:rPr>
                                  <w:rFonts w:hint="default" w:ascii="Cambria Math" w:hAnsi="Cambria Math" w:cs="Times New Roman"/>
                                  <w:color w:val="0C0C0C"/>
                                  <w:sz w:val="24"/>
                                  <w:szCs w:val="24"/>
                                  <w:highlight w:val="none"/>
                                  <w:u w:val="none" w:color="auto"/>
                                </w:rPr>
                                <m:t>Aj</m:t>
                              </m:r>
                              <m:ctrlPr>
                                <w:rPr>
                                  <w:rFonts w:hint="default" w:ascii="Cambria Math" w:hAnsi="Cambria Math" w:cs="Times New Roman"/>
                                  <w:i/>
                                  <w:color w:val="0C0C0C"/>
                                  <w:sz w:val="24"/>
                                  <w:szCs w:val="24"/>
                                  <w:highlight w:val="none"/>
                                  <w:u w:val="none" w:color="auto"/>
                                </w:rPr>
                              </m:ctrlPr>
                            </m:sub>
                          </m:sSub>
                          <m:ctrlPr>
                            <w:rPr>
                              <w:rFonts w:hint="default" w:ascii="Cambria Math" w:hAnsi="Cambria Math" w:cs="Times New Roman"/>
                              <w:i/>
                              <w:color w:val="0C0C0C"/>
                              <w:sz w:val="24"/>
                              <w:szCs w:val="24"/>
                              <w:highlight w:val="none"/>
                              <w:u w:val="none" w:color="auto"/>
                            </w:rPr>
                          </m:ctrlPr>
                        </m:sup>
                      </m:sSup>
                      <m:ctrlPr>
                        <w:rPr>
                          <w:rFonts w:hint="default" w:ascii="Cambria Math" w:hAnsi="Cambria Math" w:cs="Times New Roman"/>
                          <w:i/>
                          <w:color w:val="0C0C0C"/>
                          <w:sz w:val="24"/>
                          <w:szCs w:val="24"/>
                          <w:highlight w:val="none"/>
                          <w:u w:val="none" w:color="auto"/>
                        </w:rPr>
                      </m:ctrlPr>
                    </m:e>
                  </m:d>
                  <m:ctrlPr>
                    <w:rPr>
                      <w:rFonts w:hint="default" w:ascii="Cambria Math" w:hAnsi="Cambria Math" w:cs="Times New Roman"/>
                      <w:color w:val="0C0C0C"/>
                      <w:sz w:val="24"/>
                      <w:szCs w:val="24"/>
                      <w:highlight w:val="none"/>
                      <w:u w:val="none" w:color="auto"/>
                    </w:rPr>
                  </m:ctrlPr>
                </m:e>
              </m:d>
            </m:oMath>
          </w:p>
          <w:p w14:paraId="175378DC">
            <w:pPr>
              <w:keepNext w:val="0"/>
              <w:keepLines w:val="0"/>
              <w:suppressLineNumbers w:val="0"/>
              <w:spacing w:before="0" w:beforeAutospacing="0" w:after="0" w:afterAutospacing="0" w:line="440" w:lineRule="exact"/>
              <w:ind w:left="0" w:right="0"/>
              <w:rPr>
                <w:rFonts w:hint="default"/>
                <w:sz w:val="24"/>
                <w:highlight w:val="none"/>
                <w:u w:val="none" w:color="auto"/>
              </w:rPr>
            </w:pPr>
            <w:r>
              <w:rPr>
                <w:rFonts w:hint="default"/>
                <w:sz w:val="24"/>
                <w:highlight w:val="none"/>
                <w:u w:val="none" w:color="auto"/>
              </w:rPr>
              <w:t>式中：Leqg—建设项目声源在预测的产生的噪声贡献值，dB；</w:t>
            </w:r>
          </w:p>
          <w:p w14:paraId="7E240D01">
            <w:pPr>
              <w:keepNext w:val="0"/>
              <w:keepLines w:val="0"/>
              <w:suppressLineNumbers w:val="0"/>
              <w:spacing w:before="0" w:beforeAutospacing="0" w:after="0" w:afterAutospacing="0" w:line="440" w:lineRule="exact"/>
              <w:ind w:left="0" w:right="0" w:firstLine="720" w:firstLineChars="300"/>
              <w:rPr>
                <w:rFonts w:hint="default"/>
                <w:sz w:val="24"/>
                <w:highlight w:val="none"/>
                <w:u w:val="none" w:color="auto"/>
              </w:rPr>
            </w:pPr>
            <w:r>
              <w:rPr>
                <w:rFonts w:hint="default"/>
                <w:sz w:val="24"/>
                <w:highlight w:val="none"/>
                <w:u w:val="none" w:color="auto"/>
              </w:rPr>
              <w:t>T—用于计算等效声级的时间，s；</w:t>
            </w:r>
          </w:p>
          <w:p w14:paraId="1EC51A47">
            <w:pPr>
              <w:keepNext w:val="0"/>
              <w:keepLines w:val="0"/>
              <w:suppressLineNumbers w:val="0"/>
              <w:spacing w:before="0" w:beforeAutospacing="0" w:after="0" w:afterAutospacing="0" w:line="440" w:lineRule="exact"/>
              <w:ind w:left="0" w:right="0" w:firstLine="720" w:firstLineChars="300"/>
              <w:rPr>
                <w:rFonts w:hint="default"/>
                <w:sz w:val="24"/>
                <w:highlight w:val="none"/>
                <w:u w:val="none" w:color="auto"/>
              </w:rPr>
            </w:pPr>
            <w:r>
              <w:rPr>
                <w:rFonts w:hint="default"/>
                <w:sz w:val="24"/>
                <w:highlight w:val="none"/>
                <w:u w:val="none" w:color="auto"/>
              </w:rPr>
              <w:t>N—室外声源个数；</w:t>
            </w:r>
          </w:p>
          <w:p w14:paraId="223ED9D5">
            <w:pPr>
              <w:keepNext w:val="0"/>
              <w:keepLines w:val="0"/>
              <w:suppressLineNumbers w:val="0"/>
              <w:spacing w:before="0" w:beforeAutospacing="0" w:after="0" w:afterAutospacing="0" w:line="440" w:lineRule="exact"/>
              <w:ind w:left="0" w:right="0" w:firstLine="720" w:firstLineChars="300"/>
              <w:rPr>
                <w:rFonts w:hint="default"/>
                <w:sz w:val="24"/>
                <w:highlight w:val="none"/>
                <w:u w:val="none" w:color="auto"/>
              </w:rPr>
            </w:pPr>
            <w:r>
              <w:rPr>
                <w:rFonts w:hint="default"/>
                <w:sz w:val="24"/>
                <w:highlight w:val="none"/>
                <w:u w:val="none" w:color="auto"/>
              </w:rPr>
              <w:t>ti—在T时间内i声源内工作时间，s；</w:t>
            </w:r>
          </w:p>
          <w:p w14:paraId="7E9D85F3">
            <w:pPr>
              <w:keepNext w:val="0"/>
              <w:keepLines w:val="0"/>
              <w:suppressLineNumbers w:val="0"/>
              <w:spacing w:before="0" w:beforeAutospacing="0" w:after="0" w:afterAutospacing="0" w:line="440" w:lineRule="exact"/>
              <w:ind w:left="0" w:right="0" w:firstLine="720" w:firstLineChars="300"/>
              <w:rPr>
                <w:rFonts w:hint="default"/>
                <w:sz w:val="24"/>
                <w:highlight w:val="none"/>
                <w:u w:val="none" w:color="auto"/>
              </w:rPr>
            </w:pPr>
            <w:r>
              <w:rPr>
                <w:rFonts w:hint="default"/>
                <w:sz w:val="24"/>
                <w:highlight w:val="none"/>
                <w:u w:val="none" w:color="auto"/>
              </w:rPr>
              <w:t>M—等效室外声源个数；</w:t>
            </w:r>
          </w:p>
          <w:p w14:paraId="7383650F">
            <w:pPr>
              <w:keepNext w:val="0"/>
              <w:keepLines w:val="0"/>
              <w:suppressLineNumbers w:val="0"/>
              <w:spacing w:before="0" w:beforeAutospacing="0" w:after="0" w:afterAutospacing="0" w:line="440" w:lineRule="exact"/>
              <w:ind w:left="0" w:right="0" w:firstLine="720" w:firstLineChars="300"/>
              <w:rPr>
                <w:rFonts w:hint="default"/>
                <w:sz w:val="24"/>
                <w:highlight w:val="none"/>
                <w:u w:val="none" w:color="auto"/>
              </w:rPr>
            </w:pPr>
            <w:r>
              <w:rPr>
                <w:rFonts w:hint="default"/>
                <w:sz w:val="24"/>
                <w:highlight w:val="none"/>
                <w:u w:val="none" w:color="auto"/>
              </w:rPr>
              <w:t>ti—在T时间内j声源内工作时间，s；</w:t>
            </w:r>
          </w:p>
          <w:p w14:paraId="7349B5CB">
            <w:pPr>
              <w:keepNext w:val="0"/>
              <w:keepLines w:val="0"/>
              <w:suppressLineNumbers w:val="0"/>
              <w:tabs>
                <w:tab w:val="left" w:pos="8370"/>
                <w:tab w:val="left" w:pos="8600"/>
              </w:tabs>
              <w:spacing w:before="0" w:beforeAutospacing="0" w:after="0" w:afterAutospacing="0" w:line="440" w:lineRule="exact"/>
              <w:ind w:left="0" w:right="0" w:firstLine="480" w:firstLineChars="200"/>
              <w:rPr>
                <w:rFonts w:hint="eastAsia"/>
                <w:sz w:val="24"/>
                <w:highlight w:val="none"/>
                <w:u w:val="none" w:color="auto"/>
              </w:rPr>
            </w:pPr>
            <w:r>
              <w:rPr>
                <w:rFonts w:hint="default"/>
                <w:sz w:val="24"/>
                <w:highlight w:val="none"/>
                <w:u w:val="none" w:color="auto"/>
              </w:rPr>
              <w:t>根据本</w:t>
            </w:r>
            <w:r>
              <w:rPr>
                <w:rFonts w:hint="eastAsia"/>
                <w:sz w:val="24"/>
                <w:highlight w:val="none"/>
                <w:u w:val="none" w:color="auto"/>
              </w:rPr>
              <w:t>项目</w:t>
            </w:r>
            <w:r>
              <w:rPr>
                <w:rFonts w:hint="default"/>
                <w:sz w:val="24"/>
                <w:highlight w:val="none"/>
                <w:u w:val="none" w:color="auto"/>
              </w:rPr>
              <w:t>噪声源的分布，对项目四周厂界噪声</w:t>
            </w:r>
            <w:r>
              <w:rPr>
                <w:rFonts w:hint="eastAsia"/>
                <w:sz w:val="24"/>
                <w:highlight w:val="none"/>
                <w:u w:val="none" w:color="auto"/>
              </w:rPr>
              <w:t>贡献值</w:t>
            </w:r>
            <w:r>
              <w:rPr>
                <w:rFonts w:hint="default"/>
                <w:sz w:val="24"/>
                <w:highlight w:val="none"/>
                <w:u w:val="none" w:color="auto"/>
              </w:rPr>
              <w:t>进行计算，</w:t>
            </w:r>
            <w:r>
              <w:rPr>
                <w:rFonts w:hint="eastAsia"/>
                <w:sz w:val="24"/>
                <w:highlight w:val="none"/>
                <w:u w:val="none" w:color="auto"/>
              </w:rPr>
              <w:t>本次评价</w:t>
            </w:r>
            <w:r>
              <w:rPr>
                <w:rFonts w:hint="default"/>
                <w:sz w:val="24"/>
                <w:highlight w:val="none"/>
                <w:u w:val="none" w:color="auto"/>
              </w:rPr>
              <w:t>厂界噪声的预测结果见</w:t>
            </w:r>
            <w:r>
              <w:rPr>
                <w:rFonts w:hint="eastAsia"/>
                <w:sz w:val="24"/>
                <w:highlight w:val="none"/>
                <w:u w:val="none" w:color="auto"/>
              </w:rPr>
              <w:t>下</w:t>
            </w:r>
            <w:r>
              <w:rPr>
                <w:rFonts w:hint="default"/>
                <w:sz w:val="24"/>
                <w:highlight w:val="none"/>
                <w:u w:val="none" w:color="auto"/>
              </w:rPr>
              <w:t>表。</w:t>
            </w:r>
          </w:p>
          <w:p w14:paraId="1229781E">
            <w:pPr>
              <w:keepNext w:val="0"/>
              <w:keepLines w:val="0"/>
              <w:suppressLineNumbers w:val="0"/>
              <w:tabs>
                <w:tab w:val="left" w:pos="3620"/>
              </w:tabs>
              <w:adjustRightInd w:val="0"/>
              <w:snapToGrid w:val="0"/>
              <w:spacing w:before="0" w:beforeAutospacing="0" w:after="0" w:afterAutospacing="0" w:line="440" w:lineRule="exact"/>
              <w:ind w:left="0" w:right="0" w:firstLine="482" w:firstLineChars="200"/>
              <w:jc w:val="center"/>
              <w:rPr>
                <w:rFonts w:hint="default" w:ascii="Times New Roman" w:hAnsi="黑体" w:eastAsia="黑体" w:cs="Times New Roman"/>
                <w:color w:val="000000"/>
                <w:sz w:val="24"/>
                <w:highlight w:val="none"/>
                <w:u w:val="none" w:color="auto"/>
              </w:rPr>
            </w:pPr>
            <w:r>
              <w:rPr>
                <w:rFonts w:hint="default"/>
                <w:b/>
                <w:bCs/>
                <w:color w:val="000000"/>
                <w:sz w:val="24"/>
                <w:u w:val="none" w:color="auto"/>
                <w:lang w:val="en-US" w:eastAsia="zh-CN"/>
              </w:rPr>
              <w:t>表</w:t>
            </w:r>
            <w:r>
              <w:rPr>
                <w:rFonts w:hint="eastAsia"/>
                <w:b/>
                <w:bCs/>
                <w:color w:val="000000"/>
                <w:sz w:val="24"/>
                <w:u w:val="none" w:color="auto"/>
                <w:lang w:val="en-US" w:eastAsia="zh-CN"/>
              </w:rPr>
              <w:t xml:space="preserve">4-23     </w:t>
            </w:r>
            <w:r>
              <w:rPr>
                <w:rFonts w:hint="eastAsia" w:ascii="宋体" w:hAnsi="宋体"/>
                <w:b/>
                <w:color w:val="000000"/>
                <w:sz w:val="24"/>
                <w:highlight w:val="none"/>
                <w:u w:val="none" w:color="auto"/>
              </w:rPr>
              <w:t>各厂界噪声预测值</w:t>
            </w:r>
            <w:r>
              <w:rPr>
                <w:rFonts w:hint="eastAsia" w:ascii="宋体" w:hAnsi="宋体"/>
                <w:b/>
                <w:color w:val="000000"/>
                <w:sz w:val="24"/>
                <w:highlight w:val="none"/>
                <w:u w:val="none" w:color="auto"/>
                <w:lang w:val="en-US" w:eastAsia="zh-CN"/>
              </w:rPr>
              <w:t xml:space="preserve">  </w:t>
            </w:r>
            <w:r>
              <w:rPr>
                <w:rFonts w:hint="default" w:ascii="宋体" w:hAnsi="宋体"/>
                <w:b/>
                <w:color w:val="000000"/>
                <w:sz w:val="24"/>
                <w:highlight w:val="none"/>
                <w:u w:val="none" w:color="auto"/>
              </w:rPr>
              <w:t>单位：</w:t>
            </w:r>
            <w:r>
              <w:rPr>
                <w:rFonts w:hint="default" w:ascii="Times New Roman" w:hAnsi="Times New Roman" w:cs="Times New Roman"/>
                <w:b/>
                <w:color w:val="000000"/>
                <w:sz w:val="24"/>
                <w:highlight w:val="none"/>
                <w:u w:val="none" w:color="auto"/>
              </w:rPr>
              <w:t>dB（A）</w:t>
            </w:r>
          </w:p>
          <w:tbl>
            <w:tblPr>
              <w:tblStyle w:val="32"/>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1427"/>
              <w:gridCol w:w="1224"/>
              <w:gridCol w:w="1665"/>
              <w:gridCol w:w="1289"/>
              <w:gridCol w:w="1289"/>
            </w:tblGrid>
            <w:tr w14:paraId="21E3AB3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tcBorders>
                    <w:bottom w:val="single" w:color="000000" w:sz="8" w:space="0"/>
                  </w:tcBorders>
                  <w:noWrap w:val="0"/>
                  <w:vAlign w:val="center"/>
                </w:tcPr>
                <w:p w14:paraId="0F0525DE">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b/>
                      <w:bCs/>
                      <w:color w:val="auto"/>
                      <w:sz w:val="21"/>
                      <w:szCs w:val="21"/>
                      <w:highlight w:val="none"/>
                      <w:u w:val="none" w:color="auto"/>
                      <w:lang w:val="en-US" w:eastAsia="zh-CN"/>
                    </w:rPr>
                    <w:t>点位</w:t>
                  </w:r>
                </w:p>
              </w:tc>
              <w:tc>
                <w:tcPr>
                  <w:tcW w:w="903" w:type="pct"/>
                  <w:tcBorders>
                    <w:bottom w:val="single" w:color="000000" w:sz="8" w:space="0"/>
                  </w:tcBorders>
                  <w:noWrap w:val="0"/>
                  <w:vAlign w:val="center"/>
                </w:tcPr>
                <w:p w14:paraId="6982CA7C">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b/>
                      <w:bCs/>
                      <w:color w:val="auto"/>
                      <w:sz w:val="21"/>
                      <w:szCs w:val="21"/>
                      <w:highlight w:val="none"/>
                      <w:u w:val="none" w:color="auto"/>
                      <w:lang w:val="en-US" w:eastAsia="zh-CN"/>
                    </w:rPr>
                    <w:t>噪声源</w:t>
                  </w:r>
                </w:p>
              </w:tc>
              <w:tc>
                <w:tcPr>
                  <w:tcW w:w="774" w:type="pct"/>
                  <w:tcBorders>
                    <w:bottom w:val="single" w:color="000000" w:sz="8" w:space="0"/>
                  </w:tcBorders>
                  <w:noWrap w:val="0"/>
                  <w:vAlign w:val="center"/>
                </w:tcPr>
                <w:p w14:paraId="297D0917">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b/>
                      <w:bCs/>
                      <w:color w:val="auto"/>
                      <w:sz w:val="21"/>
                      <w:szCs w:val="21"/>
                      <w:highlight w:val="none"/>
                      <w:u w:val="none" w:color="auto"/>
                      <w:lang w:val="en-US" w:eastAsia="zh-CN"/>
                    </w:rPr>
                    <w:t>声功率级/dB（A）</w:t>
                  </w:r>
                </w:p>
              </w:tc>
              <w:tc>
                <w:tcPr>
                  <w:tcW w:w="1053" w:type="pct"/>
                  <w:tcBorders>
                    <w:bottom w:val="single" w:color="000000" w:sz="8" w:space="0"/>
                  </w:tcBorders>
                  <w:noWrap w:val="0"/>
                  <w:vAlign w:val="center"/>
                </w:tcPr>
                <w:p w14:paraId="748E29DD">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b/>
                      <w:bCs/>
                      <w:color w:val="auto"/>
                      <w:sz w:val="21"/>
                      <w:szCs w:val="21"/>
                      <w:highlight w:val="none"/>
                      <w:u w:val="none" w:color="auto"/>
                      <w:lang w:val="en-US" w:eastAsia="zh-CN"/>
                    </w:rPr>
                    <w:t>与厂界距离（m）</w:t>
                  </w:r>
                </w:p>
              </w:tc>
              <w:tc>
                <w:tcPr>
                  <w:tcW w:w="815" w:type="pct"/>
                  <w:tcBorders>
                    <w:bottom w:val="single" w:color="000000" w:sz="8" w:space="0"/>
                  </w:tcBorders>
                  <w:noWrap w:val="0"/>
                  <w:vAlign w:val="center"/>
                </w:tcPr>
                <w:p w14:paraId="74A39C8A">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b/>
                      <w:bCs/>
                      <w:color w:val="auto"/>
                      <w:sz w:val="21"/>
                      <w:szCs w:val="21"/>
                      <w:highlight w:val="none"/>
                      <w:u w:val="none" w:color="auto"/>
                      <w:lang w:val="en-US" w:eastAsia="zh-CN"/>
                    </w:rPr>
                    <w:t>贡献值/dB（A）</w:t>
                  </w:r>
                </w:p>
              </w:tc>
              <w:tc>
                <w:tcPr>
                  <w:tcW w:w="815" w:type="pct"/>
                  <w:tcBorders>
                    <w:bottom w:val="single" w:color="000000" w:sz="8" w:space="0"/>
                  </w:tcBorders>
                  <w:noWrap w:val="0"/>
                  <w:vAlign w:val="center"/>
                </w:tcPr>
                <w:p w14:paraId="1A2BE07B">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b/>
                      <w:bCs/>
                      <w:color w:val="auto"/>
                      <w:sz w:val="21"/>
                      <w:szCs w:val="21"/>
                      <w:highlight w:val="none"/>
                      <w:u w:val="none" w:color="auto"/>
                      <w:lang w:val="en-US" w:eastAsia="zh-CN"/>
                    </w:rPr>
                    <w:t>叠加值/dB（A）</w:t>
                  </w:r>
                </w:p>
              </w:tc>
            </w:tr>
            <w:tr w14:paraId="7D89FDB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restart"/>
                  <w:tcBorders>
                    <w:top w:val="single" w:color="000000" w:sz="8" w:space="0"/>
                    <w:tl2br w:val="nil"/>
                    <w:tr2bl w:val="nil"/>
                  </w:tcBorders>
                  <w:noWrap w:val="0"/>
                  <w:vAlign w:val="center"/>
                </w:tcPr>
                <w:p w14:paraId="4A8EA555">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东厂界</w:t>
                  </w:r>
                </w:p>
              </w:tc>
              <w:tc>
                <w:tcPr>
                  <w:tcW w:w="903" w:type="pct"/>
                  <w:tcBorders>
                    <w:top w:val="single" w:color="000000" w:sz="8" w:space="0"/>
                    <w:tl2br w:val="nil"/>
                    <w:tr2bl w:val="nil"/>
                  </w:tcBorders>
                  <w:noWrap w:val="0"/>
                  <w:vAlign w:val="center"/>
                </w:tcPr>
                <w:p w14:paraId="2AE4E28E">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eastAsia" w:ascii="Times New Roman" w:hAnsi="Times New Roman" w:eastAsia="宋体"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生产车间</w:t>
                  </w:r>
                </w:p>
              </w:tc>
              <w:tc>
                <w:tcPr>
                  <w:tcW w:w="774" w:type="pct"/>
                  <w:tcBorders>
                    <w:top w:val="single" w:color="000000" w:sz="8" w:space="0"/>
                    <w:tl2br w:val="nil"/>
                    <w:tr2bl w:val="nil"/>
                  </w:tcBorders>
                  <w:noWrap w:val="0"/>
                  <w:vAlign w:val="center"/>
                </w:tcPr>
                <w:p w14:paraId="51703BA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62.6</w:t>
                  </w:r>
                </w:p>
              </w:tc>
              <w:tc>
                <w:tcPr>
                  <w:tcW w:w="1053" w:type="pct"/>
                  <w:tcBorders>
                    <w:top w:val="single" w:color="000000" w:sz="8" w:space="0"/>
                    <w:tl2br w:val="nil"/>
                    <w:tr2bl w:val="nil"/>
                  </w:tcBorders>
                  <w:noWrap w:val="0"/>
                  <w:vAlign w:val="center"/>
                </w:tcPr>
                <w:p w14:paraId="52B85F5C">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23</w:t>
                  </w:r>
                </w:p>
              </w:tc>
              <w:tc>
                <w:tcPr>
                  <w:tcW w:w="815" w:type="pct"/>
                  <w:tcBorders>
                    <w:top w:val="single" w:color="000000" w:sz="8" w:space="0"/>
                    <w:tl2br w:val="nil"/>
                    <w:tr2bl w:val="nil"/>
                  </w:tcBorders>
                  <w:noWrap w:val="0"/>
                  <w:vAlign w:val="center"/>
                </w:tcPr>
                <w:p w14:paraId="60B8EF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27.4</w:t>
                  </w:r>
                </w:p>
              </w:tc>
              <w:tc>
                <w:tcPr>
                  <w:tcW w:w="815" w:type="pct"/>
                  <w:vMerge w:val="restart"/>
                  <w:tcBorders>
                    <w:top w:val="single" w:color="000000" w:sz="8" w:space="0"/>
                    <w:tl2br w:val="nil"/>
                    <w:tr2bl w:val="nil"/>
                  </w:tcBorders>
                  <w:noWrap w:val="0"/>
                  <w:vAlign w:val="center"/>
                </w:tcPr>
                <w:p w14:paraId="167900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cs="Times New Roman"/>
                      <w:i w:val="0"/>
                      <w:iCs w:val="0"/>
                      <w:color w:val="000000"/>
                      <w:kern w:val="0"/>
                      <w:sz w:val="21"/>
                      <w:szCs w:val="21"/>
                      <w:u w:val="none" w:color="auto"/>
                      <w:lang w:val="en-US" w:eastAsia="zh-CN" w:bidi="ar"/>
                    </w:rPr>
                    <w:t>52.4</w:t>
                  </w:r>
                </w:p>
              </w:tc>
            </w:tr>
            <w:tr w14:paraId="2A8B8D2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continue"/>
                  <w:tcBorders>
                    <w:tl2br w:val="nil"/>
                    <w:tr2bl w:val="nil"/>
                  </w:tcBorders>
                  <w:noWrap w:val="0"/>
                  <w:vAlign w:val="center"/>
                </w:tcPr>
                <w:p w14:paraId="7E61BE7E">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903" w:type="pct"/>
                  <w:tcBorders>
                    <w:tl2br w:val="nil"/>
                    <w:tr2bl w:val="nil"/>
                  </w:tcBorders>
                  <w:noWrap w:val="0"/>
                  <w:vAlign w:val="center"/>
                </w:tcPr>
                <w:p w14:paraId="3CB61F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u w:val="none" w:color="auto"/>
                      <w:lang w:eastAsia="zh-CN"/>
                    </w:rPr>
                  </w:pPr>
                  <w:r>
                    <w:rPr>
                      <w:rFonts w:hint="eastAsia" w:ascii="Times New Roman" w:hAnsi="Times New Roman" w:cs="Times New Roman"/>
                      <w:color w:val="auto"/>
                      <w:kern w:val="2"/>
                      <w:sz w:val="21"/>
                      <w:szCs w:val="21"/>
                      <w:u w:val="none" w:color="auto"/>
                      <w:lang w:val="en-US" w:eastAsia="zh-CN"/>
                    </w:rPr>
                    <w:t>DA001</w:t>
                  </w:r>
                  <w:r>
                    <w:rPr>
                      <w:rFonts w:hint="default" w:ascii="Times New Roman" w:hAnsi="Times New Roman" w:cs="Times New Roman"/>
                      <w:color w:val="auto"/>
                      <w:kern w:val="2"/>
                      <w:sz w:val="21"/>
                      <w:szCs w:val="21"/>
                      <w:u w:val="none" w:color="auto"/>
                    </w:rPr>
                    <w:t>风机</w:t>
                  </w:r>
                </w:p>
              </w:tc>
              <w:tc>
                <w:tcPr>
                  <w:tcW w:w="774" w:type="pct"/>
                  <w:tcBorders>
                    <w:tl2br w:val="nil"/>
                    <w:tr2bl w:val="nil"/>
                  </w:tcBorders>
                  <w:noWrap w:val="0"/>
                  <w:vAlign w:val="center"/>
                </w:tcPr>
                <w:p w14:paraId="46AA9128">
                  <w:pPr>
                    <w:keepNext w:val="0"/>
                    <w:keepLines w:val="0"/>
                    <w:suppressLineNumbers w:val="0"/>
                    <w:spacing w:before="0" w:beforeAutospacing="0" w:after="0" w:afterAutospacing="0" w:line="240" w:lineRule="auto"/>
                    <w:ind w:left="0" w:leftChars="0" w:right="0" w:rightChars="0"/>
                    <w:jc w:val="center"/>
                    <w:rPr>
                      <w:rFonts w:hint="default"/>
                      <w:b w:val="0"/>
                      <w:bCs w:val="0"/>
                      <w:sz w:val="21"/>
                      <w:szCs w:val="21"/>
                      <w:highlight w:val="none"/>
                      <w:u w:val="none" w:color="auto"/>
                      <w:vertAlign w:val="baseline"/>
                      <w:lang w:val="en-US" w:eastAsia="zh-CN"/>
                    </w:rPr>
                  </w:pPr>
                  <w:r>
                    <w:rPr>
                      <w:rFonts w:hint="eastAsia"/>
                      <w:b w:val="0"/>
                      <w:bCs w:val="0"/>
                      <w:sz w:val="21"/>
                      <w:szCs w:val="21"/>
                      <w:highlight w:val="none"/>
                      <w:u w:val="none" w:color="auto"/>
                      <w:vertAlign w:val="baseline"/>
                      <w:lang w:val="en-US" w:eastAsia="zh-CN"/>
                    </w:rPr>
                    <w:t>85</w:t>
                  </w:r>
                </w:p>
              </w:tc>
              <w:tc>
                <w:tcPr>
                  <w:tcW w:w="1053" w:type="pct"/>
                  <w:tcBorders>
                    <w:tl2br w:val="nil"/>
                    <w:tr2bl w:val="nil"/>
                  </w:tcBorders>
                  <w:noWrap w:val="0"/>
                  <w:vAlign w:val="center"/>
                </w:tcPr>
                <w:p w14:paraId="5933A4B5">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65</w:t>
                  </w:r>
                </w:p>
              </w:tc>
              <w:tc>
                <w:tcPr>
                  <w:tcW w:w="815" w:type="pct"/>
                  <w:tcBorders>
                    <w:tl2br w:val="nil"/>
                    <w:tr2bl w:val="nil"/>
                  </w:tcBorders>
                  <w:noWrap w:val="0"/>
                  <w:vAlign w:val="center"/>
                </w:tcPr>
                <w:p w14:paraId="0C36C9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u w:val="none" w:color="auto"/>
                      <w:lang w:val="en-US" w:eastAsia="zh-CN"/>
                    </w:rPr>
                  </w:pPr>
                  <w:r>
                    <w:rPr>
                      <w:rFonts w:hint="eastAsia" w:ascii="Times New Roman" w:hAnsi="Times New Roman" w:cs="Times New Roman"/>
                      <w:b w:val="0"/>
                      <w:bCs w:val="0"/>
                      <w:color w:val="auto"/>
                      <w:sz w:val="21"/>
                      <w:szCs w:val="21"/>
                      <w:highlight w:val="none"/>
                      <w:u w:val="none" w:color="auto"/>
                      <w:lang w:val="en-US" w:eastAsia="zh-CN"/>
                    </w:rPr>
                    <w:t>40.7</w:t>
                  </w:r>
                </w:p>
              </w:tc>
              <w:tc>
                <w:tcPr>
                  <w:tcW w:w="815" w:type="pct"/>
                  <w:vMerge w:val="continue"/>
                  <w:tcBorders>
                    <w:tl2br w:val="nil"/>
                    <w:tr2bl w:val="nil"/>
                  </w:tcBorders>
                  <w:noWrap w:val="0"/>
                  <w:vAlign w:val="center"/>
                </w:tcPr>
                <w:p w14:paraId="2F49B0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p>
              </w:tc>
            </w:tr>
            <w:tr w14:paraId="5F012CC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continue"/>
                  <w:tcBorders>
                    <w:tl2br w:val="nil"/>
                    <w:tr2bl w:val="nil"/>
                  </w:tcBorders>
                  <w:noWrap w:val="0"/>
                  <w:vAlign w:val="center"/>
                </w:tcPr>
                <w:p w14:paraId="004CF480">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903" w:type="pct"/>
                  <w:tcBorders>
                    <w:tl2br w:val="nil"/>
                    <w:tr2bl w:val="nil"/>
                  </w:tcBorders>
                  <w:noWrap w:val="0"/>
                  <w:vAlign w:val="center"/>
                </w:tcPr>
                <w:p w14:paraId="5032B0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u w:val="none" w:color="auto"/>
                      <w:lang w:val="en-US" w:eastAsia="zh-CN"/>
                    </w:rPr>
                  </w:pPr>
                  <w:r>
                    <w:rPr>
                      <w:rFonts w:hint="eastAsia" w:ascii="Times New Roman" w:hAnsi="Times New Roman" w:cs="Times New Roman"/>
                      <w:color w:val="auto"/>
                      <w:kern w:val="2"/>
                      <w:sz w:val="21"/>
                      <w:szCs w:val="21"/>
                      <w:u w:val="none" w:color="auto"/>
                      <w:lang w:val="en-US" w:eastAsia="zh-CN"/>
                    </w:rPr>
                    <w:t>DA002</w:t>
                  </w:r>
                  <w:r>
                    <w:rPr>
                      <w:rFonts w:hint="default" w:ascii="Times New Roman" w:hAnsi="Times New Roman" w:cs="Times New Roman"/>
                      <w:color w:val="auto"/>
                      <w:kern w:val="2"/>
                      <w:sz w:val="21"/>
                      <w:szCs w:val="21"/>
                      <w:u w:val="none" w:color="auto"/>
                    </w:rPr>
                    <w:t>风机</w:t>
                  </w:r>
                </w:p>
              </w:tc>
              <w:tc>
                <w:tcPr>
                  <w:tcW w:w="774" w:type="pct"/>
                  <w:tcBorders>
                    <w:tl2br w:val="nil"/>
                    <w:tr2bl w:val="nil"/>
                  </w:tcBorders>
                  <w:noWrap w:val="0"/>
                  <w:vAlign w:val="center"/>
                </w:tcPr>
                <w:p w14:paraId="2E287610">
                  <w:pPr>
                    <w:keepNext w:val="0"/>
                    <w:keepLines w:val="0"/>
                    <w:suppressLineNumbers w:val="0"/>
                    <w:spacing w:before="0" w:beforeAutospacing="0" w:after="0" w:afterAutospacing="0" w:line="240" w:lineRule="auto"/>
                    <w:ind w:left="0" w:leftChars="0" w:right="0" w:rightChars="0"/>
                    <w:jc w:val="center"/>
                    <w:rPr>
                      <w:rFonts w:hint="default"/>
                      <w:b w:val="0"/>
                      <w:bCs w:val="0"/>
                      <w:sz w:val="21"/>
                      <w:szCs w:val="21"/>
                      <w:highlight w:val="none"/>
                      <w:u w:val="none" w:color="auto"/>
                      <w:vertAlign w:val="baseline"/>
                      <w:lang w:val="en-US" w:eastAsia="zh-CN"/>
                    </w:rPr>
                  </w:pPr>
                  <w:r>
                    <w:rPr>
                      <w:rFonts w:hint="eastAsia"/>
                      <w:b w:val="0"/>
                      <w:bCs w:val="0"/>
                      <w:sz w:val="21"/>
                      <w:szCs w:val="21"/>
                      <w:highlight w:val="none"/>
                      <w:u w:val="none" w:color="auto"/>
                      <w:vertAlign w:val="baseline"/>
                      <w:lang w:val="en-US" w:eastAsia="zh-CN"/>
                    </w:rPr>
                    <w:t>80</w:t>
                  </w:r>
                </w:p>
              </w:tc>
              <w:tc>
                <w:tcPr>
                  <w:tcW w:w="1053" w:type="pct"/>
                  <w:tcBorders>
                    <w:tl2br w:val="nil"/>
                    <w:tr2bl w:val="nil"/>
                  </w:tcBorders>
                  <w:noWrap w:val="0"/>
                  <w:vAlign w:val="center"/>
                </w:tcPr>
                <w:p w14:paraId="52FA2C2C">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60</w:t>
                  </w:r>
                </w:p>
              </w:tc>
              <w:tc>
                <w:tcPr>
                  <w:tcW w:w="815" w:type="pct"/>
                  <w:tcBorders>
                    <w:tl2br w:val="nil"/>
                    <w:tr2bl w:val="nil"/>
                  </w:tcBorders>
                  <w:noWrap w:val="0"/>
                  <w:vAlign w:val="center"/>
                </w:tcPr>
                <w:p w14:paraId="021CC3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i w:val="0"/>
                      <w:iCs w:val="0"/>
                      <w:color w:val="000000"/>
                      <w:kern w:val="0"/>
                      <w:sz w:val="21"/>
                      <w:szCs w:val="21"/>
                      <w:u w:val="none" w:color="auto"/>
                      <w:lang w:val="en-US" w:eastAsia="zh-CN" w:bidi="ar"/>
                    </w:rPr>
                  </w:pPr>
                  <w:r>
                    <w:rPr>
                      <w:rFonts w:hint="eastAsia" w:cs="Times New Roman"/>
                      <w:i w:val="0"/>
                      <w:iCs w:val="0"/>
                      <w:color w:val="000000"/>
                      <w:kern w:val="0"/>
                      <w:sz w:val="21"/>
                      <w:szCs w:val="21"/>
                      <w:u w:val="none" w:color="auto"/>
                      <w:lang w:val="en-US" w:eastAsia="zh-CN" w:bidi="ar"/>
                    </w:rPr>
                    <w:t>36.4</w:t>
                  </w:r>
                </w:p>
              </w:tc>
              <w:tc>
                <w:tcPr>
                  <w:tcW w:w="815" w:type="pct"/>
                  <w:vMerge w:val="continue"/>
                  <w:tcBorders>
                    <w:tl2br w:val="nil"/>
                    <w:tr2bl w:val="nil"/>
                  </w:tcBorders>
                  <w:noWrap w:val="0"/>
                  <w:vAlign w:val="center"/>
                </w:tcPr>
                <w:p w14:paraId="33AB91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p>
              </w:tc>
            </w:tr>
            <w:tr w14:paraId="2F1DD71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continue"/>
                  <w:tcBorders>
                    <w:tl2br w:val="nil"/>
                    <w:tr2bl w:val="nil"/>
                  </w:tcBorders>
                  <w:noWrap w:val="0"/>
                  <w:vAlign w:val="center"/>
                </w:tcPr>
                <w:p w14:paraId="32BAB3EA">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903" w:type="pct"/>
                  <w:tcBorders>
                    <w:tl2br w:val="nil"/>
                    <w:tr2bl w:val="nil"/>
                  </w:tcBorders>
                  <w:noWrap w:val="0"/>
                  <w:vAlign w:val="center"/>
                </w:tcPr>
                <w:p w14:paraId="7394A3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u w:val="none" w:color="auto"/>
                      <w:lang w:val="en-US" w:eastAsia="zh-CN"/>
                    </w:rPr>
                  </w:pPr>
                  <w:r>
                    <w:rPr>
                      <w:rFonts w:hint="eastAsia" w:ascii="Times New Roman" w:hAnsi="Times New Roman" w:cs="Times New Roman"/>
                      <w:color w:val="auto"/>
                      <w:kern w:val="2"/>
                      <w:sz w:val="21"/>
                      <w:szCs w:val="21"/>
                      <w:u w:val="none" w:color="auto"/>
                      <w:lang w:val="en-US" w:eastAsia="zh-CN"/>
                    </w:rPr>
                    <w:t>DA00</w:t>
                  </w:r>
                  <w:r>
                    <w:rPr>
                      <w:rFonts w:hint="eastAsia" w:cs="Times New Roman"/>
                      <w:color w:val="auto"/>
                      <w:kern w:val="2"/>
                      <w:sz w:val="21"/>
                      <w:szCs w:val="21"/>
                      <w:u w:val="none" w:color="auto"/>
                      <w:lang w:val="en-US" w:eastAsia="zh-CN"/>
                    </w:rPr>
                    <w:t>3</w:t>
                  </w:r>
                  <w:r>
                    <w:rPr>
                      <w:rFonts w:hint="default" w:ascii="Times New Roman" w:hAnsi="Times New Roman" w:cs="Times New Roman"/>
                      <w:color w:val="auto"/>
                      <w:kern w:val="2"/>
                      <w:sz w:val="21"/>
                      <w:szCs w:val="21"/>
                      <w:u w:val="none" w:color="auto"/>
                    </w:rPr>
                    <w:t>风机</w:t>
                  </w:r>
                </w:p>
              </w:tc>
              <w:tc>
                <w:tcPr>
                  <w:tcW w:w="774" w:type="pct"/>
                  <w:tcBorders>
                    <w:tl2br w:val="nil"/>
                    <w:tr2bl w:val="nil"/>
                  </w:tcBorders>
                  <w:noWrap w:val="0"/>
                  <w:vAlign w:val="center"/>
                </w:tcPr>
                <w:p w14:paraId="56AE7B3F">
                  <w:pPr>
                    <w:keepNext w:val="0"/>
                    <w:keepLines w:val="0"/>
                    <w:suppressLineNumbers w:val="0"/>
                    <w:spacing w:before="0" w:beforeAutospacing="0" w:after="0" w:afterAutospacing="0" w:line="240" w:lineRule="auto"/>
                    <w:ind w:left="0" w:leftChars="0" w:right="0" w:rightChars="0"/>
                    <w:jc w:val="center"/>
                    <w:rPr>
                      <w:rFonts w:hint="default"/>
                      <w:b w:val="0"/>
                      <w:bCs w:val="0"/>
                      <w:sz w:val="21"/>
                      <w:szCs w:val="21"/>
                      <w:highlight w:val="none"/>
                      <w:u w:val="none" w:color="auto"/>
                      <w:vertAlign w:val="baseline"/>
                      <w:lang w:val="en-US" w:eastAsia="zh-CN"/>
                    </w:rPr>
                  </w:pPr>
                  <w:r>
                    <w:rPr>
                      <w:rFonts w:hint="eastAsia"/>
                      <w:b w:val="0"/>
                      <w:bCs w:val="0"/>
                      <w:sz w:val="21"/>
                      <w:szCs w:val="21"/>
                      <w:highlight w:val="none"/>
                      <w:u w:val="none" w:color="auto"/>
                      <w:vertAlign w:val="baseline"/>
                      <w:lang w:val="en-US" w:eastAsia="zh-CN"/>
                    </w:rPr>
                    <w:t>80</w:t>
                  </w:r>
                </w:p>
              </w:tc>
              <w:tc>
                <w:tcPr>
                  <w:tcW w:w="1053" w:type="pct"/>
                  <w:tcBorders>
                    <w:tl2br w:val="nil"/>
                    <w:tr2bl w:val="nil"/>
                  </w:tcBorders>
                  <w:noWrap w:val="0"/>
                  <w:vAlign w:val="center"/>
                </w:tcPr>
                <w:p w14:paraId="2993F317">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10</w:t>
                  </w:r>
                </w:p>
              </w:tc>
              <w:tc>
                <w:tcPr>
                  <w:tcW w:w="815" w:type="pct"/>
                  <w:tcBorders>
                    <w:tl2br w:val="nil"/>
                    <w:tr2bl w:val="nil"/>
                  </w:tcBorders>
                  <w:noWrap w:val="0"/>
                  <w:vAlign w:val="center"/>
                </w:tcPr>
                <w:p w14:paraId="274405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i w:val="0"/>
                      <w:iCs w:val="0"/>
                      <w:color w:val="000000"/>
                      <w:kern w:val="0"/>
                      <w:sz w:val="21"/>
                      <w:szCs w:val="21"/>
                      <w:u w:val="none" w:color="auto"/>
                      <w:lang w:val="en-US" w:eastAsia="zh-CN" w:bidi="ar"/>
                    </w:rPr>
                  </w:pPr>
                  <w:r>
                    <w:rPr>
                      <w:rFonts w:hint="eastAsia" w:cs="Times New Roman"/>
                      <w:i w:val="0"/>
                      <w:iCs w:val="0"/>
                      <w:color w:val="000000"/>
                      <w:kern w:val="0"/>
                      <w:sz w:val="21"/>
                      <w:szCs w:val="21"/>
                      <w:u w:val="none" w:color="auto"/>
                      <w:lang w:val="en-US" w:eastAsia="zh-CN" w:bidi="ar"/>
                    </w:rPr>
                    <w:t>52</w:t>
                  </w:r>
                </w:p>
              </w:tc>
              <w:tc>
                <w:tcPr>
                  <w:tcW w:w="815" w:type="pct"/>
                  <w:vMerge w:val="continue"/>
                  <w:tcBorders>
                    <w:tl2br w:val="nil"/>
                    <w:tr2bl w:val="nil"/>
                  </w:tcBorders>
                  <w:noWrap w:val="0"/>
                  <w:vAlign w:val="center"/>
                </w:tcPr>
                <w:p w14:paraId="0F8874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p>
              </w:tc>
            </w:tr>
            <w:tr w14:paraId="3C0312D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restart"/>
                  <w:tcBorders>
                    <w:tl2br w:val="nil"/>
                    <w:tr2bl w:val="nil"/>
                  </w:tcBorders>
                  <w:noWrap w:val="0"/>
                  <w:vAlign w:val="center"/>
                </w:tcPr>
                <w:p w14:paraId="3937F628">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南厂界</w:t>
                  </w:r>
                </w:p>
              </w:tc>
              <w:tc>
                <w:tcPr>
                  <w:tcW w:w="903" w:type="pct"/>
                  <w:tcBorders>
                    <w:tl2br w:val="nil"/>
                    <w:tr2bl w:val="nil"/>
                  </w:tcBorders>
                  <w:noWrap w:val="0"/>
                  <w:vAlign w:val="center"/>
                </w:tcPr>
                <w:p w14:paraId="0008E1CC">
                  <w:pPr>
                    <w:keepNext w:val="0"/>
                    <w:keepLines w:val="0"/>
                    <w:suppressLineNumbers w:val="0"/>
                    <w:tabs>
                      <w:tab w:val="left" w:pos="8370"/>
                      <w:tab w:val="left" w:pos="8600"/>
                    </w:tabs>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生产车间</w:t>
                  </w:r>
                </w:p>
              </w:tc>
              <w:tc>
                <w:tcPr>
                  <w:tcW w:w="774" w:type="pct"/>
                  <w:tcBorders>
                    <w:tl2br w:val="nil"/>
                    <w:tr2bl w:val="nil"/>
                  </w:tcBorders>
                  <w:noWrap w:val="0"/>
                  <w:vAlign w:val="center"/>
                </w:tcPr>
                <w:p w14:paraId="68084B6D">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62.6</w:t>
                  </w:r>
                </w:p>
              </w:tc>
              <w:tc>
                <w:tcPr>
                  <w:tcW w:w="1053" w:type="pct"/>
                  <w:tcBorders>
                    <w:tl2br w:val="nil"/>
                    <w:tr2bl w:val="nil"/>
                  </w:tcBorders>
                  <w:noWrap w:val="0"/>
                  <w:vAlign w:val="center"/>
                </w:tcPr>
                <w:p w14:paraId="6D173DAB">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230</w:t>
                  </w:r>
                </w:p>
              </w:tc>
              <w:tc>
                <w:tcPr>
                  <w:tcW w:w="815" w:type="pct"/>
                  <w:tcBorders>
                    <w:tl2br w:val="nil"/>
                    <w:tr2bl w:val="nil"/>
                  </w:tcBorders>
                  <w:noWrap w:val="0"/>
                  <w:vAlign w:val="center"/>
                </w:tcPr>
                <w:p w14:paraId="00790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7.4</w:t>
                  </w:r>
                </w:p>
              </w:tc>
              <w:tc>
                <w:tcPr>
                  <w:tcW w:w="815" w:type="pct"/>
                  <w:vMerge w:val="restart"/>
                  <w:tcBorders>
                    <w:tl2br w:val="nil"/>
                    <w:tr2bl w:val="nil"/>
                  </w:tcBorders>
                  <w:noWrap w:val="0"/>
                  <w:vAlign w:val="center"/>
                </w:tcPr>
                <w:p w14:paraId="613B985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cs="Times New Roman"/>
                      <w:i w:val="0"/>
                      <w:iCs w:val="0"/>
                      <w:color w:val="000000"/>
                      <w:kern w:val="0"/>
                      <w:sz w:val="21"/>
                      <w:szCs w:val="21"/>
                      <w:u w:val="none" w:color="auto"/>
                      <w:lang w:val="en-US" w:eastAsia="zh-CN" w:bidi="ar"/>
                    </w:rPr>
                    <w:t>31.4</w:t>
                  </w:r>
                </w:p>
              </w:tc>
            </w:tr>
            <w:tr w14:paraId="5ABBC19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continue"/>
                  <w:tcBorders>
                    <w:tl2br w:val="nil"/>
                    <w:tr2bl w:val="nil"/>
                  </w:tcBorders>
                  <w:noWrap w:val="0"/>
                  <w:vAlign w:val="center"/>
                </w:tcPr>
                <w:p w14:paraId="5F422681">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903" w:type="pct"/>
                  <w:tcBorders>
                    <w:tl2br w:val="nil"/>
                    <w:tr2bl w:val="nil"/>
                  </w:tcBorders>
                  <w:noWrap w:val="0"/>
                  <w:vAlign w:val="center"/>
                </w:tcPr>
                <w:p w14:paraId="4D39F1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u w:val="none" w:color="auto"/>
                      <w:lang w:eastAsia="zh-CN"/>
                    </w:rPr>
                  </w:pPr>
                  <w:r>
                    <w:rPr>
                      <w:rFonts w:hint="eastAsia" w:ascii="Times New Roman" w:hAnsi="Times New Roman" w:cs="Times New Roman"/>
                      <w:color w:val="auto"/>
                      <w:kern w:val="2"/>
                      <w:sz w:val="21"/>
                      <w:szCs w:val="21"/>
                      <w:u w:val="none" w:color="auto"/>
                      <w:lang w:val="en-US" w:eastAsia="zh-CN"/>
                    </w:rPr>
                    <w:t>DA001</w:t>
                  </w:r>
                  <w:r>
                    <w:rPr>
                      <w:rFonts w:hint="default" w:ascii="Times New Roman" w:hAnsi="Times New Roman" w:cs="Times New Roman"/>
                      <w:color w:val="auto"/>
                      <w:kern w:val="2"/>
                      <w:sz w:val="21"/>
                      <w:szCs w:val="21"/>
                      <w:u w:val="none" w:color="auto"/>
                    </w:rPr>
                    <w:t>风机</w:t>
                  </w:r>
                </w:p>
              </w:tc>
              <w:tc>
                <w:tcPr>
                  <w:tcW w:w="774" w:type="pct"/>
                  <w:tcBorders>
                    <w:tl2br w:val="nil"/>
                    <w:tr2bl w:val="nil"/>
                  </w:tcBorders>
                  <w:noWrap w:val="0"/>
                  <w:vAlign w:val="center"/>
                </w:tcPr>
                <w:p w14:paraId="60C901F7">
                  <w:pPr>
                    <w:keepNext w:val="0"/>
                    <w:keepLines w:val="0"/>
                    <w:suppressLineNumbers w:val="0"/>
                    <w:spacing w:before="0" w:beforeAutospacing="0" w:after="0" w:afterAutospacing="0" w:line="240" w:lineRule="auto"/>
                    <w:ind w:left="0" w:leftChars="0" w:right="0" w:rightChars="0"/>
                    <w:jc w:val="center"/>
                    <w:rPr>
                      <w:rFonts w:hint="eastAsia"/>
                      <w:b w:val="0"/>
                      <w:bCs w:val="0"/>
                      <w:sz w:val="21"/>
                      <w:szCs w:val="21"/>
                      <w:highlight w:val="none"/>
                      <w:u w:val="none" w:color="auto"/>
                      <w:vertAlign w:val="baseline"/>
                      <w:lang w:val="en-US" w:eastAsia="zh-CN"/>
                    </w:rPr>
                  </w:pPr>
                  <w:r>
                    <w:rPr>
                      <w:rFonts w:hint="eastAsia"/>
                      <w:b w:val="0"/>
                      <w:bCs w:val="0"/>
                      <w:sz w:val="21"/>
                      <w:szCs w:val="21"/>
                      <w:highlight w:val="none"/>
                      <w:u w:val="none" w:color="auto"/>
                      <w:vertAlign w:val="baseline"/>
                      <w:lang w:val="en-US" w:eastAsia="zh-CN"/>
                    </w:rPr>
                    <w:t>85</w:t>
                  </w:r>
                </w:p>
              </w:tc>
              <w:tc>
                <w:tcPr>
                  <w:tcW w:w="1053" w:type="pct"/>
                  <w:tcBorders>
                    <w:tl2br w:val="nil"/>
                    <w:tr2bl w:val="nil"/>
                  </w:tcBorders>
                  <w:noWrap w:val="0"/>
                  <w:vAlign w:val="center"/>
                </w:tcPr>
                <w:p w14:paraId="2767CBF7">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228</w:t>
                  </w:r>
                </w:p>
              </w:tc>
              <w:tc>
                <w:tcPr>
                  <w:tcW w:w="815" w:type="pct"/>
                  <w:tcBorders>
                    <w:tl2br w:val="nil"/>
                    <w:tr2bl w:val="nil"/>
                  </w:tcBorders>
                  <w:noWrap w:val="0"/>
                  <w:vAlign w:val="center"/>
                </w:tcPr>
                <w:p w14:paraId="5D19F7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29.8</w:t>
                  </w:r>
                </w:p>
              </w:tc>
              <w:tc>
                <w:tcPr>
                  <w:tcW w:w="815" w:type="pct"/>
                  <w:vMerge w:val="continue"/>
                  <w:tcBorders>
                    <w:tl2br w:val="nil"/>
                    <w:tr2bl w:val="nil"/>
                  </w:tcBorders>
                  <w:noWrap w:val="0"/>
                  <w:vAlign w:val="center"/>
                </w:tcPr>
                <w:p w14:paraId="2A08D69F">
                  <w:pPr>
                    <w:keepNext w:val="0"/>
                    <w:keepLines w:val="0"/>
                    <w:widowControl/>
                    <w:suppressLineNumbers w:val="0"/>
                    <w:spacing w:before="0" w:beforeAutospacing="0" w:after="0" w:afterAutospacing="0"/>
                    <w:ind w:left="0" w:right="0"/>
                    <w:jc w:val="center"/>
                    <w:textAlignment w:val="center"/>
                    <w:rPr>
                      <w:rFonts w:hint="eastAsia" w:cs="Times New Roman"/>
                      <w:i w:val="0"/>
                      <w:iCs w:val="0"/>
                      <w:color w:val="000000"/>
                      <w:kern w:val="0"/>
                      <w:sz w:val="21"/>
                      <w:szCs w:val="21"/>
                      <w:u w:val="none" w:color="auto"/>
                      <w:lang w:val="en-US" w:eastAsia="zh-CN" w:bidi="ar"/>
                    </w:rPr>
                  </w:pPr>
                </w:p>
              </w:tc>
            </w:tr>
            <w:tr w14:paraId="1FA7C14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continue"/>
                  <w:tcBorders>
                    <w:tl2br w:val="nil"/>
                    <w:tr2bl w:val="nil"/>
                  </w:tcBorders>
                  <w:noWrap w:val="0"/>
                  <w:vAlign w:val="center"/>
                </w:tcPr>
                <w:p w14:paraId="3504E09B">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903" w:type="pct"/>
                  <w:tcBorders>
                    <w:tl2br w:val="nil"/>
                    <w:tr2bl w:val="nil"/>
                  </w:tcBorders>
                  <w:noWrap w:val="0"/>
                  <w:vAlign w:val="center"/>
                </w:tcPr>
                <w:p w14:paraId="1B5694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u w:val="none" w:color="auto"/>
                      <w:lang w:eastAsia="zh-CN"/>
                    </w:rPr>
                  </w:pPr>
                  <w:r>
                    <w:rPr>
                      <w:rFonts w:hint="eastAsia" w:ascii="Times New Roman" w:hAnsi="Times New Roman" w:cs="Times New Roman"/>
                      <w:color w:val="auto"/>
                      <w:kern w:val="2"/>
                      <w:sz w:val="21"/>
                      <w:szCs w:val="21"/>
                      <w:u w:val="none" w:color="auto"/>
                      <w:lang w:val="en-US" w:eastAsia="zh-CN"/>
                    </w:rPr>
                    <w:t>DA002</w:t>
                  </w:r>
                  <w:r>
                    <w:rPr>
                      <w:rFonts w:hint="default" w:ascii="Times New Roman" w:hAnsi="Times New Roman" w:cs="Times New Roman"/>
                      <w:color w:val="auto"/>
                      <w:kern w:val="2"/>
                      <w:sz w:val="21"/>
                      <w:szCs w:val="21"/>
                      <w:u w:val="none" w:color="auto"/>
                    </w:rPr>
                    <w:t>风机</w:t>
                  </w:r>
                </w:p>
              </w:tc>
              <w:tc>
                <w:tcPr>
                  <w:tcW w:w="774" w:type="pct"/>
                  <w:tcBorders>
                    <w:tl2br w:val="nil"/>
                    <w:tr2bl w:val="nil"/>
                  </w:tcBorders>
                  <w:noWrap w:val="0"/>
                  <w:vAlign w:val="center"/>
                </w:tcPr>
                <w:p w14:paraId="6390C334">
                  <w:pPr>
                    <w:keepNext w:val="0"/>
                    <w:keepLines w:val="0"/>
                    <w:suppressLineNumbers w:val="0"/>
                    <w:spacing w:before="0" w:beforeAutospacing="0" w:after="0" w:afterAutospacing="0" w:line="240" w:lineRule="auto"/>
                    <w:ind w:left="0" w:leftChars="0" w:right="0" w:rightChars="0"/>
                    <w:jc w:val="center"/>
                    <w:rPr>
                      <w:rFonts w:hint="eastAsia"/>
                      <w:b w:val="0"/>
                      <w:bCs w:val="0"/>
                      <w:sz w:val="21"/>
                      <w:szCs w:val="21"/>
                      <w:highlight w:val="none"/>
                      <w:u w:val="none" w:color="auto"/>
                      <w:vertAlign w:val="baseline"/>
                      <w:lang w:val="en-US" w:eastAsia="zh-CN"/>
                    </w:rPr>
                  </w:pPr>
                  <w:r>
                    <w:rPr>
                      <w:rFonts w:hint="eastAsia"/>
                      <w:b w:val="0"/>
                      <w:bCs w:val="0"/>
                      <w:sz w:val="21"/>
                      <w:szCs w:val="21"/>
                      <w:highlight w:val="none"/>
                      <w:u w:val="none" w:color="auto"/>
                      <w:vertAlign w:val="baseline"/>
                      <w:lang w:val="en-US" w:eastAsia="zh-CN"/>
                    </w:rPr>
                    <w:t>80</w:t>
                  </w:r>
                </w:p>
              </w:tc>
              <w:tc>
                <w:tcPr>
                  <w:tcW w:w="1053" w:type="pct"/>
                  <w:tcBorders>
                    <w:tl2br w:val="nil"/>
                    <w:tr2bl w:val="nil"/>
                  </w:tcBorders>
                  <w:noWrap w:val="0"/>
                  <w:vAlign w:val="center"/>
                </w:tcPr>
                <w:p w14:paraId="627A46FF">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227</w:t>
                  </w:r>
                </w:p>
              </w:tc>
              <w:tc>
                <w:tcPr>
                  <w:tcW w:w="815" w:type="pct"/>
                  <w:tcBorders>
                    <w:tl2br w:val="nil"/>
                    <w:tr2bl w:val="nil"/>
                  </w:tcBorders>
                  <w:noWrap w:val="0"/>
                  <w:vAlign w:val="center"/>
                </w:tcPr>
                <w:p w14:paraId="167857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cs="Times New Roman"/>
                      <w:i w:val="0"/>
                      <w:iCs w:val="0"/>
                      <w:color w:val="000000"/>
                      <w:kern w:val="0"/>
                      <w:sz w:val="21"/>
                      <w:szCs w:val="21"/>
                      <w:u w:val="none" w:color="auto"/>
                      <w:lang w:val="en-US" w:eastAsia="zh-CN" w:bidi="ar"/>
                    </w:rPr>
                    <w:t>24.9</w:t>
                  </w:r>
                </w:p>
              </w:tc>
              <w:tc>
                <w:tcPr>
                  <w:tcW w:w="815" w:type="pct"/>
                  <w:vMerge w:val="continue"/>
                  <w:tcBorders>
                    <w:tl2br w:val="nil"/>
                    <w:tr2bl w:val="nil"/>
                  </w:tcBorders>
                  <w:noWrap w:val="0"/>
                  <w:vAlign w:val="center"/>
                </w:tcPr>
                <w:p w14:paraId="643C7A54">
                  <w:pPr>
                    <w:keepNext w:val="0"/>
                    <w:keepLines w:val="0"/>
                    <w:widowControl/>
                    <w:suppressLineNumbers w:val="0"/>
                    <w:spacing w:before="0" w:beforeAutospacing="0" w:after="0" w:afterAutospacing="0"/>
                    <w:ind w:left="0" w:right="0"/>
                    <w:jc w:val="center"/>
                    <w:textAlignment w:val="center"/>
                    <w:rPr>
                      <w:rFonts w:hint="eastAsia" w:cs="Times New Roman"/>
                      <w:i w:val="0"/>
                      <w:iCs w:val="0"/>
                      <w:color w:val="000000"/>
                      <w:kern w:val="0"/>
                      <w:sz w:val="21"/>
                      <w:szCs w:val="21"/>
                      <w:u w:val="none" w:color="auto"/>
                      <w:lang w:val="en-US" w:eastAsia="zh-CN" w:bidi="ar"/>
                    </w:rPr>
                  </w:pPr>
                </w:p>
              </w:tc>
            </w:tr>
            <w:tr w14:paraId="4DAFAD9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continue"/>
                  <w:tcBorders>
                    <w:tl2br w:val="nil"/>
                    <w:tr2bl w:val="nil"/>
                  </w:tcBorders>
                  <w:noWrap w:val="0"/>
                  <w:vAlign w:val="center"/>
                </w:tcPr>
                <w:p w14:paraId="7DFDA6BC">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903" w:type="pct"/>
                  <w:tcBorders>
                    <w:tl2br w:val="nil"/>
                    <w:tr2bl w:val="nil"/>
                  </w:tcBorders>
                  <w:noWrap w:val="0"/>
                  <w:vAlign w:val="center"/>
                </w:tcPr>
                <w:p w14:paraId="6D9322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u w:val="none" w:color="auto"/>
                      <w:lang w:val="en-US" w:eastAsia="zh-CN"/>
                    </w:rPr>
                  </w:pPr>
                  <w:r>
                    <w:rPr>
                      <w:rFonts w:hint="eastAsia" w:ascii="Times New Roman" w:hAnsi="Times New Roman" w:cs="Times New Roman"/>
                      <w:color w:val="auto"/>
                      <w:kern w:val="2"/>
                      <w:sz w:val="21"/>
                      <w:szCs w:val="21"/>
                      <w:u w:val="none" w:color="auto"/>
                      <w:lang w:val="en-US" w:eastAsia="zh-CN"/>
                    </w:rPr>
                    <w:t>DA00</w:t>
                  </w:r>
                  <w:r>
                    <w:rPr>
                      <w:rFonts w:hint="eastAsia" w:cs="Times New Roman"/>
                      <w:color w:val="auto"/>
                      <w:kern w:val="2"/>
                      <w:sz w:val="21"/>
                      <w:szCs w:val="21"/>
                      <w:u w:val="none" w:color="auto"/>
                      <w:lang w:val="en-US" w:eastAsia="zh-CN"/>
                    </w:rPr>
                    <w:t>3</w:t>
                  </w:r>
                  <w:r>
                    <w:rPr>
                      <w:rFonts w:hint="default" w:ascii="Times New Roman" w:hAnsi="Times New Roman" w:cs="Times New Roman"/>
                      <w:color w:val="auto"/>
                      <w:kern w:val="2"/>
                      <w:sz w:val="21"/>
                      <w:szCs w:val="21"/>
                      <w:u w:val="none" w:color="auto"/>
                    </w:rPr>
                    <w:t>风机</w:t>
                  </w:r>
                </w:p>
              </w:tc>
              <w:tc>
                <w:tcPr>
                  <w:tcW w:w="774" w:type="pct"/>
                  <w:tcBorders>
                    <w:tl2br w:val="nil"/>
                    <w:tr2bl w:val="nil"/>
                  </w:tcBorders>
                  <w:noWrap w:val="0"/>
                  <w:vAlign w:val="center"/>
                </w:tcPr>
                <w:p w14:paraId="33C5A728">
                  <w:pPr>
                    <w:keepNext w:val="0"/>
                    <w:keepLines w:val="0"/>
                    <w:suppressLineNumbers w:val="0"/>
                    <w:spacing w:before="0" w:beforeAutospacing="0" w:after="0" w:afterAutospacing="0" w:line="240" w:lineRule="auto"/>
                    <w:ind w:left="0" w:leftChars="0" w:right="0" w:rightChars="0"/>
                    <w:jc w:val="center"/>
                    <w:rPr>
                      <w:rFonts w:hint="default"/>
                      <w:b w:val="0"/>
                      <w:bCs w:val="0"/>
                      <w:sz w:val="21"/>
                      <w:szCs w:val="21"/>
                      <w:highlight w:val="none"/>
                      <w:u w:val="none" w:color="auto"/>
                      <w:vertAlign w:val="baseline"/>
                      <w:lang w:val="en-US" w:eastAsia="zh-CN"/>
                    </w:rPr>
                  </w:pPr>
                  <w:r>
                    <w:rPr>
                      <w:rFonts w:hint="eastAsia"/>
                      <w:b w:val="0"/>
                      <w:bCs w:val="0"/>
                      <w:sz w:val="21"/>
                      <w:szCs w:val="21"/>
                      <w:highlight w:val="none"/>
                      <w:u w:val="none" w:color="auto"/>
                      <w:vertAlign w:val="baseline"/>
                      <w:lang w:val="en-US" w:eastAsia="zh-CN"/>
                    </w:rPr>
                    <w:t>80</w:t>
                  </w:r>
                </w:p>
              </w:tc>
              <w:tc>
                <w:tcPr>
                  <w:tcW w:w="1053" w:type="pct"/>
                  <w:tcBorders>
                    <w:tl2br w:val="nil"/>
                    <w:tr2bl w:val="nil"/>
                  </w:tcBorders>
                  <w:noWrap w:val="0"/>
                  <w:vAlign w:val="center"/>
                </w:tcPr>
                <w:p w14:paraId="460326E7">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405</w:t>
                  </w:r>
                </w:p>
              </w:tc>
              <w:tc>
                <w:tcPr>
                  <w:tcW w:w="815" w:type="pct"/>
                  <w:tcBorders>
                    <w:tl2br w:val="nil"/>
                    <w:tr2bl w:val="nil"/>
                  </w:tcBorders>
                  <w:noWrap w:val="0"/>
                  <w:vAlign w:val="center"/>
                </w:tcPr>
                <w:p w14:paraId="348F61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cs="Times New Roman"/>
                      <w:i w:val="0"/>
                      <w:iCs w:val="0"/>
                      <w:color w:val="000000"/>
                      <w:kern w:val="0"/>
                      <w:sz w:val="21"/>
                      <w:szCs w:val="21"/>
                      <w:u w:val="none" w:color="auto"/>
                      <w:lang w:val="en-US" w:eastAsia="zh-CN" w:bidi="ar"/>
                    </w:rPr>
                    <w:t>19.9</w:t>
                  </w:r>
                </w:p>
              </w:tc>
              <w:tc>
                <w:tcPr>
                  <w:tcW w:w="815" w:type="pct"/>
                  <w:vMerge w:val="continue"/>
                  <w:tcBorders>
                    <w:tl2br w:val="nil"/>
                    <w:tr2bl w:val="nil"/>
                  </w:tcBorders>
                  <w:noWrap w:val="0"/>
                  <w:vAlign w:val="center"/>
                </w:tcPr>
                <w:p w14:paraId="7CF51790">
                  <w:pPr>
                    <w:keepNext w:val="0"/>
                    <w:keepLines w:val="0"/>
                    <w:widowControl/>
                    <w:suppressLineNumbers w:val="0"/>
                    <w:spacing w:before="0" w:beforeAutospacing="0" w:after="0" w:afterAutospacing="0"/>
                    <w:ind w:left="0" w:right="0"/>
                    <w:jc w:val="center"/>
                    <w:textAlignment w:val="center"/>
                    <w:rPr>
                      <w:rFonts w:hint="eastAsia" w:cs="Times New Roman"/>
                      <w:i w:val="0"/>
                      <w:iCs w:val="0"/>
                      <w:color w:val="000000"/>
                      <w:kern w:val="0"/>
                      <w:sz w:val="21"/>
                      <w:szCs w:val="21"/>
                      <w:u w:val="none" w:color="auto"/>
                      <w:lang w:val="en-US" w:eastAsia="zh-CN" w:bidi="ar"/>
                    </w:rPr>
                  </w:pPr>
                </w:p>
              </w:tc>
            </w:tr>
            <w:tr w14:paraId="3E92EED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restart"/>
                  <w:tcBorders>
                    <w:tl2br w:val="nil"/>
                    <w:tr2bl w:val="nil"/>
                  </w:tcBorders>
                  <w:noWrap w:val="0"/>
                  <w:vAlign w:val="center"/>
                </w:tcPr>
                <w:p w14:paraId="74355847">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西厂界</w:t>
                  </w:r>
                </w:p>
              </w:tc>
              <w:tc>
                <w:tcPr>
                  <w:tcW w:w="903" w:type="pct"/>
                  <w:tcBorders>
                    <w:tl2br w:val="nil"/>
                    <w:tr2bl w:val="nil"/>
                  </w:tcBorders>
                  <w:noWrap w:val="0"/>
                  <w:vAlign w:val="center"/>
                </w:tcPr>
                <w:p w14:paraId="59CD58D0">
                  <w:pPr>
                    <w:keepNext w:val="0"/>
                    <w:keepLines w:val="0"/>
                    <w:suppressLineNumbers w:val="0"/>
                    <w:tabs>
                      <w:tab w:val="left" w:pos="8370"/>
                      <w:tab w:val="left" w:pos="8600"/>
                    </w:tabs>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生产车间</w:t>
                  </w:r>
                </w:p>
              </w:tc>
              <w:tc>
                <w:tcPr>
                  <w:tcW w:w="774" w:type="pct"/>
                  <w:tcBorders>
                    <w:tl2br w:val="nil"/>
                    <w:tr2bl w:val="nil"/>
                  </w:tcBorders>
                  <w:noWrap w:val="0"/>
                  <w:vAlign w:val="center"/>
                </w:tcPr>
                <w:p w14:paraId="25FF178D">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62.6</w:t>
                  </w:r>
                </w:p>
              </w:tc>
              <w:tc>
                <w:tcPr>
                  <w:tcW w:w="1053" w:type="pct"/>
                  <w:tcBorders>
                    <w:tl2br w:val="nil"/>
                    <w:tr2bl w:val="nil"/>
                  </w:tcBorders>
                  <w:noWrap w:val="0"/>
                  <w:vAlign w:val="center"/>
                </w:tcPr>
                <w:p w14:paraId="6182E5C9">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18</w:t>
                  </w:r>
                </w:p>
              </w:tc>
              <w:tc>
                <w:tcPr>
                  <w:tcW w:w="815" w:type="pct"/>
                  <w:tcBorders>
                    <w:tl2br w:val="nil"/>
                    <w:tr2bl w:val="nil"/>
                  </w:tcBorders>
                  <w:noWrap w:val="0"/>
                  <w:vAlign w:val="center"/>
                </w:tcPr>
                <w:p w14:paraId="1BC2BD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29.5</w:t>
                  </w:r>
                </w:p>
              </w:tc>
              <w:tc>
                <w:tcPr>
                  <w:tcW w:w="815" w:type="pct"/>
                  <w:vMerge w:val="restart"/>
                  <w:tcBorders>
                    <w:tl2br w:val="nil"/>
                    <w:tr2bl w:val="nil"/>
                  </w:tcBorders>
                  <w:noWrap w:val="0"/>
                  <w:vAlign w:val="center"/>
                </w:tcPr>
                <w:p w14:paraId="036CC6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cs="Times New Roman"/>
                      <w:i w:val="0"/>
                      <w:iCs w:val="0"/>
                      <w:color w:val="000000"/>
                      <w:kern w:val="0"/>
                      <w:sz w:val="21"/>
                      <w:szCs w:val="21"/>
                      <w:u w:val="none" w:color="auto"/>
                      <w:lang w:val="en-US" w:eastAsia="zh-CN" w:bidi="ar"/>
                    </w:rPr>
                    <w:t>31.6</w:t>
                  </w:r>
                </w:p>
              </w:tc>
            </w:tr>
            <w:tr w14:paraId="0E93163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continue"/>
                  <w:tcBorders>
                    <w:tl2br w:val="nil"/>
                    <w:tr2bl w:val="nil"/>
                  </w:tcBorders>
                  <w:noWrap w:val="0"/>
                  <w:vAlign w:val="center"/>
                </w:tcPr>
                <w:p w14:paraId="0E2B7AF2">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903" w:type="pct"/>
                  <w:tcBorders>
                    <w:tl2br w:val="nil"/>
                    <w:tr2bl w:val="nil"/>
                  </w:tcBorders>
                  <w:noWrap w:val="0"/>
                  <w:vAlign w:val="center"/>
                </w:tcPr>
                <w:p w14:paraId="212FA6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u w:val="none" w:color="auto"/>
                      <w:lang w:eastAsia="zh-CN"/>
                    </w:rPr>
                  </w:pPr>
                  <w:r>
                    <w:rPr>
                      <w:rFonts w:hint="eastAsia" w:ascii="Times New Roman" w:hAnsi="Times New Roman" w:cs="Times New Roman"/>
                      <w:color w:val="auto"/>
                      <w:kern w:val="2"/>
                      <w:sz w:val="21"/>
                      <w:szCs w:val="21"/>
                      <w:u w:val="none" w:color="auto"/>
                      <w:lang w:val="en-US" w:eastAsia="zh-CN"/>
                    </w:rPr>
                    <w:t>DA001</w:t>
                  </w:r>
                  <w:r>
                    <w:rPr>
                      <w:rFonts w:hint="default" w:ascii="Times New Roman" w:hAnsi="Times New Roman" w:cs="Times New Roman"/>
                      <w:color w:val="auto"/>
                      <w:kern w:val="2"/>
                      <w:sz w:val="21"/>
                      <w:szCs w:val="21"/>
                      <w:u w:val="none" w:color="auto"/>
                    </w:rPr>
                    <w:t>风机</w:t>
                  </w:r>
                </w:p>
              </w:tc>
              <w:tc>
                <w:tcPr>
                  <w:tcW w:w="774" w:type="pct"/>
                  <w:tcBorders>
                    <w:tl2br w:val="nil"/>
                    <w:tr2bl w:val="nil"/>
                  </w:tcBorders>
                  <w:noWrap w:val="0"/>
                  <w:vAlign w:val="center"/>
                </w:tcPr>
                <w:p w14:paraId="3FE95CAC">
                  <w:pPr>
                    <w:keepNext w:val="0"/>
                    <w:keepLines w:val="0"/>
                    <w:suppressLineNumbers w:val="0"/>
                    <w:spacing w:before="0" w:beforeAutospacing="0" w:after="0" w:afterAutospacing="0" w:line="240" w:lineRule="auto"/>
                    <w:ind w:left="0" w:leftChars="0" w:right="0" w:rightChars="0"/>
                    <w:jc w:val="center"/>
                    <w:rPr>
                      <w:rFonts w:hint="eastAsia"/>
                      <w:b w:val="0"/>
                      <w:bCs w:val="0"/>
                      <w:sz w:val="21"/>
                      <w:szCs w:val="21"/>
                      <w:highlight w:val="none"/>
                      <w:u w:val="none" w:color="auto"/>
                      <w:vertAlign w:val="baseline"/>
                      <w:lang w:val="en-US" w:eastAsia="zh-CN"/>
                    </w:rPr>
                  </w:pPr>
                  <w:r>
                    <w:rPr>
                      <w:rFonts w:hint="eastAsia"/>
                      <w:b w:val="0"/>
                      <w:bCs w:val="0"/>
                      <w:sz w:val="21"/>
                      <w:szCs w:val="21"/>
                      <w:highlight w:val="none"/>
                      <w:u w:val="none" w:color="auto"/>
                      <w:vertAlign w:val="baseline"/>
                      <w:lang w:val="en-US" w:eastAsia="zh-CN"/>
                    </w:rPr>
                    <w:t>85</w:t>
                  </w:r>
                </w:p>
              </w:tc>
              <w:tc>
                <w:tcPr>
                  <w:tcW w:w="1053" w:type="pct"/>
                  <w:tcBorders>
                    <w:tl2br w:val="nil"/>
                    <w:tr2bl w:val="nil"/>
                  </w:tcBorders>
                  <w:noWrap w:val="0"/>
                  <w:vAlign w:val="center"/>
                </w:tcPr>
                <w:p w14:paraId="4B98ECC5">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373</w:t>
                  </w:r>
                </w:p>
              </w:tc>
              <w:tc>
                <w:tcPr>
                  <w:tcW w:w="815" w:type="pct"/>
                  <w:tcBorders>
                    <w:tl2br w:val="nil"/>
                    <w:tr2bl w:val="nil"/>
                  </w:tcBorders>
                  <w:noWrap w:val="0"/>
                  <w:vAlign w:val="center"/>
                </w:tcPr>
                <w:p w14:paraId="2FF77C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25.6</w:t>
                  </w:r>
                </w:p>
              </w:tc>
              <w:tc>
                <w:tcPr>
                  <w:tcW w:w="815" w:type="pct"/>
                  <w:vMerge w:val="continue"/>
                  <w:tcBorders>
                    <w:tl2br w:val="nil"/>
                    <w:tr2bl w:val="nil"/>
                  </w:tcBorders>
                  <w:noWrap w:val="0"/>
                  <w:vAlign w:val="center"/>
                </w:tcPr>
                <w:p w14:paraId="0021FEC3">
                  <w:pPr>
                    <w:keepNext w:val="0"/>
                    <w:keepLines w:val="0"/>
                    <w:widowControl/>
                    <w:suppressLineNumbers w:val="0"/>
                    <w:spacing w:before="0" w:beforeAutospacing="0" w:after="0" w:afterAutospacing="0"/>
                    <w:ind w:left="0" w:right="0"/>
                    <w:jc w:val="center"/>
                    <w:textAlignment w:val="center"/>
                    <w:rPr>
                      <w:rFonts w:hint="eastAsia" w:cs="Times New Roman"/>
                      <w:i w:val="0"/>
                      <w:iCs w:val="0"/>
                      <w:color w:val="000000"/>
                      <w:kern w:val="0"/>
                      <w:sz w:val="21"/>
                      <w:szCs w:val="21"/>
                      <w:u w:val="none" w:color="auto"/>
                      <w:lang w:val="en-US" w:eastAsia="zh-CN" w:bidi="ar"/>
                    </w:rPr>
                  </w:pPr>
                </w:p>
              </w:tc>
            </w:tr>
            <w:tr w14:paraId="63D7A68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continue"/>
                  <w:tcBorders>
                    <w:tl2br w:val="nil"/>
                    <w:tr2bl w:val="nil"/>
                  </w:tcBorders>
                  <w:noWrap w:val="0"/>
                  <w:vAlign w:val="center"/>
                </w:tcPr>
                <w:p w14:paraId="41B539D7">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903" w:type="pct"/>
                  <w:tcBorders>
                    <w:tl2br w:val="nil"/>
                    <w:tr2bl w:val="nil"/>
                  </w:tcBorders>
                  <w:noWrap w:val="0"/>
                  <w:vAlign w:val="center"/>
                </w:tcPr>
                <w:p w14:paraId="750FC9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u w:val="none" w:color="auto"/>
                      <w:lang w:eastAsia="zh-CN"/>
                    </w:rPr>
                  </w:pPr>
                  <w:r>
                    <w:rPr>
                      <w:rFonts w:hint="eastAsia" w:ascii="Times New Roman" w:hAnsi="Times New Roman" w:cs="Times New Roman"/>
                      <w:color w:val="auto"/>
                      <w:kern w:val="2"/>
                      <w:sz w:val="21"/>
                      <w:szCs w:val="21"/>
                      <w:u w:val="none" w:color="auto"/>
                      <w:lang w:val="en-US" w:eastAsia="zh-CN"/>
                    </w:rPr>
                    <w:t>DA002</w:t>
                  </w:r>
                  <w:r>
                    <w:rPr>
                      <w:rFonts w:hint="default" w:ascii="Times New Roman" w:hAnsi="Times New Roman" w:cs="Times New Roman"/>
                      <w:color w:val="auto"/>
                      <w:kern w:val="2"/>
                      <w:sz w:val="21"/>
                      <w:szCs w:val="21"/>
                      <w:u w:val="none" w:color="auto"/>
                    </w:rPr>
                    <w:t>风机</w:t>
                  </w:r>
                </w:p>
              </w:tc>
              <w:tc>
                <w:tcPr>
                  <w:tcW w:w="774" w:type="pct"/>
                  <w:tcBorders>
                    <w:tl2br w:val="nil"/>
                    <w:tr2bl w:val="nil"/>
                  </w:tcBorders>
                  <w:noWrap w:val="0"/>
                  <w:vAlign w:val="center"/>
                </w:tcPr>
                <w:p w14:paraId="05116264">
                  <w:pPr>
                    <w:keepNext w:val="0"/>
                    <w:keepLines w:val="0"/>
                    <w:suppressLineNumbers w:val="0"/>
                    <w:spacing w:before="0" w:beforeAutospacing="0" w:after="0" w:afterAutospacing="0" w:line="240" w:lineRule="auto"/>
                    <w:ind w:left="0" w:leftChars="0" w:right="0" w:rightChars="0"/>
                    <w:jc w:val="center"/>
                    <w:rPr>
                      <w:rFonts w:hint="eastAsia"/>
                      <w:b w:val="0"/>
                      <w:bCs w:val="0"/>
                      <w:sz w:val="21"/>
                      <w:szCs w:val="21"/>
                      <w:highlight w:val="none"/>
                      <w:u w:val="none" w:color="auto"/>
                      <w:vertAlign w:val="baseline"/>
                      <w:lang w:val="en-US" w:eastAsia="zh-CN"/>
                    </w:rPr>
                  </w:pPr>
                  <w:r>
                    <w:rPr>
                      <w:rFonts w:hint="eastAsia"/>
                      <w:b w:val="0"/>
                      <w:bCs w:val="0"/>
                      <w:sz w:val="21"/>
                      <w:szCs w:val="21"/>
                      <w:highlight w:val="none"/>
                      <w:u w:val="none" w:color="auto"/>
                      <w:vertAlign w:val="baseline"/>
                      <w:lang w:val="en-US" w:eastAsia="zh-CN"/>
                    </w:rPr>
                    <w:t>80</w:t>
                  </w:r>
                </w:p>
              </w:tc>
              <w:tc>
                <w:tcPr>
                  <w:tcW w:w="1053" w:type="pct"/>
                  <w:tcBorders>
                    <w:tl2br w:val="nil"/>
                    <w:tr2bl w:val="nil"/>
                  </w:tcBorders>
                  <w:noWrap w:val="0"/>
                  <w:vAlign w:val="center"/>
                </w:tcPr>
                <w:p w14:paraId="1200E8C3">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378</w:t>
                  </w:r>
                </w:p>
              </w:tc>
              <w:tc>
                <w:tcPr>
                  <w:tcW w:w="815" w:type="pct"/>
                  <w:tcBorders>
                    <w:tl2br w:val="nil"/>
                    <w:tr2bl w:val="nil"/>
                  </w:tcBorders>
                  <w:noWrap w:val="0"/>
                  <w:vAlign w:val="center"/>
                </w:tcPr>
                <w:p w14:paraId="5FCFBA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20.5</w:t>
                  </w:r>
                </w:p>
              </w:tc>
              <w:tc>
                <w:tcPr>
                  <w:tcW w:w="815" w:type="pct"/>
                  <w:vMerge w:val="continue"/>
                  <w:tcBorders>
                    <w:tl2br w:val="nil"/>
                    <w:tr2bl w:val="nil"/>
                  </w:tcBorders>
                  <w:noWrap w:val="0"/>
                  <w:vAlign w:val="center"/>
                </w:tcPr>
                <w:p w14:paraId="2990B0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p>
              </w:tc>
            </w:tr>
            <w:tr w14:paraId="4ADECB4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continue"/>
                  <w:tcBorders>
                    <w:tl2br w:val="nil"/>
                    <w:tr2bl w:val="nil"/>
                  </w:tcBorders>
                  <w:noWrap w:val="0"/>
                  <w:vAlign w:val="center"/>
                </w:tcPr>
                <w:p w14:paraId="587ABE61">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903" w:type="pct"/>
                  <w:tcBorders>
                    <w:tl2br w:val="nil"/>
                    <w:tr2bl w:val="nil"/>
                  </w:tcBorders>
                  <w:noWrap w:val="0"/>
                  <w:vAlign w:val="center"/>
                </w:tcPr>
                <w:p w14:paraId="55AF53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u w:val="none" w:color="auto"/>
                      <w:lang w:val="en-US" w:eastAsia="zh-CN"/>
                    </w:rPr>
                  </w:pPr>
                  <w:r>
                    <w:rPr>
                      <w:rFonts w:hint="eastAsia" w:ascii="Times New Roman" w:hAnsi="Times New Roman" w:cs="Times New Roman"/>
                      <w:color w:val="auto"/>
                      <w:kern w:val="2"/>
                      <w:sz w:val="21"/>
                      <w:szCs w:val="21"/>
                      <w:u w:val="none" w:color="auto"/>
                      <w:lang w:val="en-US" w:eastAsia="zh-CN"/>
                    </w:rPr>
                    <w:t>DA00</w:t>
                  </w:r>
                  <w:r>
                    <w:rPr>
                      <w:rFonts w:hint="eastAsia" w:cs="Times New Roman"/>
                      <w:color w:val="auto"/>
                      <w:kern w:val="2"/>
                      <w:sz w:val="21"/>
                      <w:szCs w:val="21"/>
                      <w:u w:val="none" w:color="auto"/>
                      <w:lang w:val="en-US" w:eastAsia="zh-CN"/>
                    </w:rPr>
                    <w:t>3</w:t>
                  </w:r>
                  <w:r>
                    <w:rPr>
                      <w:rFonts w:hint="default" w:ascii="Times New Roman" w:hAnsi="Times New Roman" w:cs="Times New Roman"/>
                      <w:color w:val="auto"/>
                      <w:kern w:val="2"/>
                      <w:sz w:val="21"/>
                      <w:szCs w:val="21"/>
                      <w:u w:val="none" w:color="auto"/>
                    </w:rPr>
                    <w:t>风机</w:t>
                  </w:r>
                </w:p>
              </w:tc>
              <w:tc>
                <w:tcPr>
                  <w:tcW w:w="774" w:type="pct"/>
                  <w:tcBorders>
                    <w:tl2br w:val="nil"/>
                    <w:tr2bl w:val="nil"/>
                  </w:tcBorders>
                  <w:noWrap w:val="0"/>
                  <w:vAlign w:val="center"/>
                </w:tcPr>
                <w:p w14:paraId="43370306">
                  <w:pPr>
                    <w:keepNext w:val="0"/>
                    <w:keepLines w:val="0"/>
                    <w:suppressLineNumbers w:val="0"/>
                    <w:spacing w:before="0" w:beforeAutospacing="0" w:after="0" w:afterAutospacing="0" w:line="240" w:lineRule="auto"/>
                    <w:ind w:left="0" w:leftChars="0" w:right="0" w:rightChars="0"/>
                    <w:jc w:val="center"/>
                    <w:rPr>
                      <w:rFonts w:hint="default"/>
                      <w:b w:val="0"/>
                      <w:bCs w:val="0"/>
                      <w:sz w:val="21"/>
                      <w:szCs w:val="21"/>
                      <w:highlight w:val="none"/>
                      <w:u w:val="none" w:color="auto"/>
                      <w:vertAlign w:val="baseline"/>
                      <w:lang w:val="en-US" w:eastAsia="zh-CN"/>
                    </w:rPr>
                  </w:pPr>
                  <w:r>
                    <w:rPr>
                      <w:rFonts w:hint="eastAsia"/>
                      <w:b w:val="0"/>
                      <w:bCs w:val="0"/>
                      <w:sz w:val="21"/>
                      <w:szCs w:val="21"/>
                      <w:highlight w:val="none"/>
                      <w:u w:val="none" w:color="auto"/>
                      <w:vertAlign w:val="baseline"/>
                      <w:lang w:val="en-US" w:eastAsia="zh-CN"/>
                    </w:rPr>
                    <w:t>80</w:t>
                  </w:r>
                </w:p>
              </w:tc>
              <w:tc>
                <w:tcPr>
                  <w:tcW w:w="1053" w:type="pct"/>
                  <w:tcBorders>
                    <w:tl2br w:val="nil"/>
                    <w:tr2bl w:val="nil"/>
                  </w:tcBorders>
                  <w:noWrap w:val="0"/>
                  <w:vAlign w:val="center"/>
                </w:tcPr>
                <w:p w14:paraId="174EDCEF">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445</w:t>
                  </w:r>
                </w:p>
              </w:tc>
              <w:tc>
                <w:tcPr>
                  <w:tcW w:w="815" w:type="pct"/>
                  <w:tcBorders>
                    <w:tl2br w:val="nil"/>
                    <w:tr2bl w:val="nil"/>
                  </w:tcBorders>
                  <w:noWrap w:val="0"/>
                  <w:vAlign w:val="center"/>
                </w:tcPr>
                <w:p w14:paraId="05D36B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19.0</w:t>
                  </w:r>
                </w:p>
              </w:tc>
              <w:tc>
                <w:tcPr>
                  <w:tcW w:w="815" w:type="pct"/>
                  <w:vMerge w:val="continue"/>
                  <w:tcBorders>
                    <w:tl2br w:val="nil"/>
                    <w:tr2bl w:val="nil"/>
                  </w:tcBorders>
                  <w:noWrap w:val="0"/>
                  <w:vAlign w:val="center"/>
                </w:tcPr>
                <w:p w14:paraId="7EC57C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p>
              </w:tc>
            </w:tr>
            <w:tr w14:paraId="5B8203B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restart"/>
                  <w:tcBorders>
                    <w:tl2br w:val="nil"/>
                    <w:tr2bl w:val="nil"/>
                  </w:tcBorders>
                  <w:noWrap w:val="0"/>
                  <w:vAlign w:val="center"/>
                </w:tcPr>
                <w:p w14:paraId="5E6E2355">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北厂界</w:t>
                  </w:r>
                </w:p>
              </w:tc>
              <w:tc>
                <w:tcPr>
                  <w:tcW w:w="903" w:type="pct"/>
                  <w:tcBorders>
                    <w:tl2br w:val="nil"/>
                    <w:tr2bl w:val="nil"/>
                  </w:tcBorders>
                  <w:noWrap w:val="0"/>
                  <w:vAlign w:val="center"/>
                </w:tcPr>
                <w:p w14:paraId="7C96FC88">
                  <w:pPr>
                    <w:keepNext w:val="0"/>
                    <w:keepLines w:val="0"/>
                    <w:suppressLineNumbers w:val="0"/>
                    <w:tabs>
                      <w:tab w:val="left" w:pos="8370"/>
                      <w:tab w:val="left" w:pos="8600"/>
                    </w:tabs>
                    <w:adjustRightInd w:val="0"/>
                    <w:snapToGrid w:val="0"/>
                    <w:spacing w:before="0" w:beforeAutospacing="0" w:after="0" w:afterAutospacing="0"/>
                    <w:ind w:left="0" w:leftChars="0" w:right="0" w:rightChars="0"/>
                    <w:jc w:val="center"/>
                    <w:rPr>
                      <w:rFonts w:hint="eastAsia" w:ascii="Times New Roman" w:hAnsi="Times New Roman" w:eastAsia="宋体" w:cs="Times New Roman"/>
                      <w:b w:val="0"/>
                      <w:bCs w:val="0"/>
                      <w:color w:val="auto"/>
                      <w:sz w:val="21"/>
                      <w:szCs w:val="21"/>
                      <w:highlight w:val="none"/>
                      <w:u w:val="none" w:color="auto"/>
                      <w:lang w:eastAsia="zh-CN"/>
                    </w:rPr>
                  </w:pPr>
                  <w:r>
                    <w:rPr>
                      <w:rFonts w:hint="eastAsia" w:cs="Times New Roman"/>
                      <w:b w:val="0"/>
                      <w:bCs w:val="0"/>
                      <w:color w:val="auto"/>
                      <w:sz w:val="21"/>
                      <w:szCs w:val="21"/>
                      <w:highlight w:val="none"/>
                      <w:u w:val="none" w:color="auto"/>
                      <w:lang w:val="en-US" w:eastAsia="zh-CN"/>
                    </w:rPr>
                    <w:t>生产车间</w:t>
                  </w:r>
                </w:p>
              </w:tc>
              <w:tc>
                <w:tcPr>
                  <w:tcW w:w="774" w:type="pct"/>
                  <w:tcBorders>
                    <w:tl2br w:val="nil"/>
                    <w:tr2bl w:val="nil"/>
                  </w:tcBorders>
                  <w:noWrap w:val="0"/>
                  <w:vAlign w:val="center"/>
                </w:tcPr>
                <w:p w14:paraId="18D9C52C">
                  <w:pPr>
                    <w:keepNext w:val="0"/>
                    <w:keepLines w:val="0"/>
                    <w:suppressLineNumbers w:val="0"/>
                    <w:spacing w:before="0" w:beforeAutospacing="0" w:after="0" w:afterAutospacing="0" w:line="240" w:lineRule="auto"/>
                    <w:ind w:left="0" w:leftChars="0" w:right="0" w:rightChars="0"/>
                    <w:jc w:val="center"/>
                    <w:rPr>
                      <w:rFonts w:hint="default"/>
                      <w:b w:val="0"/>
                      <w:bCs w:val="0"/>
                      <w:sz w:val="21"/>
                      <w:szCs w:val="21"/>
                      <w:highlight w:val="none"/>
                      <w:u w:val="none" w:color="auto"/>
                      <w:vertAlign w:val="baseline"/>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62.6</w:t>
                  </w:r>
                </w:p>
              </w:tc>
              <w:tc>
                <w:tcPr>
                  <w:tcW w:w="1053" w:type="pct"/>
                  <w:tcBorders>
                    <w:tl2br w:val="nil"/>
                    <w:tr2bl w:val="nil"/>
                  </w:tcBorders>
                  <w:noWrap w:val="0"/>
                  <w:vAlign w:val="center"/>
                </w:tcPr>
                <w:p w14:paraId="631F928F">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b w:val="0"/>
                      <w:bCs w:val="0"/>
                      <w:sz w:val="21"/>
                      <w:szCs w:val="21"/>
                      <w:highlight w:val="none"/>
                      <w:u w:val="none" w:color="auto"/>
                      <w:vertAlign w:val="baseline"/>
                      <w:lang w:val="en-US" w:eastAsia="zh-CN"/>
                    </w:rPr>
                    <w:t>364</w:t>
                  </w:r>
                </w:p>
              </w:tc>
              <w:tc>
                <w:tcPr>
                  <w:tcW w:w="815" w:type="pct"/>
                  <w:tcBorders>
                    <w:tl2br w:val="nil"/>
                    <w:tr2bl w:val="nil"/>
                  </w:tcBorders>
                  <w:noWrap w:val="0"/>
                  <w:vAlign w:val="center"/>
                </w:tcPr>
                <w:p w14:paraId="56D9B3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u w:val="none" w:color="auto"/>
                      <w:lang w:val="en-US" w:eastAsia="zh-CN"/>
                    </w:rPr>
                  </w:pPr>
                  <w:r>
                    <w:rPr>
                      <w:rFonts w:hint="eastAsia" w:ascii="Times New Roman" w:hAnsi="Times New Roman" w:cs="Times New Roman"/>
                      <w:b w:val="0"/>
                      <w:bCs w:val="0"/>
                      <w:color w:val="auto"/>
                      <w:sz w:val="21"/>
                      <w:szCs w:val="21"/>
                      <w:highlight w:val="none"/>
                      <w:u w:val="none" w:color="auto"/>
                      <w:lang w:val="en-US" w:eastAsia="zh-CN"/>
                    </w:rPr>
                    <w:t>3.4</w:t>
                  </w:r>
                </w:p>
              </w:tc>
              <w:tc>
                <w:tcPr>
                  <w:tcW w:w="815" w:type="pct"/>
                  <w:vMerge w:val="restart"/>
                  <w:tcBorders>
                    <w:tl2br w:val="nil"/>
                    <w:tr2bl w:val="nil"/>
                  </w:tcBorders>
                  <w:noWrap w:val="0"/>
                  <w:vAlign w:val="center"/>
                </w:tcPr>
                <w:p w14:paraId="2DEACE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cs="Times New Roman"/>
                      <w:i w:val="0"/>
                      <w:iCs w:val="0"/>
                      <w:color w:val="000000"/>
                      <w:kern w:val="0"/>
                      <w:sz w:val="21"/>
                      <w:szCs w:val="21"/>
                      <w:u w:val="none" w:color="auto"/>
                      <w:lang w:val="en-US" w:eastAsia="zh-CN" w:bidi="ar"/>
                    </w:rPr>
                    <w:t>26.2</w:t>
                  </w:r>
                </w:p>
              </w:tc>
            </w:tr>
            <w:tr w14:paraId="24218AC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continue"/>
                  <w:tcBorders>
                    <w:tl2br w:val="nil"/>
                    <w:tr2bl w:val="nil"/>
                  </w:tcBorders>
                  <w:noWrap w:val="0"/>
                  <w:vAlign w:val="center"/>
                </w:tcPr>
                <w:p w14:paraId="44629B6A">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903" w:type="pct"/>
                  <w:tcBorders>
                    <w:tl2br w:val="nil"/>
                    <w:tr2bl w:val="nil"/>
                  </w:tcBorders>
                  <w:noWrap w:val="0"/>
                  <w:vAlign w:val="center"/>
                </w:tcPr>
                <w:p w14:paraId="0430AC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u w:val="none" w:color="auto"/>
                      <w:lang w:eastAsia="zh-CN"/>
                    </w:rPr>
                  </w:pPr>
                  <w:r>
                    <w:rPr>
                      <w:rFonts w:hint="eastAsia" w:ascii="Times New Roman" w:hAnsi="Times New Roman" w:cs="Times New Roman"/>
                      <w:color w:val="auto"/>
                      <w:kern w:val="2"/>
                      <w:sz w:val="21"/>
                      <w:szCs w:val="21"/>
                      <w:u w:val="none" w:color="auto"/>
                      <w:lang w:val="en-US" w:eastAsia="zh-CN"/>
                    </w:rPr>
                    <w:t>DA001</w:t>
                  </w:r>
                  <w:r>
                    <w:rPr>
                      <w:rFonts w:hint="default" w:ascii="Times New Roman" w:hAnsi="Times New Roman" w:cs="Times New Roman"/>
                      <w:color w:val="auto"/>
                      <w:kern w:val="2"/>
                      <w:sz w:val="21"/>
                      <w:szCs w:val="21"/>
                      <w:u w:val="none" w:color="auto"/>
                    </w:rPr>
                    <w:t>风机</w:t>
                  </w:r>
                </w:p>
              </w:tc>
              <w:tc>
                <w:tcPr>
                  <w:tcW w:w="774" w:type="pct"/>
                  <w:tcBorders>
                    <w:tl2br w:val="nil"/>
                    <w:tr2bl w:val="nil"/>
                  </w:tcBorders>
                  <w:noWrap w:val="0"/>
                  <w:vAlign w:val="center"/>
                </w:tcPr>
                <w:p w14:paraId="2833B2FC">
                  <w:pPr>
                    <w:keepNext w:val="0"/>
                    <w:keepLines w:val="0"/>
                    <w:suppressLineNumbers w:val="0"/>
                    <w:spacing w:before="0" w:beforeAutospacing="0" w:after="0" w:afterAutospacing="0" w:line="240" w:lineRule="auto"/>
                    <w:ind w:left="0" w:leftChars="0" w:right="0" w:rightChars="0"/>
                    <w:jc w:val="center"/>
                    <w:rPr>
                      <w:rFonts w:hint="eastAsia"/>
                      <w:b w:val="0"/>
                      <w:bCs w:val="0"/>
                      <w:sz w:val="21"/>
                      <w:szCs w:val="21"/>
                      <w:highlight w:val="none"/>
                      <w:u w:val="none" w:color="auto"/>
                      <w:vertAlign w:val="baseline"/>
                      <w:lang w:val="en-US" w:eastAsia="zh-CN"/>
                    </w:rPr>
                  </w:pPr>
                  <w:r>
                    <w:rPr>
                      <w:rFonts w:hint="eastAsia"/>
                      <w:b w:val="0"/>
                      <w:bCs w:val="0"/>
                      <w:sz w:val="21"/>
                      <w:szCs w:val="21"/>
                      <w:highlight w:val="none"/>
                      <w:u w:val="none" w:color="auto"/>
                      <w:vertAlign w:val="baseline"/>
                      <w:lang w:val="en-US" w:eastAsia="zh-CN"/>
                    </w:rPr>
                    <w:t>85</w:t>
                  </w:r>
                </w:p>
              </w:tc>
              <w:tc>
                <w:tcPr>
                  <w:tcW w:w="1053" w:type="pct"/>
                  <w:tcBorders>
                    <w:tl2br w:val="nil"/>
                    <w:tr2bl w:val="nil"/>
                  </w:tcBorders>
                  <w:noWrap w:val="0"/>
                  <w:vAlign w:val="center"/>
                </w:tcPr>
                <w:p w14:paraId="2CCEBA2C">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485</w:t>
                  </w:r>
                </w:p>
              </w:tc>
              <w:tc>
                <w:tcPr>
                  <w:tcW w:w="815" w:type="pct"/>
                  <w:tcBorders>
                    <w:tl2br w:val="nil"/>
                    <w:tr2bl w:val="nil"/>
                  </w:tcBorders>
                  <w:noWrap w:val="0"/>
                  <w:vAlign w:val="center"/>
                </w:tcPr>
                <w:p w14:paraId="504AF4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23.3</w:t>
                  </w:r>
                </w:p>
              </w:tc>
              <w:tc>
                <w:tcPr>
                  <w:tcW w:w="815" w:type="pct"/>
                  <w:vMerge w:val="continue"/>
                  <w:tcBorders>
                    <w:tl2br w:val="nil"/>
                    <w:tr2bl w:val="nil"/>
                  </w:tcBorders>
                  <w:noWrap w:val="0"/>
                  <w:vAlign w:val="center"/>
                </w:tcPr>
                <w:p w14:paraId="238961FB">
                  <w:pPr>
                    <w:keepNext w:val="0"/>
                    <w:keepLines w:val="0"/>
                    <w:widowControl/>
                    <w:suppressLineNumbers w:val="0"/>
                    <w:spacing w:before="0" w:beforeAutospacing="0" w:after="0" w:afterAutospacing="0"/>
                    <w:ind w:left="0" w:right="0"/>
                    <w:jc w:val="center"/>
                    <w:textAlignment w:val="center"/>
                    <w:rPr>
                      <w:rFonts w:hint="eastAsia" w:cs="Times New Roman"/>
                      <w:i w:val="0"/>
                      <w:iCs w:val="0"/>
                      <w:color w:val="000000"/>
                      <w:kern w:val="0"/>
                      <w:sz w:val="21"/>
                      <w:szCs w:val="21"/>
                      <w:u w:val="none" w:color="auto"/>
                      <w:lang w:val="en-US" w:eastAsia="zh-CN" w:bidi="ar"/>
                    </w:rPr>
                  </w:pPr>
                </w:p>
              </w:tc>
            </w:tr>
            <w:tr w14:paraId="104A062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continue"/>
                  <w:tcBorders>
                    <w:tl2br w:val="nil"/>
                    <w:tr2bl w:val="nil"/>
                  </w:tcBorders>
                  <w:noWrap w:val="0"/>
                  <w:vAlign w:val="center"/>
                </w:tcPr>
                <w:p w14:paraId="006601A5">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903" w:type="pct"/>
                  <w:tcBorders>
                    <w:tl2br w:val="nil"/>
                    <w:tr2bl w:val="nil"/>
                  </w:tcBorders>
                  <w:noWrap w:val="0"/>
                  <w:vAlign w:val="center"/>
                </w:tcPr>
                <w:p w14:paraId="237EEF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u w:val="none" w:color="auto"/>
                      <w:lang w:eastAsia="zh-CN"/>
                    </w:rPr>
                  </w:pPr>
                  <w:r>
                    <w:rPr>
                      <w:rFonts w:hint="eastAsia" w:ascii="Times New Roman" w:hAnsi="Times New Roman" w:cs="Times New Roman"/>
                      <w:color w:val="auto"/>
                      <w:kern w:val="2"/>
                      <w:sz w:val="21"/>
                      <w:szCs w:val="21"/>
                      <w:u w:val="none" w:color="auto"/>
                      <w:lang w:val="en-US" w:eastAsia="zh-CN"/>
                    </w:rPr>
                    <w:t>DA002</w:t>
                  </w:r>
                  <w:r>
                    <w:rPr>
                      <w:rFonts w:hint="default" w:ascii="Times New Roman" w:hAnsi="Times New Roman" w:cs="Times New Roman"/>
                      <w:color w:val="auto"/>
                      <w:kern w:val="2"/>
                      <w:sz w:val="21"/>
                      <w:szCs w:val="21"/>
                      <w:u w:val="none" w:color="auto"/>
                    </w:rPr>
                    <w:t>风机</w:t>
                  </w:r>
                </w:p>
              </w:tc>
              <w:tc>
                <w:tcPr>
                  <w:tcW w:w="774" w:type="pct"/>
                  <w:tcBorders>
                    <w:tl2br w:val="nil"/>
                    <w:tr2bl w:val="nil"/>
                  </w:tcBorders>
                  <w:noWrap w:val="0"/>
                  <w:vAlign w:val="center"/>
                </w:tcPr>
                <w:p w14:paraId="6EEE185D">
                  <w:pPr>
                    <w:keepNext w:val="0"/>
                    <w:keepLines w:val="0"/>
                    <w:suppressLineNumbers w:val="0"/>
                    <w:spacing w:before="0" w:beforeAutospacing="0" w:after="0" w:afterAutospacing="0" w:line="240" w:lineRule="auto"/>
                    <w:ind w:left="0" w:leftChars="0" w:right="0" w:rightChars="0"/>
                    <w:jc w:val="center"/>
                    <w:rPr>
                      <w:rFonts w:hint="eastAsia"/>
                      <w:b w:val="0"/>
                      <w:bCs w:val="0"/>
                      <w:sz w:val="21"/>
                      <w:szCs w:val="21"/>
                      <w:highlight w:val="none"/>
                      <w:u w:val="none" w:color="auto"/>
                      <w:vertAlign w:val="baseline"/>
                      <w:lang w:val="en-US" w:eastAsia="zh-CN"/>
                    </w:rPr>
                  </w:pPr>
                  <w:r>
                    <w:rPr>
                      <w:rFonts w:hint="eastAsia"/>
                      <w:b w:val="0"/>
                      <w:bCs w:val="0"/>
                      <w:sz w:val="21"/>
                      <w:szCs w:val="21"/>
                      <w:highlight w:val="none"/>
                      <w:u w:val="none" w:color="auto"/>
                      <w:vertAlign w:val="baseline"/>
                      <w:lang w:val="en-US" w:eastAsia="zh-CN"/>
                    </w:rPr>
                    <w:t>80</w:t>
                  </w:r>
                </w:p>
              </w:tc>
              <w:tc>
                <w:tcPr>
                  <w:tcW w:w="1053" w:type="pct"/>
                  <w:tcBorders>
                    <w:tl2br w:val="nil"/>
                    <w:tr2bl w:val="nil"/>
                  </w:tcBorders>
                  <w:noWrap w:val="0"/>
                  <w:vAlign w:val="center"/>
                </w:tcPr>
                <w:p w14:paraId="73D85E43">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483</w:t>
                  </w:r>
                </w:p>
              </w:tc>
              <w:tc>
                <w:tcPr>
                  <w:tcW w:w="815" w:type="pct"/>
                  <w:tcBorders>
                    <w:tl2br w:val="nil"/>
                    <w:tr2bl w:val="nil"/>
                  </w:tcBorders>
                  <w:noWrap w:val="0"/>
                  <w:vAlign w:val="center"/>
                </w:tcPr>
                <w:p w14:paraId="13C846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18.3</w:t>
                  </w:r>
                </w:p>
              </w:tc>
              <w:tc>
                <w:tcPr>
                  <w:tcW w:w="815" w:type="pct"/>
                  <w:vMerge w:val="continue"/>
                  <w:tcBorders>
                    <w:tl2br w:val="nil"/>
                    <w:tr2bl w:val="nil"/>
                  </w:tcBorders>
                  <w:noWrap w:val="0"/>
                  <w:vAlign w:val="center"/>
                </w:tcPr>
                <w:p w14:paraId="6851DF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p>
              </w:tc>
            </w:tr>
            <w:tr w14:paraId="0E2BD1B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Merge w:val="continue"/>
                  <w:tcBorders>
                    <w:tl2br w:val="nil"/>
                    <w:tr2bl w:val="nil"/>
                  </w:tcBorders>
                  <w:noWrap w:val="0"/>
                  <w:vAlign w:val="center"/>
                </w:tcPr>
                <w:p w14:paraId="76E895EE">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903" w:type="pct"/>
                  <w:tcBorders>
                    <w:tl2br w:val="nil"/>
                    <w:tr2bl w:val="nil"/>
                  </w:tcBorders>
                  <w:noWrap w:val="0"/>
                  <w:vAlign w:val="center"/>
                </w:tcPr>
                <w:p w14:paraId="7359E3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u w:val="none" w:color="auto"/>
                      <w:lang w:val="en-US" w:eastAsia="zh-CN"/>
                    </w:rPr>
                  </w:pPr>
                  <w:r>
                    <w:rPr>
                      <w:rFonts w:hint="eastAsia" w:ascii="Times New Roman" w:hAnsi="Times New Roman" w:cs="Times New Roman"/>
                      <w:color w:val="auto"/>
                      <w:kern w:val="2"/>
                      <w:sz w:val="21"/>
                      <w:szCs w:val="21"/>
                      <w:u w:val="none" w:color="auto"/>
                      <w:lang w:val="en-US" w:eastAsia="zh-CN"/>
                    </w:rPr>
                    <w:t>DA00</w:t>
                  </w:r>
                  <w:r>
                    <w:rPr>
                      <w:rFonts w:hint="eastAsia" w:cs="Times New Roman"/>
                      <w:color w:val="auto"/>
                      <w:kern w:val="2"/>
                      <w:sz w:val="21"/>
                      <w:szCs w:val="21"/>
                      <w:u w:val="none" w:color="auto"/>
                      <w:lang w:val="en-US" w:eastAsia="zh-CN"/>
                    </w:rPr>
                    <w:t>3</w:t>
                  </w:r>
                  <w:r>
                    <w:rPr>
                      <w:rFonts w:hint="default" w:ascii="Times New Roman" w:hAnsi="Times New Roman" w:cs="Times New Roman"/>
                      <w:color w:val="auto"/>
                      <w:kern w:val="2"/>
                      <w:sz w:val="21"/>
                      <w:szCs w:val="21"/>
                      <w:u w:val="none" w:color="auto"/>
                    </w:rPr>
                    <w:t>风机</w:t>
                  </w:r>
                </w:p>
              </w:tc>
              <w:tc>
                <w:tcPr>
                  <w:tcW w:w="774" w:type="pct"/>
                  <w:tcBorders>
                    <w:tl2br w:val="nil"/>
                    <w:tr2bl w:val="nil"/>
                  </w:tcBorders>
                  <w:noWrap w:val="0"/>
                  <w:vAlign w:val="center"/>
                </w:tcPr>
                <w:p w14:paraId="706E6F3F">
                  <w:pPr>
                    <w:keepNext w:val="0"/>
                    <w:keepLines w:val="0"/>
                    <w:suppressLineNumbers w:val="0"/>
                    <w:spacing w:before="0" w:beforeAutospacing="0" w:after="0" w:afterAutospacing="0" w:line="240" w:lineRule="auto"/>
                    <w:ind w:left="0" w:leftChars="0" w:right="0" w:rightChars="0"/>
                    <w:jc w:val="center"/>
                    <w:rPr>
                      <w:rFonts w:hint="default"/>
                      <w:b w:val="0"/>
                      <w:bCs w:val="0"/>
                      <w:sz w:val="21"/>
                      <w:szCs w:val="21"/>
                      <w:highlight w:val="none"/>
                      <w:u w:val="none" w:color="auto"/>
                      <w:vertAlign w:val="baseline"/>
                      <w:lang w:val="en-US" w:eastAsia="zh-CN"/>
                    </w:rPr>
                  </w:pPr>
                  <w:r>
                    <w:rPr>
                      <w:rFonts w:hint="eastAsia"/>
                      <w:b w:val="0"/>
                      <w:bCs w:val="0"/>
                      <w:sz w:val="21"/>
                      <w:szCs w:val="21"/>
                      <w:highlight w:val="none"/>
                      <w:u w:val="none" w:color="auto"/>
                      <w:vertAlign w:val="baseline"/>
                      <w:lang w:val="en-US" w:eastAsia="zh-CN"/>
                    </w:rPr>
                    <w:t>80</w:t>
                  </w:r>
                </w:p>
              </w:tc>
              <w:tc>
                <w:tcPr>
                  <w:tcW w:w="1053" w:type="pct"/>
                  <w:tcBorders>
                    <w:tl2br w:val="nil"/>
                    <w:tr2bl w:val="nil"/>
                  </w:tcBorders>
                  <w:noWrap w:val="0"/>
                  <w:vAlign w:val="center"/>
                </w:tcPr>
                <w:p w14:paraId="4F11EC08">
                  <w:pPr>
                    <w:keepNext w:val="0"/>
                    <w:keepLines w:val="0"/>
                    <w:suppressLineNumbers w:val="0"/>
                    <w:tabs>
                      <w:tab w:val="left" w:pos="8370"/>
                      <w:tab w:val="left" w:pos="8600"/>
                    </w:tabs>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350</w:t>
                  </w:r>
                </w:p>
              </w:tc>
              <w:tc>
                <w:tcPr>
                  <w:tcW w:w="815" w:type="pct"/>
                  <w:tcBorders>
                    <w:tl2br w:val="nil"/>
                    <w:tr2bl w:val="nil"/>
                  </w:tcBorders>
                  <w:noWrap w:val="0"/>
                  <w:vAlign w:val="center"/>
                </w:tcPr>
                <w:p w14:paraId="156123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21.1</w:t>
                  </w:r>
                </w:p>
              </w:tc>
              <w:tc>
                <w:tcPr>
                  <w:tcW w:w="815" w:type="pct"/>
                  <w:vMerge w:val="continue"/>
                  <w:tcBorders>
                    <w:tl2br w:val="nil"/>
                    <w:tr2bl w:val="nil"/>
                  </w:tcBorders>
                  <w:noWrap w:val="0"/>
                  <w:vAlign w:val="center"/>
                </w:tcPr>
                <w:p w14:paraId="56453F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p>
              </w:tc>
            </w:tr>
          </w:tbl>
          <w:p w14:paraId="43F329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textAlignment w:val="auto"/>
              <w:rPr>
                <w:rFonts w:hint="default"/>
                <w:sz w:val="24"/>
                <w:highlight w:val="none"/>
                <w:u w:val="none" w:color="auto"/>
              </w:rPr>
            </w:pPr>
            <w:r>
              <w:rPr>
                <w:rFonts w:hint="eastAsia"/>
                <w:sz w:val="24"/>
                <w:highlight w:val="none"/>
                <w:u w:val="none" w:color="auto"/>
              </w:rPr>
              <w:t>由上表可知，</w:t>
            </w:r>
            <w:r>
              <w:rPr>
                <w:rFonts w:hint="default"/>
                <w:sz w:val="24"/>
                <w:highlight w:val="none"/>
                <w:u w:val="none" w:color="auto"/>
              </w:rPr>
              <w:t>经过车间</w:t>
            </w:r>
            <w:r>
              <w:rPr>
                <w:rFonts w:hint="eastAsia"/>
                <w:sz w:val="24"/>
                <w:highlight w:val="none"/>
                <w:u w:val="none" w:color="auto"/>
                <w:lang w:val="en-US" w:eastAsia="zh-CN"/>
              </w:rPr>
              <w:t>封闭</w:t>
            </w:r>
            <w:r>
              <w:rPr>
                <w:rFonts w:hint="default"/>
                <w:sz w:val="24"/>
                <w:highlight w:val="none"/>
                <w:u w:val="none" w:color="auto"/>
              </w:rPr>
              <w:t>、距离衰减等措施后，项目厂区四周噪声值</w:t>
            </w:r>
            <w:r>
              <w:rPr>
                <w:rFonts w:hint="eastAsia"/>
                <w:sz w:val="24"/>
                <w:highlight w:val="none"/>
                <w:u w:val="none" w:color="auto"/>
              </w:rPr>
              <w:t>均</w:t>
            </w:r>
            <w:r>
              <w:rPr>
                <w:rFonts w:hint="default"/>
                <w:sz w:val="24"/>
                <w:highlight w:val="none"/>
                <w:u w:val="none" w:color="auto"/>
              </w:rPr>
              <w:t>满足《工业企业厂界环境噪声排放标准》（GB12348-2008）</w:t>
            </w:r>
            <w:r>
              <w:rPr>
                <w:rFonts w:hint="eastAsia"/>
                <w:sz w:val="24"/>
                <w:highlight w:val="none"/>
                <w:u w:val="none" w:color="auto"/>
                <w:lang w:val="en-US" w:eastAsia="zh-CN"/>
              </w:rPr>
              <w:t>3</w:t>
            </w:r>
            <w:r>
              <w:rPr>
                <w:rFonts w:hint="default"/>
                <w:sz w:val="24"/>
                <w:highlight w:val="none"/>
                <w:u w:val="none" w:color="auto"/>
              </w:rPr>
              <w:t>类标准</w:t>
            </w:r>
            <w:r>
              <w:rPr>
                <w:rFonts w:hint="eastAsia"/>
                <w:sz w:val="24"/>
                <w:highlight w:val="none"/>
                <w:u w:val="none" w:color="auto"/>
                <w:lang w:val="en-US" w:eastAsia="zh-CN"/>
              </w:rPr>
              <w:t>昼间65</w:t>
            </w:r>
            <w:r>
              <w:rPr>
                <w:rFonts w:hint="default"/>
                <w:sz w:val="24"/>
                <w:highlight w:val="none"/>
                <w:u w:val="none" w:color="auto"/>
              </w:rPr>
              <w:t>dB（A）</w:t>
            </w:r>
            <w:r>
              <w:rPr>
                <w:rFonts w:hint="eastAsia"/>
                <w:sz w:val="24"/>
                <w:highlight w:val="none"/>
                <w:u w:val="none" w:color="auto"/>
                <w:lang w:eastAsia="zh-CN"/>
              </w:rPr>
              <w:t>、</w:t>
            </w:r>
            <w:r>
              <w:rPr>
                <w:rFonts w:hint="eastAsia"/>
                <w:sz w:val="24"/>
                <w:highlight w:val="none"/>
                <w:u w:val="none" w:color="auto"/>
                <w:lang w:val="en-US" w:eastAsia="zh-CN"/>
              </w:rPr>
              <w:t>夜间55</w:t>
            </w:r>
            <w:r>
              <w:rPr>
                <w:rFonts w:hint="default"/>
                <w:sz w:val="24"/>
                <w:highlight w:val="none"/>
                <w:u w:val="none" w:color="auto"/>
              </w:rPr>
              <w:t>dB（A）的要求</w:t>
            </w:r>
            <w:r>
              <w:rPr>
                <w:rFonts w:hint="eastAsia"/>
                <w:sz w:val="24"/>
                <w:highlight w:val="none"/>
                <w:u w:val="none" w:color="auto"/>
              </w:rPr>
              <w:t>。</w:t>
            </w:r>
          </w:p>
          <w:p w14:paraId="48C7D4D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sz w:val="24"/>
                <w:u w:val="none" w:color="auto"/>
              </w:rPr>
            </w:pPr>
            <w:r>
              <w:rPr>
                <w:sz w:val="24"/>
                <w:u w:val="none" w:color="auto"/>
              </w:rPr>
              <w:t>根据《排污许可证申请与核发技术规范 工业噪声》（HJ 1301-2023）的规定</w:t>
            </w:r>
            <w:r>
              <w:rPr>
                <w:rFonts w:hint="eastAsia"/>
                <w:sz w:val="24"/>
                <w:u w:val="none" w:color="auto"/>
              </w:rPr>
              <w:t>，</w:t>
            </w:r>
            <w:r>
              <w:rPr>
                <w:sz w:val="24"/>
                <w:u w:val="none" w:color="auto"/>
              </w:rPr>
              <w:t>评价提出项目在生产运行阶段的污染源监测计划，本项目自行监测要求见下表。</w:t>
            </w:r>
          </w:p>
          <w:p w14:paraId="645B5588">
            <w:pPr>
              <w:adjustRightInd w:val="0"/>
              <w:snapToGrid w:val="0"/>
              <w:jc w:val="center"/>
              <w:rPr>
                <w:rFonts w:hint="eastAsia" w:ascii="Times New Roman" w:hAnsi="Times New Roman" w:eastAsia="宋体" w:cs="Times New Roman"/>
                <w:b/>
                <w:sz w:val="24"/>
                <w:u w:val="none" w:color="auto"/>
                <w:lang w:val="en-US" w:eastAsia="zh-CN"/>
              </w:rPr>
            </w:pPr>
            <w:r>
              <w:rPr>
                <w:rFonts w:hint="eastAsia" w:ascii="Times New Roman" w:hAnsi="Times New Roman" w:eastAsia="宋体" w:cs="Times New Roman"/>
                <w:b/>
                <w:sz w:val="24"/>
                <w:u w:val="none" w:color="auto"/>
                <w:lang w:val="en-US" w:eastAsia="zh-CN"/>
              </w:rPr>
              <w:t>表4-</w:t>
            </w:r>
            <w:r>
              <w:rPr>
                <w:rFonts w:hint="eastAsia" w:cs="Times New Roman"/>
                <w:b/>
                <w:sz w:val="24"/>
                <w:u w:val="none" w:color="auto"/>
                <w:lang w:val="en-US" w:eastAsia="zh-CN"/>
              </w:rPr>
              <w:t>24</w:t>
            </w:r>
            <w:r>
              <w:rPr>
                <w:rFonts w:hint="eastAsia" w:ascii="Times New Roman" w:hAnsi="Times New Roman" w:eastAsia="宋体" w:cs="Times New Roman"/>
                <w:b/>
                <w:sz w:val="24"/>
                <w:u w:val="none" w:color="auto"/>
                <w:lang w:val="en-US" w:eastAsia="zh-CN"/>
              </w:rPr>
              <w:t xml:space="preserve">    厂界噪声监测方案</w:t>
            </w:r>
          </w:p>
          <w:tbl>
            <w:tblPr>
              <w:tblStyle w:val="32"/>
              <w:tblW w:w="7818"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445"/>
              <w:gridCol w:w="1707"/>
              <w:gridCol w:w="3605"/>
            </w:tblGrid>
            <w:tr w14:paraId="480D3C0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061" w:type="dxa"/>
                  <w:tcBorders>
                    <w:bottom w:val="single" w:color="000000" w:sz="8" w:space="0"/>
                    <w:tl2br w:val="nil"/>
                    <w:tr2bl w:val="nil"/>
                  </w:tcBorders>
                  <w:noWrap w:val="0"/>
                  <w:vAlign w:val="center"/>
                </w:tcPr>
                <w:p w14:paraId="2613ED5B">
                  <w:pPr>
                    <w:pStyle w:val="71"/>
                    <w:adjustRightInd w:val="0"/>
                    <w:snapToGrid w:val="0"/>
                    <w:rPr>
                      <w:b/>
                      <w:bCs/>
                      <w:sz w:val="21"/>
                      <w:szCs w:val="21"/>
                      <w:u w:val="none" w:color="auto"/>
                    </w:rPr>
                  </w:pPr>
                  <w:r>
                    <w:rPr>
                      <w:b/>
                      <w:bCs/>
                      <w:sz w:val="21"/>
                      <w:szCs w:val="21"/>
                      <w:u w:val="none" w:color="auto"/>
                    </w:rPr>
                    <w:t>监测点位</w:t>
                  </w:r>
                </w:p>
              </w:tc>
              <w:tc>
                <w:tcPr>
                  <w:tcW w:w="1445" w:type="dxa"/>
                  <w:tcBorders>
                    <w:bottom w:val="single" w:color="000000" w:sz="8" w:space="0"/>
                    <w:tl2br w:val="nil"/>
                    <w:tr2bl w:val="nil"/>
                  </w:tcBorders>
                  <w:noWrap w:val="0"/>
                  <w:vAlign w:val="center"/>
                </w:tcPr>
                <w:p w14:paraId="7345965F">
                  <w:pPr>
                    <w:pStyle w:val="71"/>
                    <w:adjustRightInd w:val="0"/>
                    <w:snapToGrid w:val="0"/>
                    <w:rPr>
                      <w:rFonts w:hint="eastAsia" w:eastAsia="宋体"/>
                      <w:b/>
                      <w:bCs/>
                      <w:sz w:val="21"/>
                      <w:szCs w:val="21"/>
                      <w:u w:val="none" w:color="auto"/>
                      <w:lang w:eastAsia="zh-CN"/>
                    </w:rPr>
                  </w:pPr>
                  <w:r>
                    <w:rPr>
                      <w:b/>
                      <w:bCs/>
                      <w:sz w:val="21"/>
                      <w:szCs w:val="21"/>
                      <w:u w:val="none" w:color="auto"/>
                    </w:rPr>
                    <w:t>监测</w:t>
                  </w:r>
                  <w:r>
                    <w:rPr>
                      <w:rFonts w:hint="eastAsia"/>
                      <w:b/>
                      <w:bCs/>
                      <w:sz w:val="21"/>
                      <w:szCs w:val="21"/>
                      <w:u w:val="none" w:color="auto"/>
                      <w:lang w:val="en-US" w:eastAsia="zh-CN"/>
                    </w:rPr>
                    <w:t>因子</w:t>
                  </w:r>
                </w:p>
              </w:tc>
              <w:tc>
                <w:tcPr>
                  <w:tcW w:w="1707" w:type="dxa"/>
                  <w:tcBorders>
                    <w:bottom w:val="single" w:color="000000" w:sz="8" w:space="0"/>
                    <w:tl2br w:val="nil"/>
                    <w:tr2bl w:val="nil"/>
                  </w:tcBorders>
                  <w:noWrap w:val="0"/>
                  <w:vAlign w:val="center"/>
                </w:tcPr>
                <w:p w14:paraId="1EF3F825">
                  <w:pPr>
                    <w:pStyle w:val="71"/>
                    <w:adjustRightInd w:val="0"/>
                    <w:snapToGrid w:val="0"/>
                    <w:rPr>
                      <w:b/>
                      <w:bCs/>
                      <w:sz w:val="21"/>
                      <w:szCs w:val="21"/>
                      <w:u w:val="none" w:color="auto"/>
                    </w:rPr>
                  </w:pPr>
                  <w:r>
                    <w:rPr>
                      <w:b/>
                      <w:bCs/>
                      <w:sz w:val="21"/>
                      <w:szCs w:val="21"/>
                      <w:u w:val="none" w:color="auto"/>
                    </w:rPr>
                    <w:t>监测频次</w:t>
                  </w:r>
                </w:p>
              </w:tc>
              <w:tc>
                <w:tcPr>
                  <w:tcW w:w="3605" w:type="dxa"/>
                  <w:tcBorders>
                    <w:bottom w:val="single" w:color="000000" w:sz="8" w:space="0"/>
                    <w:tl2br w:val="nil"/>
                    <w:tr2bl w:val="nil"/>
                  </w:tcBorders>
                  <w:noWrap w:val="0"/>
                  <w:vAlign w:val="center"/>
                </w:tcPr>
                <w:p w14:paraId="33B80302">
                  <w:pPr>
                    <w:pStyle w:val="71"/>
                    <w:adjustRightInd w:val="0"/>
                    <w:snapToGrid w:val="0"/>
                    <w:rPr>
                      <w:b/>
                      <w:bCs/>
                      <w:sz w:val="21"/>
                      <w:szCs w:val="21"/>
                      <w:u w:val="none" w:color="auto"/>
                    </w:rPr>
                  </w:pPr>
                  <w:r>
                    <w:rPr>
                      <w:b/>
                      <w:bCs/>
                      <w:sz w:val="21"/>
                      <w:szCs w:val="21"/>
                      <w:u w:val="none" w:color="auto"/>
                    </w:rPr>
                    <w:t>执行排放标准</w:t>
                  </w:r>
                </w:p>
              </w:tc>
            </w:tr>
            <w:tr w14:paraId="07AFEE9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61" w:type="dxa"/>
                  <w:tcBorders>
                    <w:top w:val="single" w:color="000000" w:sz="8" w:space="0"/>
                    <w:tl2br w:val="nil"/>
                    <w:tr2bl w:val="nil"/>
                  </w:tcBorders>
                  <w:noWrap w:val="0"/>
                  <w:vAlign w:val="center"/>
                </w:tcPr>
                <w:p w14:paraId="55434AEE">
                  <w:pPr>
                    <w:pStyle w:val="71"/>
                    <w:adjustRightInd w:val="0"/>
                    <w:snapToGrid w:val="0"/>
                    <w:rPr>
                      <w:sz w:val="21"/>
                      <w:szCs w:val="21"/>
                      <w:u w:val="none" w:color="auto"/>
                    </w:rPr>
                  </w:pPr>
                  <w:r>
                    <w:rPr>
                      <w:sz w:val="21"/>
                      <w:szCs w:val="21"/>
                      <w:u w:val="none" w:color="auto"/>
                    </w:rPr>
                    <w:t>厂界四周</w:t>
                  </w:r>
                </w:p>
              </w:tc>
              <w:tc>
                <w:tcPr>
                  <w:tcW w:w="1445" w:type="dxa"/>
                  <w:tcBorders>
                    <w:top w:val="single" w:color="000000" w:sz="8" w:space="0"/>
                    <w:tl2br w:val="nil"/>
                    <w:tr2bl w:val="nil"/>
                  </w:tcBorders>
                  <w:noWrap w:val="0"/>
                  <w:vAlign w:val="center"/>
                </w:tcPr>
                <w:p w14:paraId="6A6AF7CD">
                  <w:pPr>
                    <w:pStyle w:val="71"/>
                    <w:adjustRightInd w:val="0"/>
                    <w:snapToGrid w:val="0"/>
                    <w:rPr>
                      <w:sz w:val="21"/>
                      <w:szCs w:val="21"/>
                      <w:u w:val="none" w:color="auto"/>
                    </w:rPr>
                  </w:pPr>
                  <w:r>
                    <w:rPr>
                      <w:rFonts w:hAnsi="宋体"/>
                      <w:kern w:val="2"/>
                      <w:szCs w:val="21"/>
                      <w:u w:val="none" w:color="auto"/>
                      <w:lang w:val="en-GB"/>
                    </w:rPr>
                    <w:t>等效连续</w:t>
                  </w:r>
                  <w:r>
                    <w:rPr>
                      <w:kern w:val="2"/>
                      <w:szCs w:val="21"/>
                      <w:u w:val="none" w:color="auto"/>
                      <w:lang w:val="en-GB"/>
                    </w:rPr>
                    <w:t>A</w:t>
                  </w:r>
                  <w:r>
                    <w:rPr>
                      <w:rFonts w:hAnsi="宋体"/>
                      <w:kern w:val="2"/>
                      <w:szCs w:val="21"/>
                      <w:u w:val="none" w:color="auto"/>
                      <w:lang w:val="en-GB"/>
                    </w:rPr>
                    <w:t>声级</w:t>
                  </w:r>
                </w:p>
              </w:tc>
              <w:tc>
                <w:tcPr>
                  <w:tcW w:w="1707" w:type="dxa"/>
                  <w:tcBorders>
                    <w:top w:val="single" w:color="000000" w:sz="8" w:space="0"/>
                    <w:tl2br w:val="nil"/>
                    <w:tr2bl w:val="nil"/>
                  </w:tcBorders>
                  <w:noWrap w:val="0"/>
                  <w:vAlign w:val="center"/>
                </w:tcPr>
                <w:p w14:paraId="27A497D8">
                  <w:pPr>
                    <w:pStyle w:val="71"/>
                    <w:adjustRightInd w:val="0"/>
                    <w:snapToGrid w:val="0"/>
                    <w:rPr>
                      <w:sz w:val="21"/>
                      <w:szCs w:val="21"/>
                      <w:u w:val="none" w:color="auto"/>
                    </w:rPr>
                  </w:pPr>
                  <w:r>
                    <w:rPr>
                      <w:rFonts w:hAnsi="宋体"/>
                      <w:kern w:val="2"/>
                      <w:szCs w:val="21"/>
                      <w:u w:val="none" w:color="auto"/>
                      <w:lang w:val="en-GB"/>
                    </w:rPr>
                    <w:t>每季度</w:t>
                  </w:r>
                  <w:r>
                    <w:rPr>
                      <w:rFonts w:hAnsi="宋体"/>
                      <w:kern w:val="2"/>
                      <w:szCs w:val="21"/>
                      <w:u w:val="none" w:color="auto"/>
                    </w:rPr>
                    <w:t>一</w:t>
                  </w:r>
                  <w:r>
                    <w:rPr>
                      <w:rFonts w:hAnsi="宋体"/>
                      <w:kern w:val="2"/>
                      <w:szCs w:val="21"/>
                      <w:u w:val="none" w:color="auto"/>
                      <w:lang w:val="en-GB"/>
                    </w:rPr>
                    <w:t>次</w:t>
                  </w:r>
                </w:p>
              </w:tc>
              <w:tc>
                <w:tcPr>
                  <w:tcW w:w="3605" w:type="dxa"/>
                  <w:tcBorders>
                    <w:top w:val="single" w:color="000000" w:sz="8" w:space="0"/>
                    <w:tl2br w:val="nil"/>
                    <w:tr2bl w:val="nil"/>
                  </w:tcBorders>
                  <w:noWrap w:val="0"/>
                  <w:vAlign w:val="center"/>
                </w:tcPr>
                <w:p w14:paraId="55C09366">
                  <w:pPr>
                    <w:adjustRightInd w:val="0"/>
                    <w:snapToGrid w:val="0"/>
                    <w:jc w:val="center"/>
                    <w:rPr>
                      <w:sz w:val="21"/>
                      <w:szCs w:val="21"/>
                      <w:u w:val="none" w:color="auto"/>
                    </w:rPr>
                  </w:pPr>
                  <w:r>
                    <w:rPr>
                      <w:sz w:val="21"/>
                      <w:szCs w:val="21"/>
                      <w:u w:val="none" w:color="auto"/>
                    </w:rPr>
                    <w:t>《工业企业厂界环境噪声排放标准》（GB12348-2008）</w:t>
                  </w:r>
                  <w:r>
                    <w:rPr>
                      <w:rFonts w:hint="eastAsia"/>
                      <w:sz w:val="21"/>
                      <w:szCs w:val="21"/>
                      <w:u w:val="none" w:color="auto"/>
                      <w:lang w:val="en-US" w:eastAsia="zh-CN"/>
                    </w:rPr>
                    <w:t>3</w:t>
                  </w:r>
                  <w:r>
                    <w:rPr>
                      <w:sz w:val="21"/>
                      <w:szCs w:val="21"/>
                      <w:u w:val="none" w:color="auto"/>
                    </w:rPr>
                    <w:t>类标准</w:t>
                  </w:r>
                </w:p>
              </w:tc>
            </w:tr>
          </w:tbl>
          <w:p w14:paraId="7579D13C">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b/>
                <w:bCs/>
                <w:sz w:val="24"/>
                <w:u w:val="none" w:color="auto"/>
              </w:rPr>
            </w:pPr>
            <w:r>
              <w:rPr>
                <w:b/>
                <w:bCs/>
                <w:sz w:val="24"/>
                <w:u w:val="none" w:color="auto"/>
              </w:rPr>
              <w:t>四、固体废物</w:t>
            </w:r>
          </w:p>
          <w:p w14:paraId="05F2B8C6">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b/>
                <w:spacing w:val="-10"/>
                <w:sz w:val="24"/>
                <w:u w:val="none" w:color="auto"/>
              </w:rPr>
            </w:pPr>
            <w:r>
              <w:rPr>
                <w:b/>
                <w:bCs/>
                <w:sz w:val="24"/>
                <w:u w:val="none" w:color="auto"/>
              </w:rPr>
              <w:t>（一）</w:t>
            </w:r>
            <w:r>
              <w:rPr>
                <w:b/>
                <w:spacing w:val="-10"/>
                <w:sz w:val="24"/>
                <w:u w:val="none" w:color="auto"/>
              </w:rPr>
              <w:t>固体废物产生情况</w:t>
            </w:r>
          </w:p>
          <w:p w14:paraId="2D5FAFC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u w:val="none" w:color="auto"/>
                <w14:textFill>
                  <w14:solidFill>
                    <w14:schemeClr w14:val="tx1"/>
                  </w14:solidFill>
                </w14:textFill>
              </w:rPr>
              <w:t>本项目固体废物为一般固废和危险废物</w:t>
            </w:r>
            <w:r>
              <w:rPr>
                <w:rFonts w:hint="eastAsia" w:cs="Times New Roman"/>
                <w:color w:val="000000" w:themeColor="text1"/>
                <w:sz w:val="24"/>
                <w:u w:val="none" w:color="auto"/>
                <w:lang w:eastAsia="zh-CN"/>
                <w14:textFill>
                  <w14:solidFill>
                    <w14:schemeClr w14:val="tx1"/>
                  </w14:solidFill>
                </w14:textFill>
              </w:rPr>
              <w:t>。</w:t>
            </w:r>
          </w:p>
          <w:p w14:paraId="04E7C296">
            <w:pPr>
              <w:keepNext w:val="0"/>
              <w:keepLines w:val="0"/>
              <w:pageBreakBefore w:val="0"/>
              <w:widowControl w:val="0"/>
              <w:numPr>
                <w:ilvl w:val="0"/>
                <w:numId w:val="22"/>
              </w:numPr>
              <w:kinsoku/>
              <w:wordWrap/>
              <w:overflowPunct/>
              <w:topLinePunct w:val="0"/>
              <w:autoSpaceDE/>
              <w:autoSpaceDN/>
              <w:bidi w:val="0"/>
              <w:adjustRightInd w:val="0"/>
              <w:snapToGrid w:val="0"/>
              <w:spacing w:line="440" w:lineRule="exact"/>
              <w:ind w:firstLine="482" w:firstLineChars="200"/>
              <w:textAlignment w:val="auto"/>
              <w:rPr>
                <w:rFonts w:hint="eastAsia"/>
                <w:b/>
                <w:bCs/>
                <w:sz w:val="24"/>
                <w:u w:val="none" w:color="auto"/>
              </w:rPr>
            </w:pPr>
            <w:r>
              <w:rPr>
                <w:rFonts w:hint="eastAsia"/>
                <w:b/>
                <w:bCs/>
                <w:sz w:val="24"/>
                <w:u w:val="none" w:color="auto"/>
              </w:rPr>
              <w:t>一般固废</w:t>
            </w:r>
          </w:p>
          <w:p w14:paraId="19F48CB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textAlignment w:val="auto"/>
              <w:rPr>
                <w:rFonts w:hint="default" w:ascii="Times New Roman" w:hAnsi="Times New Roman" w:eastAsia="宋体" w:cs="Times New Roman"/>
                <w:b w:val="0"/>
                <w:bCs w:val="0"/>
                <w:color w:val="auto"/>
                <w:kern w:val="0"/>
                <w:sz w:val="24"/>
                <w:szCs w:val="22"/>
                <w:u w:val="none" w:color="auto"/>
                <w:lang w:val="en-US" w:eastAsia="zh-CN" w:bidi="ar-SA"/>
              </w:rPr>
            </w:pPr>
            <w:r>
              <w:rPr>
                <w:rFonts w:hint="eastAsia" w:ascii="Times New Roman" w:hAnsi="Times New Roman" w:eastAsia="宋体" w:cs="Times New Roman"/>
                <w:b w:val="0"/>
                <w:bCs w:val="0"/>
                <w:color w:val="auto"/>
                <w:kern w:val="0"/>
                <w:sz w:val="24"/>
                <w:szCs w:val="22"/>
                <w:u w:val="none" w:color="auto"/>
                <w:lang w:val="en-US" w:eastAsia="zh-CN" w:bidi="ar-SA"/>
              </w:rPr>
              <w:t>（1）</w:t>
            </w:r>
            <w:r>
              <w:rPr>
                <w:rFonts w:hint="eastAsia" w:cs="Times New Roman"/>
                <w:b w:val="0"/>
                <w:bCs w:val="0"/>
                <w:color w:val="auto"/>
                <w:kern w:val="0"/>
                <w:sz w:val="24"/>
                <w:szCs w:val="22"/>
                <w:u w:val="none" w:color="auto"/>
                <w:lang w:val="en-US" w:eastAsia="zh-CN" w:bidi="ar-SA"/>
              </w:rPr>
              <w:t>废极片边角料</w:t>
            </w:r>
          </w:p>
          <w:p w14:paraId="3528536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宋体"/>
                <w:color w:val="000000" w:themeColor="text1"/>
                <w:sz w:val="24"/>
                <w:u w:val="none" w:color="auto"/>
                <w:lang w:eastAsia="zh-CN"/>
                <w14:textFill>
                  <w14:solidFill>
                    <w14:schemeClr w14:val="tx1"/>
                  </w14:solidFill>
                </w14:textFill>
              </w:rPr>
            </w:pPr>
            <w:r>
              <w:rPr>
                <w:rFonts w:hint="eastAsia"/>
                <w:color w:val="000000" w:themeColor="text1"/>
                <w:sz w:val="24"/>
                <w:u w:val="none" w:color="auto"/>
                <w14:textFill>
                  <w14:solidFill>
                    <w14:schemeClr w14:val="tx1"/>
                  </w14:solidFill>
                </w14:textFill>
              </w:rPr>
              <w:t>制片工序会产生部分极片边角料</w:t>
            </w:r>
            <w:r>
              <w:rPr>
                <w:rFonts w:hint="eastAsia"/>
                <w:color w:val="000000" w:themeColor="text1"/>
                <w:sz w:val="24"/>
                <w:u w:val="none" w:color="auto"/>
                <w:lang w:eastAsia="zh-CN"/>
                <w14:textFill>
                  <w14:solidFill>
                    <w14:schemeClr w14:val="tx1"/>
                  </w14:solidFill>
                </w14:textFill>
              </w:rPr>
              <w:t>，</w:t>
            </w:r>
            <w:r>
              <w:rPr>
                <w:rFonts w:hint="eastAsia"/>
                <w:color w:val="000000" w:themeColor="text1"/>
                <w:sz w:val="24"/>
                <w:u w:val="none" w:color="auto"/>
                <w14:textFill>
                  <w14:solidFill>
                    <w14:schemeClr w14:val="tx1"/>
                  </w14:solidFill>
                </w14:textFill>
              </w:rPr>
              <w:t>根据企业提供材料，本项目废</w:t>
            </w:r>
            <w:r>
              <w:rPr>
                <w:rFonts w:hint="eastAsia"/>
                <w:color w:val="000000" w:themeColor="text1"/>
                <w:sz w:val="24"/>
                <w:u w:val="none" w:color="auto"/>
                <w:lang w:val="en-US" w:eastAsia="zh-CN"/>
                <w14:textFill>
                  <w14:solidFill>
                    <w14:schemeClr w14:val="tx1"/>
                  </w14:solidFill>
                </w14:textFill>
              </w:rPr>
              <w:t>极片</w:t>
            </w:r>
            <w:r>
              <w:rPr>
                <w:rFonts w:hint="eastAsia"/>
                <w:color w:val="000000" w:themeColor="text1"/>
                <w:sz w:val="24"/>
                <w:u w:val="none" w:color="auto"/>
                <w14:textFill>
                  <w14:solidFill>
                    <w14:schemeClr w14:val="tx1"/>
                  </w14:solidFill>
                </w14:textFill>
              </w:rPr>
              <w:t>边角料产生量为</w:t>
            </w:r>
            <w:r>
              <w:rPr>
                <w:rFonts w:hint="eastAsia"/>
                <w:color w:val="000000" w:themeColor="text1"/>
                <w:sz w:val="24"/>
                <w:u w:val="none" w:color="auto"/>
                <w:lang w:val="en-US" w:eastAsia="zh-CN"/>
                <w14:textFill>
                  <w14:solidFill>
                    <w14:schemeClr w14:val="tx1"/>
                  </w14:solidFill>
                </w14:textFill>
              </w:rPr>
              <w:t>100</w:t>
            </w:r>
            <w:r>
              <w:rPr>
                <w:rFonts w:hint="eastAsia"/>
                <w:color w:val="000000" w:themeColor="text1"/>
                <w:sz w:val="24"/>
                <w:u w:val="none" w:color="auto"/>
                <w14:textFill>
                  <w14:solidFill>
                    <w14:schemeClr w14:val="tx1"/>
                  </w14:solidFill>
                </w14:textFill>
              </w:rPr>
              <w:t>t/a，暂存于一般固废间后定期出售。</w:t>
            </w:r>
          </w:p>
          <w:p w14:paraId="1006CCA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000000" w:themeColor="text1"/>
                <w:sz w:val="24"/>
                <w:u w:val="none" w:color="auto"/>
                <w:lang w:val="en-US" w:eastAsia="zh-CN"/>
                <w14:textFill>
                  <w14:solidFill>
                    <w14:schemeClr w14:val="tx1"/>
                  </w14:solidFill>
                </w14:textFill>
              </w:rPr>
            </w:pPr>
            <w:r>
              <w:rPr>
                <w:rFonts w:hint="eastAsia"/>
                <w:color w:val="000000" w:themeColor="text1"/>
                <w:sz w:val="24"/>
                <w:u w:val="none" w:color="auto"/>
                <w14:textFill>
                  <w14:solidFill>
                    <w14:schemeClr w14:val="tx1"/>
                  </w14:solidFill>
                </w14:textFill>
              </w:rPr>
              <w:t>（2）</w:t>
            </w:r>
            <w:r>
              <w:rPr>
                <w:rFonts w:hint="eastAsia"/>
                <w:color w:val="000000" w:themeColor="text1"/>
                <w:sz w:val="24"/>
                <w:u w:val="none" w:color="auto"/>
                <w:lang w:val="en-US" w:eastAsia="zh-CN"/>
                <w14:textFill>
                  <w14:solidFill>
                    <w14:schemeClr w14:val="tx1"/>
                  </w14:solidFill>
                </w14:textFill>
              </w:rPr>
              <w:t>废反渗透膜、废活性炭、废石英砂</w:t>
            </w:r>
          </w:p>
          <w:p w14:paraId="10884E6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pPr>
            <w:r>
              <w:rPr>
                <w:rFonts w:hint="eastAsia"/>
                <w:color w:val="000000" w:themeColor="text1"/>
                <w:sz w:val="24"/>
                <w:u w:val="none" w:color="auto"/>
                <w:lang w:val="en-US" w:eastAsia="zh-CN"/>
                <w14:textFill>
                  <w14:solidFill>
                    <w14:schemeClr w14:val="tx1"/>
                  </w14:solidFill>
                </w14:textFill>
              </w:rPr>
              <w:t>项</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目纯水制备过程中产生废反渗透膜</w:t>
            </w:r>
            <w:r>
              <w:rPr>
                <w:rFonts w:hint="eastAsia" w:cs="Times New Roman"/>
                <w:color w:val="000000" w:themeColor="text1"/>
                <w:sz w:val="24"/>
                <w:u w:val="none" w:color="auto"/>
                <w:lang w:val="en-US" w:eastAsia="zh-CN"/>
                <w14:textFill>
                  <w14:solidFill>
                    <w14:schemeClr w14:val="tx1"/>
                  </w14:solidFill>
                </w14:textFill>
              </w:rPr>
              <w:t>、</w:t>
            </w:r>
            <w:r>
              <w:rPr>
                <w:rFonts w:hint="eastAsia"/>
                <w:color w:val="000000" w:themeColor="text1"/>
                <w:sz w:val="24"/>
                <w:u w:val="none" w:color="auto"/>
                <w:lang w:val="en-US" w:eastAsia="zh-CN"/>
                <w14:textFill>
                  <w14:solidFill>
                    <w14:schemeClr w14:val="tx1"/>
                  </w14:solidFill>
                </w14:textFill>
              </w:rPr>
              <w:t>废活性炭和废石英砂</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，属于一般工业固废，</w:t>
            </w:r>
            <w:r>
              <w:rPr>
                <w:rFonts w:hint="eastAsia" w:ascii="Times New Roman" w:hAnsi="Times New Roman" w:eastAsia="宋体" w:cs="Times New Roman"/>
                <w:sz w:val="24"/>
                <w:lang w:val="en-US" w:eastAsia="zh-CN"/>
              </w:rPr>
              <w:t>废石英砂量约为</w:t>
            </w:r>
            <w:r>
              <w:rPr>
                <w:rFonts w:hint="eastAsia" w:cs="Times New Roman"/>
                <w:sz w:val="24"/>
                <w:lang w:val="en-US" w:eastAsia="zh-CN"/>
              </w:rPr>
              <w:t>1.5</w:t>
            </w:r>
            <w:r>
              <w:rPr>
                <w:rFonts w:hint="eastAsia" w:ascii="Times New Roman" w:hAnsi="Times New Roman" w:eastAsia="宋体" w:cs="Times New Roman"/>
                <w:sz w:val="24"/>
                <w:lang w:val="en-US" w:eastAsia="zh-CN"/>
              </w:rPr>
              <w:t>t/a</w:t>
            </w:r>
            <w:r>
              <w:rPr>
                <w:rFonts w:hint="eastAsia" w:cs="Times New Roman"/>
                <w:sz w:val="24"/>
                <w:lang w:val="en-US" w:eastAsia="zh-CN"/>
              </w:rPr>
              <w:t>、</w:t>
            </w:r>
            <w:r>
              <w:rPr>
                <w:rFonts w:hint="eastAsia" w:ascii="Times New Roman" w:hAnsi="Times New Roman" w:eastAsia="宋体" w:cs="Times New Roman"/>
                <w:sz w:val="24"/>
                <w:lang w:val="en-US" w:eastAsia="zh-CN"/>
              </w:rPr>
              <w:t>废活性炭量约为</w:t>
            </w:r>
            <w:r>
              <w:rPr>
                <w:rFonts w:hint="eastAsia" w:cs="Times New Roman"/>
                <w:sz w:val="24"/>
                <w:lang w:val="en-US" w:eastAsia="zh-CN"/>
              </w:rPr>
              <w:t>1</w:t>
            </w:r>
            <w:r>
              <w:rPr>
                <w:rFonts w:hint="eastAsia" w:ascii="Times New Roman" w:hAnsi="Times New Roman" w:eastAsia="宋体" w:cs="Times New Roman"/>
                <w:sz w:val="24"/>
                <w:lang w:val="en-US" w:eastAsia="zh-CN"/>
              </w:rPr>
              <w:t>t/a</w:t>
            </w:r>
            <w:r>
              <w:rPr>
                <w:rFonts w:hint="eastAsia" w:cs="Times New Roman"/>
                <w:sz w:val="24"/>
                <w:lang w:val="en-US" w:eastAsia="zh-CN"/>
              </w:rPr>
              <w:t>、</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废反渗透膜年产生量为</w:t>
            </w:r>
            <w:r>
              <w:rPr>
                <w:rFonts w:hint="eastAsia" w:cs="Times New Roman"/>
                <w:color w:val="000000" w:themeColor="text1"/>
                <w:sz w:val="24"/>
                <w:u w:val="none" w:color="auto"/>
                <w:lang w:val="en-US" w:eastAsia="zh-CN"/>
                <w14:textFill>
                  <w14:solidFill>
                    <w14:schemeClr w14:val="tx1"/>
                  </w14:solidFill>
                </w14:textFill>
              </w:rPr>
              <w:t>0.2</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t/a，经收集后暂存于一般固废间，定期外售。</w:t>
            </w:r>
          </w:p>
          <w:p w14:paraId="2C36896E">
            <w:pPr>
              <w:keepNext w:val="0"/>
              <w:keepLines w:val="0"/>
              <w:pageBreakBefore w:val="0"/>
              <w:widowControl w:val="0"/>
              <w:numPr>
                <w:ilvl w:val="0"/>
                <w:numId w:val="23"/>
              </w:numPr>
              <w:kinsoku/>
              <w:wordWrap/>
              <w:overflowPunct/>
              <w:topLinePunct w:val="0"/>
              <w:autoSpaceDE/>
              <w:autoSpaceDN/>
              <w:bidi w:val="0"/>
              <w:adjustRightInd/>
              <w:snapToGrid/>
              <w:spacing w:line="440" w:lineRule="exact"/>
              <w:ind w:firstLine="480" w:firstLineChars="200"/>
              <w:textAlignment w:val="auto"/>
              <w:rPr>
                <w:rFonts w:hint="default"/>
                <w:color w:val="000000" w:themeColor="text1"/>
                <w:sz w:val="24"/>
                <w:u w:val="none" w:color="auto"/>
                <w:lang w:val="en-US" w:eastAsia="zh-CN"/>
                <w14:textFill>
                  <w14:solidFill>
                    <w14:schemeClr w14:val="tx1"/>
                  </w14:solidFill>
                </w14:textFill>
              </w:rPr>
            </w:pPr>
            <w:r>
              <w:rPr>
                <w:rFonts w:hint="eastAsia"/>
                <w:color w:val="000000" w:themeColor="text1"/>
                <w:sz w:val="24"/>
                <w:u w:val="none" w:color="auto"/>
                <w:lang w:val="en-US" w:eastAsia="zh-CN"/>
                <w14:textFill>
                  <w14:solidFill>
                    <w14:schemeClr w14:val="tx1"/>
                  </w14:solidFill>
                </w14:textFill>
              </w:rPr>
              <w:t>废包装材料</w:t>
            </w:r>
          </w:p>
          <w:p w14:paraId="71C9CA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color w:val="000000" w:themeColor="text1"/>
                <w:sz w:val="24"/>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项目原料拆包过程中产生废包装材料，主要是纸箱、纸板、吨包等，属于一般工业固废，废包装材料年产生量为</w:t>
            </w:r>
            <w:r>
              <w:rPr>
                <w:rFonts w:hint="eastAsia"/>
                <w:color w:val="000000" w:themeColor="text1"/>
                <w:sz w:val="24"/>
                <w:u w:val="none" w:color="auto"/>
                <w:lang w:val="en-US" w:eastAsia="zh-CN"/>
                <w14:textFill>
                  <w14:solidFill>
                    <w14:schemeClr w14:val="tx1"/>
                  </w14:solidFill>
                </w14:textFill>
              </w:rPr>
              <w:t>82</w:t>
            </w:r>
            <w:r>
              <w:rPr>
                <w:rFonts w:hint="eastAsia"/>
                <w:color w:val="000000" w:themeColor="text1"/>
                <w:sz w:val="24"/>
                <w:u w:val="none" w:color="auto"/>
                <w14:textFill>
                  <w14:solidFill>
                    <w14:schemeClr w14:val="tx1"/>
                  </w14:solidFill>
                </w14:textFill>
              </w:rPr>
              <w:t>t/a</w:t>
            </w:r>
            <w:r>
              <w:rPr>
                <w:rFonts w:hint="eastAsia"/>
                <w:color w:val="000000" w:themeColor="text1"/>
                <w:sz w:val="24"/>
                <w:u w:val="none" w:color="auto"/>
                <w:lang w:eastAsia="zh-CN"/>
                <w14:textFill>
                  <w14:solidFill>
                    <w14:schemeClr w14:val="tx1"/>
                  </w14:solidFill>
                </w14:textFill>
              </w:rPr>
              <w:t>，</w:t>
            </w:r>
            <w:r>
              <w:rPr>
                <w:rFonts w:hint="eastAsia"/>
                <w:color w:val="000000" w:themeColor="text1"/>
                <w:sz w:val="24"/>
                <w:u w:val="none" w:color="auto"/>
                <w:lang w:val="en-US" w:eastAsia="zh-CN"/>
                <w14:textFill>
                  <w14:solidFill>
                    <w14:schemeClr w14:val="tx1"/>
                  </w14:solidFill>
                </w14:textFill>
              </w:rPr>
              <w:t>收集后暂存于一般固废间，定期外售。</w:t>
            </w:r>
          </w:p>
          <w:p w14:paraId="46DA3AC0">
            <w:pPr>
              <w:keepNext w:val="0"/>
              <w:keepLines w:val="0"/>
              <w:pageBreakBefore w:val="0"/>
              <w:widowControl w:val="0"/>
              <w:numPr>
                <w:ilvl w:val="0"/>
                <w:numId w:val="23"/>
              </w:numPr>
              <w:kinsoku/>
              <w:wordWrap/>
              <w:overflowPunct/>
              <w:topLinePunct w:val="0"/>
              <w:autoSpaceDE/>
              <w:autoSpaceDN/>
              <w:bidi w:val="0"/>
              <w:adjustRightInd/>
              <w:snapToGrid/>
              <w:spacing w:line="440" w:lineRule="exact"/>
              <w:ind w:left="0" w:leftChars="0" w:firstLine="480" w:firstLineChars="200"/>
              <w:textAlignment w:val="auto"/>
              <w:rPr>
                <w:rFonts w:hint="eastAsia"/>
                <w:color w:val="000000" w:themeColor="text1"/>
                <w:sz w:val="24"/>
                <w:u w:val="none" w:color="auto"/>
                <w:lang w:val="en-US" w:eastAsia="zh-CN"/>
                <w14:textFill>
                  <w14:solidFill>
                    <w14:schemeClr w14:val="tx1"/>
                  </w14:solidFill>
                </w14:textFill>
              </w:rPr>
            </w:pPr>
            <w:r>
              <w:rPr>
                <w:rFonts w:hint="eastAsia"/>
                <w:color w:val="000000" w:themeColor="text1"/>
                <w:sz w:val="24"/>
                <w:u w:val="none" w:color="auto"/>
                <w:lang w:val="en-US" w:eastAsia="zh-CN"/>
                <w14:textFill>
                  <w14:solidFill>
                    <w14:schemeClr w14:val="tx1"/>
                  </w14:solidFill>
                </w14:textFill>
              </w:rPr>
              <w:t>不合格电池</w:t>
            </w:r>
          </w:p>
          <w:p w14:paraId="30C3798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color w:val="000000" w:themeColor="text1"/>
                <w:sz w:val="24"/>
                <w:u w:val="none" w:color="auto"/>
                <w:lang w:val="en-US" w:eastAsia="zh-CN"/>
                <w14:textFill>
                  <w14:solidFill>
                    <w14:schemeClr w14:val="tx1"/>
                  </w14:solidFill>
                </w14:textFill>
              </w:rPr>
            </w:pPr>
            <w:r>
              <w:rPr>
                <w:rFonts w:hint="eastAsia"/>
                <w:color w:val="000000" w:themeColor="text1"/>
                <w:sz w:val="24"/>
                <w:u w:val="none" w:color="auto"/>
                <w:lang w:val="en-US" w:eastAsia="zh-CN"/>
                <w14:textFill>
                  <w14:solidFill>
                    <w14:schemeClr w14:val="tx1"/>
                  </w14:solidFill>
                </w14:textFill>
              </w:rPr>
              <w:t>本项目化成分容过程中会产生不合格电池，类比同类型企业，不合格电池产生量约5t/a，根据《固体废物分类与代码名录》（2024版），不合格电池属于一般固废，收集后暂存于一般固废间，定期外售。</w:t>
            </w:r>
          </w:p>
          <w:p w14:paraId="361BC112">
            <w:pPr>
              <w:keepNext w:val="0"/>
              <w:keepLines w:val="0"/>
              <w:pageBreakBefore w:val="0"/>
              <w:widowControl w:val="0"/>
              <w:numPr>
                <w:ilvl w:val="0"/>
                <w:numId w:val="23"/>
              </w:numPr>
              <w:kinsoku/>
              <w:wordWrap/>
              <w:overflowPunct/>
              <w:topLinePunct w:val="0"/>
              <w:autoSpaceDE/>
              <w:autoSpaceDN/>
              <w:bidi w:val="0"/>
              <w:adjustRightInd/>
              <w:snapToGrid/>
              <w:spacing w:line="440" w:lineRule="exact"/>
              <w:ind w:left="0" w:leftChars="0" w:firstLine="480" w:firstLineChars="200"/>
              <w:textAlignment w:val="auto"/>
              <w:rPr>
                <w:rFonts w:hint="eastAsia"/>
                <w:color w:val="000000" w:themeColor="text1"/>
                <w:sz w:val="24"/>
                <w:u w:val="none" w:color="auto"/>
                <w:lang w:val="en-US" w:eastAsia="zh-CN"/>
                <w14:textFill>
                  <w14:solidFill>
                    <w14:schemeClr w14:val="tx1"/>
                  </w14:solidFill>
                </w14:textFill>
              </w:rPr>
            </w:pPr>
            <w:r>
              <w:rPr>
                <w:rFonts w:hint="eastAsia"/>
                <w:color w:val="000000" w:themeColor="text1"/>
                <w:sz w:val="24"/>
                <w:u w:val="none" w:color="auto"/>
                <w:lang w:val="en-US" w:eastAsia="zh-CN"/>
                <w14:textFill>
                  <w14:solidFill>
                    <w14:schemeClr w14:val="tx1"/>
                  </w14:solidFill>
                </w14:textFill>
              </w:rPr>
              <w:t>废隔膜</w:t>
            </w:r>
          </w:p>
          <w:p w14:paraId="68AE8A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bCs/>
                <w:color w:val="000000"/>
                <w:sz w:val="24"/>
                <w:u w:val="none" w:color="auto"/>
                <w:lang w:val="en-US" w:eastAsia="zh-CN"/>
              </w:rPr>
            </w:pPr>
            <w:r>
              <w:rPr>
                <w:rFonts w:hint="eastAsia" w:ascii="Times New Roman" w:hAnsi="Times New Roman" w:eastAsia="宋体" w:cs="Times New Roman"/>
                <w:bCs/>
                <w:color w:val="000000"/>
                <w:sz w:val="24"/>
                <w:u w:val="none" w:color="auto"/>
                <w:lang w:val="en-US" w:eastAsia="zh-CN"/>
              </w:rPr>
              <w:t>本项目卷绕工序会产生废隔膜，废隔膜年产生量约</w:t>
            </w:r>
            <w:r>
              <w:rPr>
                <w:rFonts w:hint="eastAsia" w:cs="Times New Roman"/>
                <w:bCs/>
                <w:color w:val="000000"/>
                <w:sz w:val="24"/>
                <w:u w:val="none" w:color="auto"/>
                <w:lang w:val="en-US" w:eastAsia="zh-CN"/>
              </w:rPr>
              <w:t>0.5</w:t>
            </w:r>
            <w:r>
              <w:rPr>
                <w:rFonts w:hint="eastAsia" w:ascii="Times New Roman" w:hAnsi="Times New Roman" w:eastAsia="宋体" w:cs="Times New Roman"/>
                <w:bCs/>
                <w:color w:val="000000"/>
                <w:sz w:val="24"/>
                <w:u w:val="none" w:color="auto"/>
                <w:lang w:val="en-US" w:eastAsia="zh-CN"/>
              </w:rPr>
              <w:t>t/a，废隔膜属于一般固废，收集后暂存于一般固废间，定期外售。</w:t>
            </w:r>
          </w:p>
          <w:p w14:paraId="37D5709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default" w:ascii="Times New Roman" w:hAnsi="Times New Roman" w:eastAsia="宋体" w:cs="Times New Roman"/>
                <w:sz w:val="24"/>
                <w:szCs w:val="24"/>
                <w:u w:val="none" w:color="auto"/>
                <w:lang w:val="en-US" w:eastAsia="zh-CN"/>
              </w:rPr>
            </w:pPr>
            <w:r>
              <w:rPr>
                <w:rFonts w:hint="eastAsia" w:cs="Times New Roman"/>
                <w:sz w:val="24"/>
                <w:szCs w:val="24"/>
                <w:u w:val="none" w:color="auto"/>
                <w:lang w:eastAsia="zh-CN"/>
              </w:rPr>
              <w:t>（</w:t>
            </w:r>
            <w:r>
              <w:rPr>
                <w:rFonts w:hint="eastAsia" w:cs="Times New Roman"/>
                <w:sz w:val="24"/>
                <w:szCs w:val="24"/>
                <w:u w:val="none" w:color="auto"/>
                <w:lang w:val="en-US" w:eastAsia="zh-CN"/>
              </w:rPr>
              <w:t>6</w:t>
            </w:r>
            <w:r>
              <w:rPr>
                <w:rFonts w:hint="eastAsia" w:cs="Times New Roman"/>
                <w:sz w:val="24"/>
                <w:szCs w:val="24"/>
                <w:u w:val="none" w:color="auto"/>
                <w:lang w:eastAsia="zh-CN"/>
              </w:rPr>
              <w:t>）NMP</w:t>
            </w:r>
            <w:r>
              <w:rPr>
                <w:rFonts w:hint="eastAsia" w:cs="Times New Roman"/>
                <w:sz w:val="24"/>
                <w:szCs w:val="24"/>
                <w:u w:val="none" w:color="auto"/>
                <w:lang w:val="en-US" w:eastAsia="zh-CN"/>
              </w:rPr>
              <w:t>回收液</w:t>
            </w:r>
          </w:p>
          <w:p w14:paraId="71008B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cs="Times New Roman"/>
                <w:bCs/>
                <w:color w:val="000000"/>
                <w:sz w:val="24"/>
                <w:u w:val="none" w:color="auto"/>
                <w:lang w:val="en-US" w:eastAsia="zh-CN"/>
              </w:rPr>
            </w:pPr>
            <w:r>
              <w:rPr>
                <w:rFonts w:hint="eastAsia" w:ascii="Times New Roman" w:hAnsi="Times New Roman" w:eastAsia="宋体" w:cs="Times New Roman"/>
                <w:bCs/>
                <w:color w:val="000000"/>
                <w:sz w:val="24"/>
                <w:u w:val="none" w:color="auto"/>
                <w:lang w:val="en-US" w:eastAsia="zh-CN"/>
              </w:rPr>
              <w:t>本项目NMP回收液包括NMP废气冷凝回收部分和喷淋废液部分，主要成分为NMP及水</w:t>
            </w:r>
            <w:r>
              <w:rPr>
                <w:rFonts w:hint="eastAsia" w:cs="Times New Roman"/>
                <w:bCs/>
                <w:color w:val="000000"/>
                <w:sz w:val="24"/>
                <w:u w:val="none" w:color="auto"/>
                <w:lang w:val="en-US" w:eastAsia="zh-CN"/>
              </w:rPr>
              <w:t>。</w:t>
            </w:r>
            <w:r>
              <w:rPr>
                <w:rFonts w:hint="eastAsia" w:ascii="Times New Roman" w:hAnsi="Times New Roman" w:eastAsia="宋体" w:cs="Times New Roman"/>
                <w:bCs/>
                <w:color w:val="000000"/>
                <w:sz w:val="24"/>
                <w:u w:val="none" w:color="auto"/>
                <w:lang w:val="en-US" w:eastAsia="zh-CN"/>
              </w:rPr>
              <w:t>根据本项目NMP物料平衡可知，NMP回收液为</w:t>
            </w:r>
            <w:r>
              <w:rPr>
                <w:rFonts w:hint="eastAsia" w:cs="Times New Roman"/>
                <w:bCs/>
                <w:color w:val="000000" w:themeColor="text1"/>
                <w:sz w:val="24"/>
                <w:u w:val="none" w:color="auto"/>
                <w:lang w:val="en-US" w:eastAsia="zh-CN"/>
                <w14:textFill>
                  <w14:solidFill>
                    <w14:schemeClr w14:val="tx1"/>
                  </w14:solidFill>
                </w14:textFill>
              </w:rPr>
              <w:t>2687.263</w:t>
            </w:r>
            <w:r>
              <w:rPr>
                <w:rFonts w:hint="eastAsia" w:ascii="Times New Roman" w:hAnsi="Times New Roman" w:eastAsia="宋体" w:cs="Times New Roman"/>
                <w:bCs/>
                <w:color w:val="000000" w:themeColor="text1"/>
                <w:sz w:val="24"/>
                <w:u w:val="none" w:color="auto"/>
                <w:lang w:val="en-US" w:eastAsia="zh-CN"/>
                <w14:textFill>
                  <w14:solidFill>
                    <w14:schemeClr w14:val="tx1"/>
                  </w14:solidFill>
                </w14:textFill>
              </w:rPr>
              <w:t>t/a</w:t>
            </w:r>
            <w:r>
              <w:rPr>
                <w:rFonts w:hint="eastAsia" w:ascii="Times New Roman" w:hAnsi="Times New Roman" w:eastAsia="宋体" w:cs="Times New Roman"/>
                <w:bCs/>
                <w:color w:val="000000"/>
                <w:sz w:val="24"/>
                <w:u w:val="none" w:color="auto"/>
                <w:lang w:val="en-US" w:eastAsia="zh-CN"/>
              </w:rPr>
              <w:t>。NMP回收液属于一般固废，由</w:t>
            </w:r>
            <w:r>
              <w:rPr>
                <w:rFonts w:hint="default" w:ascii="Times New Roman" w:hAnsi="Times New Roman" w:eastAsia="宋体" w:cs="Times New Roman"/>
                <w:bCs/>
                <w:color w:val="000000"/>
                <w:sz w:val="24"/>
                <w:u w:val="none" w:color="auto"/>
                <w:lang w:val="en-US" w:eastAsia="zh-CN"/>
              </w:rPr>
              <w:t>NMP</w:t>
            </w:r>
            <w:r>
              <w:rPr>
                <w:rFonts w:hint="eastAsia" w:ascii="Times New Roman" w:hAnsi="Times New Roman" w:eastAsia="宋体" w:cs="Times New Roman"/>
                <w:bCs/>
                <w:color w:val="000000"/>
                <w:sz w:val="24"/>
                <w:u w:val="none" w:color="auto"/>
                <w:lang w:val="en-US" w:eastAsia="zh-CN"/>
              </w:rPr>
              <w:t>供应商回收后再利用。NMP回收液暂存于NMP回收罐中，定期交由厂家回收</w:t>
            </w:r>
            <w:r>
              <w:rPr>
                <w:rFonts w:hint="eastAsia" w:cs="Times New Roman"/>
                <w:bCs/>
                <w:color w:val="000000"/>
                <w:sz w:val="24"/>
                <w:u w:val="none" w:color="auto"/>
                <w:lang w:val="en-US" w:eastAsia="zh-CN"/>
              </w:rPr>
              <w:t>。</w:t>
            </w:r>
          </w:p>
          <w:p w14:paraId="16A864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eastAsia" w:cs="Times New Roman"/>
                <w:bCs/>
                <w:color w:val="000000"/>
                <w:sz w:val="24"/>
                <w:u w:val="none" w:color="auto"/>
                <w:lang w:val="en-US" w:eastAsia="zh-CN"/>
              </w:rPr>
            </w:pPr>
            <w:r>
              <w:rPr>
                <w:rFonts w:hint="eastAsia" w:cs="Times New Roman"/>
                <w:bCs/>
                <w:color w:val="000000"/>
                <w:sz w:val="24"/>
                <w:u w:val="none" w:color="auto"/>
                <w:lang w:val="en-US" w:eastAsia="zh-CN"/>
              </w:rPr>
              <w:t>（7）除尘器收尘</w:t>
            </w:r>
          </w:p>
          <w:p w14:paraId="37E3C98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bCs/>
                <w:color w:val="000000"/>
                <w:sz w:val="24"/>
                <w:u w:val="none" w:color="auto"/>
                <w:lang w:val="en-US" w:eastAsia="zh-CN"/>
              </w:rPr>
            </w:pPr>
            <w:r>
              <w:rPr>
                <w:rFonts w:hint="eastAsia" w:ascii="Times New Roman" w:hAnsi="Times New Roman" w:eastAsia="宋体" w:cs="Times New Roman"/>
                <w:bCs/>
                <w:color w:val="000000"/>
                <w:sz w:val="24"/>
                <w:u w:val="none" w:color="auto"/>
                <w:lang w:val="en-US" w:eastAsia="zh-CN"/>
              </w:rPr>
              <w:t>根据工程分析，滤芯除尘器收集的粉尘量为</w:t>
            </w:r>
            <w:r>
              <w:rPr>
                <w:rFonts w:hint="eastAsia" w:cs="Times New Roman"/>
                <w:bCs/>
                <w:color w:val="000000"/>
                <w:sz w:val="24"/>
                <w:u w:val="none" w:color="auto"/>
                <w:lang w:val="en-US" w:eastAsia="zh-CN"/>
              </w:rPr>
              <w:t>0.3957</w:t>
            </w:r>
            <w:r>
              <w:rPr>
                <w:rFonts w:hint="eastAsia" w:ascii="Times New Roman" w:hAnsi="Times New Roman" w:eastAsia="宋体" w:cs="Times New Roman"/>
                <w:bCs/>
                <w:color w:val="000000"/>
                <w:sz w:val="24"/>
                <w:u w:val="none" w:color="auto"/>
                <w:lang w:val="en-US" w:eastAsia="zh-CN"/>
              </w:rPr>
              <w:t>t/a，收集后暂存于一般固废暂存间，定期外售。</w:t>
            </w:r>
          </w:p>
          <w:p w14:paraId="63888BC6">
            <w:pPr>
              <w:keepNext w:val="0"/>
              <w:keepLines w:val="0"/>
              <w:pageBreakBefore w:val="0"/>
              <w:widowControl w:val="0"/>
              <w:numPr>
                <w:ilvl w:val="0"/>
                <w:numId w:val="24"/>
              </w:numPr>
              <w:kinsoku/>
              <w:wordWrap/>
              <w:overflowPunct/>
              <w:topLinePunct w:val="0"/>
              <w:autoSpaceDE/>
              <w:autoSpaceDN/>
              <w:bidi w:val="0"/>
              <w:adjustRightInd/>
              <w:snapToGrid/>
              <w:spacing w:line="440" w:lineRule="exact"/>
              <w:ind w:firstLine="480" w:firstLineChars="200"/>
              <w:textAlignment w:val="auto"/>
              <w:rPr>
                <w:rFonts w:hint="eastAsia" w:cs="Times New Roman"/>
                <w:bCs/>
                <w:color w:val="000000"/>
                <w:sz w:val="24"/>
                <w:u w:val="none" w:color="auto"/>
                <w:lang w:val="en-US" w:eastAsia="zh-CN"/>
              </w:rPr>
            </w:pPr>
            <w:r>
              <w:rPr>
                <w:rFonts w:hint="eastAsia" w:cs="Times New Roman"/>
                <w:bCs/>
                <w:color w:val="000000"/>
                <w:sz w:val="24"/>
                <w:u w:val="none" w:color="auto"/>
                <w:lang w:val="en-US" w:eastAsia="zh-CN"/>
              </w:rPr>
              <w:t>污泥</w:t>
            </w:r>
          </w:p>
          <w:p w14:paraId="27E4706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sz w:val="24"/>
                <w:u w:val="none" w:color="auto"/>
              </w:rPr>
            </w:pPr>
            <w:r>
              <w:rPr>
                <w:rFonts w:hint="default" w:ascii="Times New Roman" w:hAnsi="Times New Roman" w:eastAsia="宋体" w:cs="Times New Roman"/>
                <w:sz w:val="24"/>
                <w:u w:val="none" w:color="auto"/>
                <w:lang w:val="en-US" w:eastAsia="zh-CN"/>
              </w:rPr>
              <w:t>本项目</w:t>
            </w:r>
            <w:r>
              <w:rPr>
                <w:rFonts w:hint="eastAsia" w:cs="Times New Roman"/>
                <w:sz w:val="24"/>
                <w:u w:val="none" w:color="auto"/>
                <w:lang w:val="en-US" w:eastAsia="zh-CN"/>
              </w:rPr>
              <w:t>会产生污泥，</w:t>
            </w:r>
            <w:r>
              <w:rPr>
                <w:rFonts w:hint="eastAsia" w:ascii="Times New Roman" w:hAnsi="Times New Roman" w:eastAsia="宋体" w:cs="Times New Roman"/>
                <w:bCs/>
                <w:color w:val="000000"/>
                <w:kern w:val="2"/>
                <w:sz w:val="24"/>
                <w:szCs w:val="24"/>
                <w:u w:val="none" w:color="auto"/>
                <w:lang w:val="en-US" w:eastAsia="zh-CN" w:bidi="ar-SA"/>
              </w:rPr>
              <w:t>根据《排污许可证申请与核发技术规范  水处理（试行）》（HJ978-2018），污泥产生量计算公式，E</w:t>
            </w:r>
            <w:r>
              <w:rPr>
                <w:rFonts w:hint="eastAsia" w:ascii="Times New Roman" w:hAnsi="Times New Roman" w:eastAsia="宋体" w:cs="Times New Roman"/>
                <w:bCs/>
                <w:color w:val="000000"/>
                <w:kern w:val="2"/>
                <w:sz w:val="24"/>
                <w:szCs w:val="24"/>
                <w:u w:val="none" w:color="auto"/>
                <w:vertAlign w:val="subscript"/>
                <w:lang w:val="en-US" w:eastAsia="zh-CN" w:bidi="ar-SA"/>
              </w:rPr>
              <w:t>产生量</w:t>
            </w:r>
            <w:r>
              <w:rPr>
                <w:rFonts w:hint="eastAsia" w:ascii="Times New Roman" w:hAnsi="Times New Roman" w:eastAsia="宋体" w:cs="Times New Roman"/>
                <w:bCs/>
                <w:color w:val="000000"/>
                <w:kern w:val="2"/>
                <w:sz w:val="24"/>
                <w:szCs w:val="24"/>
                <w:u w:val="none" w:color="auto"/>
                <w:lang w:val="en-US" w:eastAsia="zh-CN" w:bidi="ar-SA"/>
              </w:rPr>
              <w:t>=1.7×Q×W</w:t>
            </w:r>
            <w:r>
              <w:rPr>
                <w:rFonts w:hint="eastAsia" w:ascii="Times New Roman" w:hAnsi="Times New Roman" w:eastAsia="宋体" w:cs="Times New Roman"/>
                <w:bCs/>
                <w:color w:val="000000"/>
                <w:kern w:val="2"/>
                <w:sz w:val="24"/>
                <w:szCs w:val="24"/>
                <w:u w:val="none" w:color="auto"/>
                <w:vertAlign w:val="subscript"/>
                <w:lang w:val="en-US" w:eastAsia="zh-CN" w:bidi="ar-SA"/>
              </w:rPr>
              <w:t>深</w:t>
            </w:r>
            <w:r>
              <w:rPr>
                <w:rFonts w:hint="eastAsia" w:ascii="Times New Roman" w:hAnsi="Times New Roman" w:eastAsia="宋体" w:cs="Times New Roman"/>
                <w:bCs/>
                <w:color w:val="000000"/>
                <w:kern w:val="2"/>
                <w:sz w:val="24"/>
                <w:szCs w:val="24"/>
                <w:u w:val="none" w:color="auto"/>
                <w:lang w:val="en-US" w:eastAsia="zh-CN" w:bidi="ar-SA"/>
              </w:rPr>
              <w:t>×10</w:t>
            </w:r>
            <w:r>
              <w:rPr>
                <w:rFonts w:hint="eastAsia" w:ascii="Times New Roman" w:hAnsi="Times New Roman" w:eastAsia="宋体" w:cs="Times New Roman"/>
                <w:bCs/>
                <w:color w:val="000000"/>
                <w:kern w:val="2"/>
                <w:sz w:val="24"/>
                <w:szCs w:val="24"/>
                <w:u w:val="none" w:color="auto"/>
                <w:vertAlign w:val="superscript"/>
                <w:lang w:val="en-US" w:eastAsia="zh-CN" w:bidi="ar-SA"/>
              </w:rPr>
              <w:t>-4</w:t>
            </w:r>
            <w:r>
              <w:rPr>
                <w:rFonts w:hint="eastAsia" w:ascii="Times New Roman" w:hAnsi="Times New Roman" w:eastAsia="宋体" w:cs="Times New Roman"/>
                <w:bCs/>
                <w:color w:val="000000"/>
                <w:kern w:val="2"/>
                <w:sz w:val="24"/>
                <w:szCs w:val="24"/>
                <w:u w:val="none" w:color="auto"/>
                <w:lang w:val="en-US" w:eastAsia="zh-CN" w:bidi="ar-SA"/>
              </w:rPr>
              <w:t>，本项目</w:t>
            </w:r>
            <w:r>
              <w:rPr>
                <w:rFonts w:hint="eastAsia" w:cs="Times New Roman"/>
                <w:bCs/>
                <w:color w:val="000000"/>
                <w:kern w:val="2"/>
                <w:sz w:val="24"/>
                <w:szCs w:val="24"/>
                <w:u w:val="none" w:color="auto"/>
                <w:lang w:val="en-US" w:eastAsia="zh-CN" w:bidi="ar-SA"/>
              </w:rPr>
              <w:t>生产废水</w:t>
            </w:r>
            <w:r>
              <w:rPr>
                <w:rFonts w:hint="eastAsia" w:ascii="Times New Roman" w:hAnsi="Times New Roman" w:eastAsia="宋体" w:cs="Times New Roman"/>
                <w:bCs/>
                <w:color w:val="000000"/>
                <w:kern w:val="2"/>
                <w:sz w:val="24"/>
                <w:szCs w:val="24"/>
                <w:u w:val="none" w:color="auto"/>
                <w:lang w:val="en-US" w:eastAsia="zh-CN" w:bidi="ar-SA"/>
              </w:rPr>
              <w:t>年处理量Q为</w:t>
            </w:r>
            <w:r>
              <w:rPr>
                <w:rFonts w:hint="eastAsia" w:cs="Times New Roman"/>
                <w:bCs/>
                <w:color w:val="000000"/>
                <w:kern w:val="2"/>
                <w:sz w:val="24"/>
                <w:szCs w:val="24"/>
                <w:u w:val="none" w:color="auto"/>
                <w:lang w:val="en-US" w:eastAsia="zh-CN" w:bidi="ar-SA"/>
              </w:rPr>
              <w:t>28667.1</w:t>
            </w:r>
            <w:r>
              <w:rPr>
                <w:rFonts w:hint="eastAsia" w:ascii="Times New Roman" w:hAnsi="Times New Roman" w:eastAsia="宋体" w:cs="Times New Roman"/>
                <w:bCs/>
                <w:color w:val="000000"/>
                <w:kern w:val="2"/>
                <w:sz w:val="24"/>
                <w:szCs w:val="24"/>
                <w:u w:val="none" w:color="auto"/>
                <w:lang w:val="en-US" w:eastAsia="zh-CN" w:bidi="ar-SA"/>
              </w:rPr>
              <w:t>t/a，采用絮凝剂</w:t>
            </w:r>
            <w:r>
              <w:rPr>
                <w:rFonts w:hint="eastAsia" w:ascii="Times New Roman" w:hAnsi="Times New Roman" w:eastAsia="宋体" w:cs="Times New Roman"/>
                <w:bCs/>
                <w:color w:val="000000" w:themeColor="text1"/>
                <w:kern w:val="2"/>
                <w:sz w:val="24"/>
                <w:szCs w:val="24"/>
                <w:u w:val="none" w:color="auto"/>
                <w:lang w:val="en-US" w:eastAsia="zh-CN" w:bidi="ar-SA"/>
                <w14:textFill>
                  <w14:solidFill>
                    <w14:schemeClr w14:val="tx1"/>
                  </w14:solidFill>
                </w14:textFill>
              </w:rPr>
              <w:t>，</w:t>
            </w:r>
            <w:r>
              <w:rPr>
                <w:rFonts w:hint="eastAsia" w:ascii="Times New Roman" w:hAnsi="Times New Roman" w:eastAsia="宋体" w:cs="Times New Roman"/>
                <w:bCs/>
                <w:color w:val="000000"/>
                <w:kern w:val="2"/>
                <w:sz w:val="24"/>
                <w:szCs w:val="24"/>
                <w:u w:val="none" w:color="auto"/>
                <w:lang w:val="en-US" w:eastAsia="zh-CN" w:bidi="ar-SA"/>
              </w:rPr>
              <w:t>W深取2，</w:t>
            </w:r>
            <w:r>
              <w:rPr>
                <w:rFonts w:hint="default" w:ascii="Times New Roman" w:hAnsi="Times New Roman" w:eastAsia="宋体" w:cs="Times New Roman"/>
                <w:bCs/>
                <w:color w:val="000000"/>
                <w:kern w:val="2"/>
                <w:sz w:val="24"/>
                <w:szCs w:val="24"/>
                <w:u w:val="none" w:color="auto"/>
                <w:lang w:val="en-US" w:eastAsia="zh-CN" w:bidi="ar-SA"/>
              </w:rPr>
              <w:t>污泥产生量约为</w:t>
            </w:r>
            <w:r>
              <w:rPr>
                <w:rFonts w:hint="eastAsia" w:cs="Times New Roman"/>
                <w:bCs/>
                <w:color w:val="000000"/>
                <w:kern w:val="2"/>
                <w:sz w:val="24"/>
                <w:szCs w:val="24"/>
                <w:u w:val="none" w:color="auto"/>
                <w:lang w:val="en-US" w:eastAsia="zh-CN" w:bidi="ar-SA"/>
              </w:rPr>
              <w:t>9.74</w:t>
            </w:r>
            <w:r>
              <w:rPr>
                <w:rFonts w:hint="default" w:ascii="Times New Roman" w:hAnsi="Times New Roman" w:eastAsia="宋体" w:cs="Times New Roman"/>
                <w:bCs/>
                <w:color w:val="000000"/>
                <w:kern w:val="2"/>
                <w:sz w:val="24"/>
                <w:szCs w:val="24"/>
                <w:u w:val="none" w:color="auto"/>
                <w:lang w:val="en-US" w:eastAsia="zh-CN" w:bidi="ar-SA"/>
              </w:rPr>
              <w:t>t/a</w:t>
            </w:r>
            <w:r>
              <w:rPr>
                <w:rFonts w:hint="default" w:ascii="Times New Roman" w:hAnsi="Times New Roman" w:eastAsia="宋体" w:cs="Times New Roman"/>
                <w:sz w:val="24"/>
                <w:szCs w:val="24"/>
                <w:u w:val="none" w:color="auto"/>
                <w:lang w:val="en-US" w:eastAsia="zh-CN"/>
              </w:rPr>
              <w:t>，</w:t>
            </w:r>
            <w:r>
              <w:rPr>
                <w:rFonts w:hint="eastAsia" w:cs="Times New Roman"/>
                <w:sz w:val="24"/>
                <w:szCs w:val="24"/>
                <w:u w:val="none" w:color="auto"/>
                <w:lang w:val="en-US" w:eastAsia="zh-CN"/>
              </w:rPr>
              <w:t>属于一般固废，</w:t>
            </w:r>
            <w:r>
              <w:rPr>
                <w:rFonts w:hint="default" w:ascii="Times New Roman" w:hAnsi="Times New Roman" w:cs="Times New Roman"/>
                <w:sz w:val="24"/>
                <w:u w:val="none" w:color="auto"/>
              </w:rPr>
              <w:t>定期委托有资质单位处</w:t>
            </w:r>
            <w:r>
              <w:rPr>
                <w:rFonts w:hint="eastAsia"/>
                <w:sz w:val="24"/>
                <w:u w:val="none" w:color="auto"/>
              </w:rPr>
              <w:t>置。</w:t>
            </w:r>
          </w:p>
          <w:p w14:paraId="49D5236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bCs/>
                <w:color w:val="000000"/>
                <w:sz w:val="24"/>
                <w:u w:val="none" w:color="auto"/>
              </w:rPr>
            </w:pPr>
            <w:r>
              <w:rPr>
                <w:rFonts w:hint="eastAsia"/>
                <w:bCs/>
                <w:color w:val="000000"/>
                <w:sz w:val="24"/>
                <w:u w:val="none" w:color="auto"/>
              </w:rPr>
              <w:t>本项目建成后应建设</w:t>
            </w:r>
            <w:r>
              <w:rPr>
                <w:bCs/>
                <w:color w:val="000000"/>
                <w:sz w:val="24"/>
                <w:u w:val="none" w:color="auto"/>
              </w:rPr>
              <w:t>一般固废暂存间</w:t>
            </w:r>
            <w:r>
              <w:rPr>
                <w:rFonts w:hint="eastAsia"/>
                <w:bCs/>
                <w:color w:val="000000"/>
                <w:sz w:val="24"/>
                <w:u w:val="none" w:color="auto"/>
                <w:lang w:val="en-US" w:eastAsia="zh-CN"/>
              </w:rPr>
              <w:t>16间</w:t>
            </w:r>
            <w:r>
              <w:rPr>
                <w:bCs/>
                <w:color w:val="000000"/>
                <w:sz w:val="24"/>
                <w:u w:val="none" w:color="auto"/>
              </w:rPr>
              <w:t>，建筑面积</w:t>
            </w:r>
            <w:r>
              <w:rPr>
                <w:rFonts w:hint="eastAsia"/>
                <w:bCs/>
                <w:color w:val="000000"/>
                <w:sz w:val="24"/>
                <w:u w:val="none" w:color="auto"/>
                <w:lang w:val="en-US" w:eastAsia="zh-CN"/>
              </w:rPr>
              <w:t>为300</w:t>
            </w:r>
            <w:r>
              <w:rPr>
                <w:bCs/>
                <w:color w:val="000000"/>
                <w:sz w:val="24"/>
                <w:u w:val="none" w:color="auto"/>
              </w:rPr>
              <w:t>m</w:t>
            </w:r>
            <w:r>
              <w:rPr>
                <w:bCs/>
                <w:color w:val="000000"/>
                <w:sz w:val="24"/>
                <w:u w:val="none" w:color="auto"/>
                <w:vertAlign w:val="superscript"/>
              </w:rPr>
              <w:t>2</w:t>
            </w:r>
            <w:r>
              <w:rPr>
                <w:rFonts w:hint="eastAsia"/>
                <w:bCs/>
                <w:color w:val="000000"/>
                <w:sz w:val="24"/>
                <w:u w:val="none" w:color="auto"/>
              </w:rPr>
              <w:t>，一般固废暂存间应满足</w:t>
            </w:r>
            <w:r>
              <w:rPr>
                <w:bCs/>
                <w:color w:val="000000"/>
                <w:sz w:val="24"/>
                <w:u w:val="none" w:color="auto"/>
              </w:rPr>
              <w:t>《</w:t>
            </w:r>
            <w:r>
              <w:rPr>
                <w:rFonts w:hint="eastAsia"/>
                <w:bCs/>
                <w:color w:val="000000"/>
                <w:sz w:val="24"/>
                <w:u w:val="none" w:color="auto"/>
              </w:rPr>
              <w:t>一般工业固体废物贮存和填埋污染控制标准</w:t>
            </w:r>
            <w:r>
              <w:rPr>
                <w:bCs/>
                <w:color w:val="000000"/>
                <w:sz w:val="24"/>
                <w:u w:val="none" w:color="auto"/>
              </w:rPr>
              <w:t>》（GB18599-20</w:t>
            </w:r>
            <w:r>
              <w:rPr>
                <w:rFonts w:hint="eastAsia"/>
                <w:bCs/>
                <w:color w:val="000000"/>
                <w:sz w:val="24"/>
                <w:u w:val="none" w:color="auto"/>
              </w:rPr>
              <w:t>20</w:t>
            </w:r>
            <w:r>
              <w:rPr>
                <w:bCs/>
                <w:color w:val="000000"/>
                <w:sz w:val="24"/>
                <w:u w:val="none" w:color="auto"/>
              </w:rPr>
              <w:t>）</w:t>
            </w:r>
            <w:r>
              <w:rPr>
                <w:rFonts w:hint="eastAsia"/>
                <w:bCs/>
                <w:color w:val="000000"/>
                <w:sz w:val="24"/>
                <w:u w:val="none" w:color="auto"/>
              </w:rPr>
              <w:t>要求，做到防风、防雨、防晒，同时建设单位应做好防漏措施，并在明显位置悬挂废物标识。</w:t>
            </w:r>
          </w:p>
          <w:p w14:paraId="7A6BB45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Times New Roman" w:hAnsi="Times New Roman" w:eastAsia="宋体" w:cs="Times New Roman"/>
                <w:b/>
                <w:bCs/>
                <w:color w:val="auto"/>
                <w:kern w:val="0"/>
                <w:sz w:val="24"/>
                <w:szCs w:val="22"/>
                <w:u w:val="none" w:color="auto"/>
                <w:lang w:val="en-US" w:eastAsia="zh-CN" w:bidi="ar-SA"/>
              </w:rPr>
            </w:pPr>
            <w:r>
              <w:rPr>
                <w:rFonts w:hint="eastAsia" w:cs="Times New Roman"/>
                <w:b/>
                <w:bCs/>
                <w:color w:val="auto"/>
                <w:kern w:val="0"/>
                <w:sz w:val="24"/>
                <w:szCs w:val="22"/>
                <w:u w:val="none" w:color="auto"/>
                <w:lang w:val="en-US" w:eastAsia="zh-CN" w:bidi="ar-SA"/>
              </w:rPr>
              <w:t>2、危险废物</w:t>
            </w:r>
          </w:p>
          <w:p w14:paraId="50C2522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default" w:ascii="Times New Roman" w:hAnsi="Times New Roman" w:eastAsia="宋体" w:cs="Times New Roman"/>
                <w:b w:val="0"/>
                <w:bCs/>
                <w:i w:val="0"/>
                <w:iCs w:val="0"/>
                <w:sz w:val="24"/>
                <w:u w:val="none" w:color="auto"/>
                <w:lang w:val="en-US" w:eastAsia="zh-CN"/>
              </w:rPr>
            </w:pPr>
            <w:r>
              <w:rPr>
                <w:rFonts w:hint="eastAsia" w:ascii="Times New Roman" w:hAnsi="Times New Roman" w:eastAsia="宋体" w:cs="Times New Roman"/>
                <w:b w:val="0"/>
                <w:bCs/>
                <w:i w:val="0"/>
                <w:iCs w:val="0"/>
                <w:sz w:val="24"/>
                <w:u w:val="none" w:color="auto"/>
                <w:lang w:val="en-US" w:eastAsia="zh-CN"/>
              </w:rPr>
              <w:t>（</w:t>
            </w:r>
            <w:r>
              <w:rPr>
                <w:rFonts w:hint="eastAsia" w:cs="Times New Roman"/>
                <w:b w:val="0"/>
                <w:bCs/>
                <w:i w:val="0"/>
                <w:iCs w:val="0"/>
                <w:sz w:val="24"/>
                <w:u w:val="none" w:color="auto"/>
                <w:lang w:val="en-US" w:eastAsia="zh-CN"/>
              </w:rPr>
              <w:t>1</w:t>
            </w:r>
            <w:r>
              <w:rPr>
                <w:rFonts w:hint="eastAsia" w:ascii="Times New Roman" w:hAnsi="Times New Roman" w:eastAsia="宋体" w:cs="Times New Roman"/>
                <w:b w:val="0"/>
                <w:bCs/>
                <w:i w:val="0"/>
                <w:iCs w:val="0"/>
                <w:sz w:val="24"/>
                <w:u w:val="none" w:color="auto"/>
                <w:lang w:val="en-US" w:eastAsia="zh-CN"/>
              </w:rPr>
              <w:t>）</w:t>
            </w:r>
            <w:r>
              <w:rPr>
                <w:rFonts w:hint="eastAsia" w:cs="Times New Roman"/>
                <w:b w:val="0"/>
                <w:bCs/>
                <w:i w:val="0"/>
                <w:iCs w:val="0"/>
                <w:sz w:val="24"/>
                <w:u w:val="none" w:color="auto"/>
                <w:lang w:val="en-US" w:eastAsia="zh-CN"/>
              </w:rPr>
              <w:t>废活性炭</w:t>
            </w:r>
          </w:p>
          <w:p w14:paraId="3DCF8605">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textAlignment w:val="auto"/>
              <w:rPr>
                <w:rFonts w:hint="default" w:cs="Times New Roman"/>
                <w:b w:val="0"/>
                <w:bCs/>
                <w:color w:val="000000" w:themeColor="text1"/>
                <w:kern w:val="2"/>
                <w:sz w:val="24"/>
                <w:szCs w:val="24"/>
                <w:u w:val="none" w:color="auto"/>
                <w:lang w:val="en-US" w:eastAsia="zh-CN" w:bidi="ar-SA"/>
                <w14:textFill>
                  <w14:solidFill>
                    <w14:schemeClr w14:val="tx1"/>
                  </w14:solidFill>
                </w14:textFill>
              </w:rPr>
            </w:pPr>
            <w:r>
              <w:rPr>
                <w:rFonts w:hint="eastAsia"/>
                <w:color w:val="000000" w:themeColor="text1"/>
                <w:sz w:val="24"/>
                <w:u w:val="none" w:color="auto"/>
                <w14:textFill>
                  <w14:solidFill>
                    <w14:schemeClr w14:val="tx1"/>
                  </w14:solidFill>
                </w14:textFill>
              </w:rPr>
              <w:t>本项目锂离子电池生产工艺中注液工序废气（污染物主要为电解液溶剂，成分为DMC，即碳酸二甲酯）采用活性炭吸附-脱附+催化燃烧工艺治理，废气需经活性炭吸附脱附处理后，进入催化燃烧设备，本项目活性炭吸附装置配备2套活性炭吸附单元，每套活性炭吸附床为</w:t>
            </w:r>
            <w:r>
              <w:rPr>
                <w:rFonts w:hint="eastAsia"/>
                <w:color w:val="000000" w:themeColor="text1"/>
                <w:sz w:val="24"/>
                <w:u w:val="none" w:color="auto"/>
                <w:lang w:val="en-US" w:eastAsia="zh-CN"/>
                <w14:textFill>
                  <w14:solidFill>
                    <w14:schemeClr w14:val="tx1"/>
                  </w14:solidFill>
                </w14:textFill>
              </w:rPr>
              <w:t>4</w:t>
            </w:r>
            <w:r>
              <w:rPr>
                <w:rFonts w:hint="eastAsia"/>
                <w:color w:val="000000" w:themeColor="text1"/>
                <w:sz w:val="24"/>
                <w:u w:val="none" w:color="auto"/>
                <w14:textFill>
                  <w14:solidFill>
                    <w14:schemeClr w14:val="tx1"/>
                  </w14:solidFill>
                </w14:textFill>
              </w:rPr>
              <w:t>m</w:t>
            </w:r>
            <w:r>
              <w:rPr>
                <w:rFonts w:hint="eastAsia"/>
                <w:color w:val="000000" w:themeColor="text1"/>
                <w:sz w:val="24"/>
                <w:u w:val="none" w:color="auto"/>
                <w:vertAlign w:val="superscript"/>
                <w14:textFill>
                  <w14:solidFill>
                    <w14:schemeClr w14:val="tx1"/>
                  </w14:solidFill>
                </w14:textFill>
              </w:rPr>
              <w:t>3</w:t>
            </w:r>
            <w:r>
              <w:rPr>
                <w:rFonts w:hint="eastAsia"/>
                <w:color w:val="000000" w:themeColor="text1"/>
                <w:sz w:val="24"/>
                <w:u w:val="none" w:color="auto"/>
                <w14:textFill>
                  <w14:solidFill>
                    <w14:schemeClr w14:val="tx1"/>
                  </w14:solidFill>
                </w14:textFill>
              </w:rPr>
              <w:t>的蜂窝状活性炭，重量约</w:t>
            </w:r>
            <w:r>
              <w:rPr>
                <w:rFonts w:hint="eastAsia"/>
                <w:color w:val="000000" w:themeColor="text1"/>
                <w:sz w:val="24"/>
                <w:u w:val="none" w:color="auto"/>
                <w:lang w:val="en-US" w:eastAsia="zh-CN"/>
                <w14:textFill>
                  <w14:solidFill>
                    <w14:schemeClr w14:val="tx1"/>
                  </w14:solidFill>
                </w14:textFill>
              </w:rPr>
              <w:t>2</w:t>
            </w:r>
            <w:r>
              <w:rPr>
                <w:rFonts w:hint="eastAsia"/>
                <w:color w:val="000000" w:themeColor="text1"/>
                <w:sz w:val="24"/>
                <w:u w:val="none" w:color="auto"/>
                <w14:textFill>
                  <w14:solidFill>
                    <w14:schemeClr w14:val="tx1"/>
                  </w14:solidFill>
                </w14:textFill>
              </w:rPr>
              <w:t>t。</w:t>
            </w:r>
            <w:r>
              <w:rPr>
                <w:rFonts w:hint="eastAsia"/>
                <w:color w:val="000000" w:themeColor="text1"/>
                <w:sz w:val="24"/>
                <w:u w:val="none" w:color="auto"/>
                <w:lang w:val="en-US" w:eastAsia="zh-CN"/>
                <w14:textFill>
                  <w14:solidFill>
                    <w14:schemeClr w14:val="tx1"/>
                  </w14:solidFill>
                </w14:textFill>
              </w:rPr>
              <w:t>项目活性炭每2年更换一次，则废活性炭产生量约2</w:t>
            </w:r>
            <w:r>
              <w:rPr>
                <w:rFonts w:hint="eastAsia"/>
                <w:color w:val="000000" w:themeColor="text1"/>
                <w:sz w:val="24"/>
                <w:u w:val="none" w:color="auto"/>
                <w14:textFill>
                  <w14:solidFill>
                    <w14:schemeClr w14:val="tx1"/>
                  </w14:solidFill>
                </w14:textFill>
              </w:rPr>
              <w:t>t</w:t>
            </w:r>
            <w:r>
              <w:rPr>
                <w:rFonts w:hint="eastAsia"/>
                <w:color w:val="000000" w:themeColor="text1"/>
                <w:sz w:val="24"/>
                <w:u w:val="none" w:color="auto"/>
                <w:lang w:val="en-US" w:eastAsia="zh-CN"/>
                <w14:textFill>
                  <w14:solidFill>
                    <w14:schemeClr w14:val="tx1"/>
                  </w14:solidFill>
                </w14:textFill>
              </w:rPr>
              <w:t>/a，</w:t>
            </w:r>
            <w:r>
              <w:rPr>
                <w:rFonts w:hint="eastAsia"/>
                <w:bCs/>
                <w:color w:val="000000" w:themeColor="text1"/>
                <w:sz w:val="24"/>
                <w:u w:val="none" w:color="auto"/>
                <w14:textFill>
                  <w14:solidFill>
                    <w14:schemeClr w14:val="tx1"/>
                  </w14:solidFill>
                </w14:textFill>
              </w:rPr>
              <w:t>根据《国家危险废物名录》（2025年版）</w:t>
            </w:r>
            <w:r>
              <w:rPr>
                <w:rFonts w:hint="eastAsia"/>
                <w:bCs/>
                <w:color w:val="000000" w:themeColor="text1"/>
                <w:sz w:val="24"/>
                <w:u w:val="none" w:color="auto"/>
                <w:lang w:eastAsia="zh-CN"/>
                <w14:textFill>
                  <w14:solidFill>
                    <w14:schemeClr w14:val="tx1"/>
                  </w14:solidFill>
                </w14:textFill>
              </w:rPr>
              <w:t>，</w:t>
            </w:r>
            <w:r>
              <w:rPr>
                <w:rFonts w:hint="eastAsia"/>
                <w:bCs/>
                <w:color w:val="000000" w:themeColor="text1"/>
                <w:sz w:val="24"/>
                <w:u w:val="none" w:color="auto"/>
                <w:lang w:val="en-US" w:eastAsia="zh-CN"/>
                <w14:textFill>
                  <w14:solidFill>
                    <w14:schemeClr w14:val="tx1"/>
                  </w14:solidFill>
                </w14:textFill>
              </w:rPr>
              <w:t>其</w:t>
            </w:r>
            <w:r>
              <w:rPr>
                <w:rFonts w:hint="eastAsia"/>
                <w:bCs/>
                <w:color w:val="000000" w:themeColor="text1"/>
                <w:sz w:val="24"/>
                <w:u w:val="none" w:color="auto"/>
                <w14:textFill>
                  <w14:solidFill>
                    <w14:schemeClr w14:val="tx1"/>
                  </w14:solidFill>
                </w14:textFill>
              </w:rPr>
              <w:t>危废类别：</w:t>
            </w:r>
            <w:r>
              <w:rPr>
                <w:bCs/>
                <w:color w:val="000000" w:themeColor="text1"/>
                <w:sz w:val="24"/>
                <w:u w:val="none" w:color="auto"/>
                <w14:textFill>
                  <w14:solidFill>
                    <w14:schemeClr w14:val="tx1"/>
                  </w14:solidFill>
                </w14:textFill>
              </w:rPr>
              <w:t>HW49其他废物，废物代码：900-0</w:t>
            </w:r>
            <w:r>
              <w:rPr>
                <w:rFonts w:hint="eastAsia"/>
                <w:bCs/>
                <w:color w:val="000000" w:themeColor="text1"/>
                <w:sz w:val="24"/>
                <w:u w:val="none" w:color="auto"/>
                <w14:textFill>
                  <w14:solidFill>
                    <w14:schemeClr w14:val="tx1"/>
                  </w14:solidFill>
                </w14:textFill>
              </w:rPr>
              <w:t>39</w:t>
            </w:r>
            <w:r>
              <w:rPr>
                <w:bCs/>
                <w:color w:val="000000" w:themeColor="text1"/>
                <w:sz w:val="24"/>
                <w:u w:val="none" w:color="auto"/>
                <w14:textFill>
                  <w14:solidFill>
                    <w14:schemeClr w14:val="tx1"/>
                  </w14:solidFill>
                </w14:textFill>
              </w:rPr>
              <w:t>-49</w:t>
            </w:r>
            <w:r>
              <w:rPr>
                <w:rFonts w:hint="eastAsia"/>
                <w:bCs/>
                <w:color w:val="000000" w:themeColor="text1"/>
                <w:sz w:val="24"/>
                <w:u w:val="none" w:color="auto"/>
                <w14:textFill>
                  <w14:solidFill>
                    <w14:schemeClr w14:val="tx1"/>
                  </w14:solidFill>
                </w14:textFill>
              </w:rPr>
              <w:t>，废活性炭装桶</w:t>
            </w:r>
            <w:r>
              <w:rPr>
                <w:bCs/>
                <w:color w:val="000000" w:themeColor="text1"/>
                <w:sz w:val="24"/>
                <w:u w:val="none" w:color="auto"/>
                <w14:textFill>
                  <w14:solidFill>
                    <w14:schemeClr w14:val="tx1"/>
                  </w14:solidFill>
                </w14:textFill>
              </w:rPr>
              <w:t>后</w:t>
            </w:r>
            <w:r>
              <w:rPr>
                <w:rFonts w:hint="eastAsia"/>
                <w:bCs/>
                <w:color w:val="000000" w:themeColor="text1"/>
                <w:sz w:val="24"/>
                <w:u w:val="none" w:color="auto"/>
                <w14:textFill>
                  <w14:solidFill>
                    <w14:schemeClr w14:val="tx1"/>
                  </w14:solidFill>
                </w14:textFill>
              </w:rPr>
              <w:t>在危废暂存间暂存，定期交由有资质单位处置。</w:t>
            </w:r>
          </w:p>
          <w:p w14:paraId="15273C89">
            <w:pPr>
              <w:keepNext w:val="0"/>
              <w:keepLines w:val="0"/>
              <w:pageBreakBefore w:val="0"/>
              <w:widowControl w:val="0"/>
              <w:numPr>
                <w:ilvl w:val="0"/>
                <w:numId w:val="25"/>
              </w:numPr>
              <w:kinsoku/>
              <w:wordWrap/>
              <w:overflowPunct/>
              <w:topLinePunct w:val="0"/>
              <w:autoSpaceDE/>
              <w:autoSpaceDN/>
              <w:bidi w:val="0"/>
              <w:adjustRightInd w:val="0"/>
              <w:snapToGrid/>
              <w:spacing w:line="440" w:lineRule="exact"/>
              <w:ind w:firstLine="480" w:firstLineChars="200"/>
              <w:textAlignment w:val="auto"/>
              <w:rPr>
                <w:rFonts w:hint="default" w:cs="Times New Roman"/>
                <w:b w:val="0"/>
                <w:bCs/>
                <w:kern w:val="2"/>
                <w:sz w:val="24"/>
                <w:szCs w:val="24"/>
                <w:u w:val="none" w:color="auto"/>
                <w:lang w:val="en-US" w:eastAsia="zh-CN" w:bidi="ar-SA"/>
              </w:rPr>
            </w:pPr>
            <w:r>
              <w:rPr>
                <w:rFonts w:hint="eastAsia" w:cs="Times New Roman"/>
                <w:b w:val="0"/>
                <w:bCs/>
                <w:kern w:val="2"/>
                <w:sz w:val="24"/>
                <w:szCs w:val="24"/>
                <w:u w:val="none" w:color="auto"/>
                <w:lang w:val="en-US" w:eastAsia="zh-CN" w:bidi="ar-SA"/>
              </w:rPr>
              <w:t>废催化剂</w:t>
            </w:r>
          </w:p>
          <w:p w14:paraId="77D6DA8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bCs/>
                <w:color w:val="000000"/>
                <w:sz w:val="24"/>
                <w:u w:val="none" w:color="auto"/>
              </w:rPr>
            </w:pPr>
            <w:r>
              <w:rPr>
                <w:rFonts w:hint="eastAsia"/>
                <w:bCs/>
                <w:color w:val="000000"/>
                <w:sz w:val="24"/>
                <w:u w:val="none" w:color="auto"/>
              </w:rPr>
              <w:t>本项目活性炭吸附脱附+催化燃烧装置中会使用到催化剂，根据厂家提供资料，催化剂为陶瓷蜂窝体的贵金属催化剂，使用寿命为3年，废催化剂产生量约为</w:t>
            </w:r>
            <w:r>
              <w:rPr>
                <w:rFonts w:hint="eastAsia"/>
                <w:bCs/>
                <w:color w:val="000000"/>
                <w:sz w:val="24"/>
                <w:u w:val="none" w:color="auto"/>
                <w:lang w:val="en-US" w:eastAsia="zh-CN"/>
              </w:rPr>
              <w:t>0.1</w:t>
            </w:r>
            <w:r>
              <w:rPr>
                <w:rFonts w:hint="eastAsia"/>
                <w:bCs/>
                <w:color w:val="000000"/>
                <w:sz w:val="24"/>
                <w:u w:val="none" w:color="auto"/>
              </w:rPr>
              <w:t>t/a</w:t>
            </w:r>
            <w:r>
              <w:rPr>
                <w:rFonts w:hint="eastAsia"/>
                <w:bCs/>
                <w:color w:val="000000"/>
                <w:sz w:val="24"/>
                <w:u w:val="none" w:color="auto"/>
                <w:lang w:eastAsia="zh-CN"/>
              </w:rPr>
              <w:t>，</w:t>
            </w:r>
            <w:r>
              <w:rPr>
                <w:rFonts w:hint="eastAsia"/>
                <w:bCs/>
                <w:color w:val="000000"/>
                <w:sz w:val="24"/>
                <w:u w:val="none" w:color="auto"/>
              </w:rPr>
              <w:t>根据《国家危险废物名录》（202</w:t>
            </w:r>
            <w:r>
              <w:rPr>
                <w:rFonts w:hint="eastAsia"/>
                <w:bCs/>
                <w:color w:val="000000"/>
                <w:sz w:val="24"/>
                <w:u w:val="none" w:color="auto"/>
                <w:lang w:val="en-US" w:eastAsia="zh-CN"/>
              </w:rPr>
              <w:t>5</w:t>
            </w:r>
            <w:r>
              <w:rPr>
                <w:rFonts w:hint="eastAsia"/>
                <w:bCs/>
                <w:color w:val="000000"/>
                <w:sz w:val="24"/>
                <w:u w:val="none" w:color="auto"/>
              </w:rPr>
              <w:t>年版），废催化剂参照危险废物（HW50废催化剂772-007-50）执行。废催化剂装桶后在危废暂存间暂存，定期交由有资质单位处置。</w:t>
            </w:r>
          </w:p>
          <w:p w14:paraId="3767F3AF">
            <w:pPr>
              <w:keepNext w:val="0"/>
              <w:keepLines w:val="0"/>
              <w:pageBreakBefore w:val="0"/>
              <w:widowControl w:val="0"/>
              <w:numPr>
                <w:ilvl w:val="0"/>
                <w:numId w:val="25"/>
              </w:numPr>
              <w:kinsoku/>
              <w:wordWrap/>
              <w:overflowPunct/>
              <w:topLinePunct w:val="0"/>
              <w:autoSpaceDE/>
              <w:autoSpaceDN/>
              <w:bidi w:val="0"/>
              <w:adjustRightInd w:val="0"/>
              <w:snapToGrid/>
              <w:spacing w:line="440" w:lineRule="exact"/>
              <w:ind w:firstLine="480" w:firstLineChars="200"/>
              <w:textAlignment w:val="auto"/>
              <w:rPr>
                <w:rFonts w:hint="default" w:cs="Times New Roman"/>
                <w:b w:val="0"/>
                <w:bCs/>
                <w:kern w:val="2"/>
                <w:sz w:val="24"/>
                <w:szCs w:val="24"/>
                <w:u w:val="none" w:color="auto"/>
                <w:lang w:val="en-US" w:eastAsia="zh-CN" w:bidi="ar-SA"/>
              </w:rPr>
            </w:pPr>
            <w:r>
              <w:rPr>
                <w:rFonts w:hint="eastAsia" w:cs="Times New Roman"/>
                <w:b w:val="0"/>
                <w:bCs/>
                <w:kern w:val="2"/>
                <w:sz w:val="24"/>
                <w:szCs w:val="24"/>
                <w:u w:val="none" w:color="auto"/>
                <w:lang w:val="en-US" w:eastAsia="zh-CN" w:bidi="ar-SA"/>
              </w:rPr>
              <w:t>废机油</w:t>
            </w:r>
          </w:p>
          <w:p w14:paraId="673466B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Times New Roman" w:hAnsi="Times New Roman" w:eastAsia="宋体" w:cs="Times New Roman"/>
                <w:b w:val="0"/>
                <w:bCs/>
                <w:kern w:val="2"/>
                <w:sz w:val="24"/>
                <w:szCs w:val="24"/>
                <w:u w:val="none" w:color="auto"/>
                <w:lang w:val="en-US" w:eastAsia="zh-CN" w:bidi="ar-SA"/>
              </w:rPr>
            </w:pPr>
            <w:r>
              <w:rPr>
                <w:rFonts w:hint="eastAsia"/>
                <w:sz w:val="24"/>
                <w:u w:val="none" w:color="auto"/>
              </w:rPr>
              <w:t>本项目设备维护产生少量的废</w:t>
            </w:r>
            <w:r>
              <w:rPr>
                <w:rFonts w:hint="eastAsia"/>
                <w:sz w:val="24"/>
                <w:u w:val="none" w:color="auto"/>
                <w:lang w:val="en-US" w:eastAsia="zh-CN"/>
              </w:rPr>
              <w:t>机油</w:t>
            </w:r>
            <w:r>
              <w:rPr>
                <w:rFonts w:hint="eastAsia"/>
                <w:sz w:val="24"/>
                <w:u w:val="none" w:color="auto"/>
              </w:rPr>
              <w:t>，</w:t>
            </w:r>
            <w:r>
              <w:rPr>
                <w:rFonts w:hint="eastAsia"/>
                <w:sz w:val="24"/>
                <w:u w:val="none" w:color="auto"/>
                <w:lang w:val="en-US" w:eastAsia="zh-CN"/>
              </w:rPr>
              <w:t>废机油</w:t>
            </w:r>
            <w:r>
              <w:rPr>
                <w:rFonts w:hint="eastAsia"/>
                <w:sz w:val="24"/>
                <w:u w:val="none" w:color="auto"/>
              </w:rPr>
              <w:t>的产生量为</w:t>
            </w:r>
            <w:r>
              <w:rPr>
                <w:rFonts w:hint="eastAsia"/>
                <w:bCs/>
                <w:color w:val="000000"/>
                <w:sz w:val="24"/>
                <w:u w:val="none" w:color="auto"/>
                <w:lang w:val="en-US" w:eastAsia="zh-CN"/>
              </w:rPr>
              <w:t>0.5</w:t>
            </w:r>
            <w:r>
              <w:rPr>
                <w:bCs/>
                <w:color w:val="000000"/>
                <w:sz w:val="24"/>
                <w:u w:val="none" w:color="auto"/>
              </w:rPr>
              <w:t>t/a</w:t>
            </w:r>
            <w:r>
              <w:rPr>
                <w:rFonts w:hint="eastAsia"/>
                <w:bCs/>
                <w:color w:val="000000"/>
                <w:sz w:val="24"/>
                <w:u w:val="none" w:color="auto"/>
              </w:rPr>
              <w:t>，</w:t>
            </w:r>
            <w:r>
              <w:rPr>
                <w:rFonts w:hint="eastAsia"/>
                <w:sz w:val="24"/>
                <w:u w:val="none" w:color="auto"/>
              </w:rPr>
              <w:t>根据《国家危险废物名录》（2025</w:t>
            </w:r>
            <w:r>
              <w:rPr>
                <w:rFonts w:hint="eastAsia"/>
                <w:sz w:val="24"/>
                <w:u w:val="none" w:color="auto"/>
                <w:lang w:val="en-US" w:eastAsia="zh-CN"/>
              </w:rPr>
              <w:t>年版</w:t>
            </w:r>
            <w:r>
              <w:rPr>
                <w:rFonts w:hint="eastAsia"/>
                <w:sz w:val="24"/>
                <w:u w:val="none" w:color="auto"/>
              </w:rPr>
              <w:t>），废</w:t>
            </w:r>
            <w:r>
              <w:rPr>
                <w:rFonts w:hint="eastAsia"/>
                <w:sz w:val="24"/>
                <w:u w:val="none" w:color="auto"/>
                <w:lang w:val="en-US" w:eastAsia="zh-CN"/>
              </w:rPr>
              <w:t>机油</w:t>
            </w:r>
            <w:r>
              <w:rPr>
                <w:rFonts w:hint="eastAsia"/>
                <w:sz w:val="24"/>
                <w:u w:val="none" w:color="auto"/>
              </w:rPr>
              <w:t>属于危废编号HW08</w:t>
            </w:r>
            <w:r>
              <w:rPr>
                <w:rFonts w:hint="eastAsia"/>
                <w:color w:val="000000"/>
                <w:kern w:val="0"/>
                <w:sz w:val="24"/>
                <w:u w:val="none" w:color="auto"/>
              </w:rPr>
              <w:t>“废矿物油与含矿物油废物”，</w:t>
            </w:r>
            <w:r>
              <w:rPr>
                <w:rFonts w:hint="eastAsia"/>
                <w:sz w:val="24"/>
                <w:u w:val="none" w:color="auto"/>
              </w:rPr>
              <w:t>代码为“900-214-08”，废</w:t>
            </w:r>
            <w:r>
              <w:rPr>
                <w:rFonts w:hint="eastAsia"/>
                <w:sz w:val="24"/>
                <w:u w:val="none" w:color="auto"/>
                <w:lang w:val="en-US" w:eastAsia="zh-CN"/>
              </w:rPr>
              <w:t>机油</w:t>
            </w:r>
            <w:r>
              <w:rPr>
                <w:rFonts w:hint="eastAsia"/>
                <w:sz w:val="24"/>
                <w:u w:val="none" w:color="auto"/>
              </w:rPr>
              <w:t>装桶后暂存于危险废物暂存间，定期委托有资质单位处置。</w:t>
            </w:r>
          </w:p>
          <w:p w14:paraId="736DA12B">
            <w:pPr>
              <w:keepNext w:val="0"/>
              <w:keepLines w:val="0"/>
              <w:pageBreakBefore w:val="0"/>
              <w:widowControl w:val="0"/>
              <w:numPr>
                <w:ilvl w:val="0"/>
                <w:numId w:val="25"/>
              </w:numPr>
              <w:kinsoku/>
              <w:wordWrap/>
              <w:overflowPunct/>
              <w:topLinePunct w:val="0"/>
              <w:autoSpaceDE/>
              <w:autoSpaceDN/>
              <w:bidi w:val="0"/>
              <w:adjustRightInd w:val="0"/>
              <w:snapToGrid/>
              <w:spacing w:line="440" w:lineRule="exact"/>
              <w:ind w:left="0" w:leftChars="0" w:firstLine="480" w:firstLineChars="200"/>
              <w:textAlignment w:val="auto"/>
              <w:rPr>
                <w:rFonts w:hint="eastAsia" w:cs="Times New Roman"/>
                <w:sz w:val="24"/>
                <w:szCs w:val="24"/>
                <w:u w:val="none" w:color="auto"/>
                <w:lang w:val="en-US" w:eastAsia="zh-CN"/>
              </w:rPr>
            </w:pPr>
            <w:r>
              <w:rPr>
                <w:rFonts w:hint="eastAsia" w:cs="Times New Roman"/>
                <w:sz w:val="24"/>
                <w:szCs w:val="24"/>
                <w:u w:val="none" w:color="auto"/>
                <w:lang w:val="en-US" w:eastAsia="zh-CN"/>
              </w:rPr>
              <w:t>沉淀污泥</w:t>
            </w:r>
          </w:p>
          <w:p w14:paraId="3E426E8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sz w:val="24"/>
                <w:u w:val="none" w:color="auto"/>
              </w:rPr>
            </w:pPr>
            <w:r>
              <w:rPr>
                <w:rFonts w:hint="default" w:ascii="Times New Roman" w:hAnsi="Times New Roman" w:eastAsia="宋体" w:cs="Times New Roman"/>
                <w:sz w:val="24"/>
                <w:u w:val="none" w:color="auto"/>
                <w:lang w:val="en-US" w:eastAsia="zh-CN"/>
              </w:rPr>
              <w:t>本项目</w:t>
            </w:r>
            <w:r>
              <w:rPr>
                <w:rFonts w:hint="eastAsia" w:cs="Times New Roman"/>
                <w:sz w:val="24"/>
                <w:u w:val="none" w:color="auto"/>
                <w:lang w:val="en-US" w:eastAsia="zh-CN"/>
              </w:rPr>
              <w:t>化学混凝沉淀池会产生污泥，</w:t>
            </w:r>
            <w:r>
              <w:rPr>
                <w:rFonts w:hint="default" w:ascii="Times New Roman" w:hAnsi="Times New Roman" w:eastAsia="宋体" w:cs="Times New Roman"/>
                <w:bCs/>
                <w:color w:val="000000"/>
                <w:kern w:val="2"/>
                <w:sz w:val="24"/>
                <w:szCs w:val="24"/>
                <w:u w:val="none" w:color="auto"/>
                <w:lang w:val="en-US" w:eastAsia="zh-CN" w:bidi="ar-SA"/>
              </w:rPr>
              <w:t>污泥产生量约为</w:t>
            </w:r>
            <w:r>
              <w:rPr>
                <w:rFonts w:hint="eastAsia" w:cs="Times New Roman"/>
                <w:bCs/>
                <w:color w:val="000000"/>
                <w:kern w:val="2"/>
                <w:sz w:val="24"/>
                <w:szCs w:val="24"/>
                <w:u w:val="none" w:color="auto"/>
                <w:lang w:val="en-US" w:eastAsia="zh-CN" w:bidi="ar-SA"/>
              </w:rPr>
              <w:t>0.2</w:t>
            </w:r>
            <w:r>
              <w:rPr>
                <w:rFonts w:hint="default" w:ascii="Times New Roman" w:hAnsi="Times New Roman" w:eastAsia="宋体" w:cs="Times New Roman"/>
                <w:bCs/>
                <w:color w:val="000000"/>
                <w:kern w:val="2"/>
                <w:sz w:val="24"/>
                <w:szCs w:val="24"/>
                <w:u w:val="none" w:color="auto"/>
                <w:lang w:val="en-US" w:eastAsia="zh-CN" w:bidi="ar-SA"/>
              </w:rPr>
              <w:t>t/a，根据《国家危险废物名录》（2025年版），其危废类别：HW49其他废物，废物代码：772-006-49，沉淀污泥采用内层PE</w:t>
            </w:r>
            <w:r>
              <w:rPr>
                <w:rFonts w:hint="eastAsia" w:cs="Times New Roman"/>
                <w:sz w:val="24"/>
                <w:szCs w:val="24"/>
                <w:u w:val="none" w:color="auto"/>
                <w:lang w:val="en-US" w:eastAsia="zh-CN"/>
              </w:rPr>
              <w:t>吨</w:t>
            </w:r>
            <w:r>
              <w:rPr>
                <w:rFonts w:hint="default" w:ascii="Times New Roman" w:hAnsi="Times New Roman" w:eastAsia="宋体" w:cs="Times New Roman"/>
                <w:sz w:val="24"/>
                <w:szCs w:val="24"/>
                <w:u w:val="none" w:color="auto"/>
              </w:rPr>
              <w:t>袋</w:t>
            </w:r>
            <w:r>
              <w:rPr>
                <w:rFonts w:hint="default" w:ascii="Times New Roman" w:hAnsi="Times New Roman" w:eastAsia="宋体" w:cs="Times New Roman"/>
                <w:sz w:val="24"/>
                <w:szCs w:val="24"/>
                <w:u w:val="none" w:color="auto"/>
                <w:lang w:val="en-US" w:eastAsia="zh-CN"/>
              </w:rPr>
              <w:t>包装后暂存于危废暂存间，</w:t>
            </w:r>
            <w:r>
              <w:rPr>
                <w:rFonts w:hint="default" w:ascii="Times New Roman" w:hAnsi="Times New Roman" w:cs="Times New Roman"/>
                <w:sz w:val="24"/>
                <w:u w:val="none" w:color="auto"/>
              </w:rPr>
              <w:t>定期委托有资质单位处</w:t>
            </w:r>
            <w:r>
              <w:rPr>
                <w:rFonts w:hint="eastAsia"/>
                <w:sz w:val="24"/>
                <w:u w:val="none" w:color="auto"/>
              </w:rPr>
              <w:t>置。</w:t>
            </w:r>
            <w:r>
              <w:rPr>
                <w:rFonts w:hint="eastAsia" w:cs="Times New Roman"/>
                <w:sz w:val="24"/>
                <w:u w:val="none" w:color="auto"/>
                <w:lang w:val="en-US" w:eastAsia="zh-CN"/>
              </w:rPr>
              <w:t>会产生污泥，</w:t>
            </w:r>
          </w:p>
          <w:p w14:paraId="27F7A590">
            <w:pPr>
              <w:keepNext w:val="0"/>
              <w:keepLines w:val="0"/>
              <w:pageBreakBefore w:val="0"/>
              <w:widowControl w:val="0"/>
              <w:numPr>
                <w:ilvl w:val="0"/>
                <w:numId w:val="25"/>
              </w:numPr>
              <w:kinsoku/>
              <w:wordWrap/>
              <w:overflowPunct/>
              <w:topLinePunct w:val="0"/>
              <w:autoSpaceDE/>
              <w:autoSpaceDN/>
              <w:bidi w:val="0"/>
              <w:adjustRightInd w:val="0"/>
              <w:snapToGrid/>
              <w:spacing w:line="440" w:lineRule="exact"/>
              <w:ind w:left="0" w:leftChars="0" w:firstLine="480" w:firstLineChars="200"/>
              <w:textAlignment w:val="auto"/>
              <w:rPr>
                <w:rFonts w:hint="eastAsia"/>
                <w:sz w:val="24"/>
                <w:u w:val="none" w:color="auto"/>
                <w:lang w:val="en-US" w:eastAsia="zh-CN"/>
              </w:rPr>
            </w:pPr>
            <w:r>
              <w:rPr>
                <w:rFonts w:hint="eastAsia"/>
                <w:sz w:val="24"/>
                <w:u w:val="none" w:color="auto"/>
                <w:lang w:val="en-US" w:eastAsia="zh-CN"/>
              </w:rPr>
              <w:t>检测废液</w:t>
            </w:r>
          </w:p>
          <w:p w14:paraId="5B01EA5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default" w:ascii="宋体" w:hAnsi="宋体" w:eastAsia="宋体" w:cs="宋体"/>
                <w:sz w:val="24"/>
                <w:szCs w:val="24"/>
                <w:u w:val="none" w:color="auto"/>
                <w:lang w:val="en-US"/>
              </w:rPr>
            </w:pPr>
            <w:r>
              <w:rPr>
                <w:rFonts w:hint="eastAsia" w:ascii="宋体" w:hAnsi="宋体" w:eastAsia="宋体" w:cs="宋体"/>
                <w:sz w:val="24"/>
                <w:szCs w:val="24"/>
                <w:u w:val="none" w:color="auto"/>
                <w:lang w:val="en-US" w:eastAsia="zh-CN"/>
              </w:rPr>
              <w:t>本项目</w:t>
            </w:r>
            <w:r>
              <w:rPr>
                <w:rFonts w:ascii="宋体" w:hAnsi="宋体" w:eastAsia="宋体" w:cs="宋体"/>
                <w:sz w:val="24"/>
                <w:szCs w:val="24"/>
                <w:u w:val="none" w:color="auto"/>
              </w:rPr>
              <w:t>厂区</w:t>
            </w:r>
            <w:r>
              <w:rPr>
                <w:rFonts w:hint="eastAsia" w:ascii="宋体" w:hAnsi="宋体" w:eastAsia="宋体" w:cs="宋体"/>
                <w:sz w:val="24"/>
                <w:szCs w:val="24"/>
                <w:u w:val="none" w:color="auto"/>
                <w:lang w:val="en-US" w:eastAsia="zh-CN"/>
              </w:rPr>
              <w:t>生产</w:t>
            </w:r>
            <w:r>
              <w:rPr>
                <w:rFonts w:ascii="宋体" w:hAnsi="宋体" w:eastAsia="宋体" w:cs="宋体"/>
                <w:sz w:val="24"/>
                <w:szCs w:val="24"/>
                <w:u w:val="none" w:color="auto"/>
              </w:rPr>
              <w:t>废水经污水处理设施处理达标后，</w:t>
            </w:r>
            <w:r>
              <w:rPr>
                <w:rFonts w:hint="default" w:ascii="Times New Roman" w:hAnsi="Times New Roman" w:eastAsia="宋体" w:cs="Times New Roman"/>
                <w:sz w:val="24"/>
                <w:szCs w:val="24"/>
                <w:u w:val="none" w:color="auto"/>
                <w:lang w:val="en-US" w:eastAsia="zh-CN"/>
              </w:rPr>
              <w:t>通过标准化规范化排污口外排，排污口配套建设在线监测站房，</w:t>
            </w:r>
            <w:r>
              <w:rPr>
                <w:rFonts w:ascii="宋体" w:hAnsi="宋体" w:eastAsia="宋体" w:cs="宋体"/>
                <w:sz w:val="24"/>
                <w:szCs w:val="24"/>
                <w:u w:val="none" w:color="auto"/>
              </w:rPr>
              <w:t>安装</w:t>
            </w:r>
            <w:r>
              <w:rPr>
                <w:rFonts w:hint="eastAsia" w:ascii="Times New Roman" w:hAnsi="Times New Roman" w:eastAsia="宋体" w:cs="Times New Roman"/>
                <w:sz w:val="24"/>
                <w:szCs w:val="24"/>
                <w:u w:val="none" w:color="auto"/>
                <w:lang w:val="en-US" w:eastAsia="zh-CN"/>
              </w:rPr>
              <w:t>COD水质自动分析仪、氨氮水质自动分析仪、总磷水质自动分析仪、在线pH计、明渠流量计，</w:t>
            </w:r>
            <w:r>
              <w:rPr>
                <w:rFonts w:hint="eastAsia" w:ascii="宋体" w:hAnsi="宋体" w:eastAsia="宋体" w:cs="宋体"/>
                <w:sz w:val="24"/>
                <w:szCs w:val="24"/>
                <w:u w:val="none" w:color="auto"/>
                <w:lang w:val="en-US" w:eastAsia="zh-CN"/>
              </w:rPr>
              <w:t>该套</w:t>
            </w:r>
            <w:r>
              <w:rPr>
                <w:rFonts w:ascii="宋体" w:hAnsi="宋体" w:eastAsia="宋体" w:cs="宋体"/>
                <w:sz w:val="24"/>
                <w:szCs w:val="24"/>
                <w:u w:val="none" w:color="auto"/>
              </w:rPr>
              <w:t>线监测设备在日常零点校准、量程标定、试剂反应</w:t>
            </w:r>
            <w:r>
              <w:rPr>
                <w:rFonts w:hint="eastAsia" w:ascii="宋体" w:hAnsi="宋体" w:eastAsia="宋体" w:cs="宋体"/>
                <w:sz w:val="24"/>
                <w:szCs w:val="24"/>
                <w:u w:val="none" w:color="auto"/>
                <w:lang w:val="en-US" w:eastAsia="zh-CN"/>
              </w:rPr>
              <w:t>等</w:t>
            </w:r>
            <w:r>
              <w:rPr>
                <w:rFonts w:ascii="宋体" w:hAnsi="宋体" w:eastAsia="宋体" w:cs="宋体"/>
                <w:sz w:val="24"/>
                <w:szCs w:val="24"/>
                <w:u w:val="none" w:color="auto"/>
              </w:rPr>
              <w:t>过程中</w:t>
            </w:r>
            <w:r>
              <w:rPr>
                <w:rFonts w:hint="eastAsia" w:ascii="宋体" w:hAnsi="宋体" w:eastAsia="宋体" w:cs="宋体"/>
                <w:sz w:val="24"/>
                <w:szCs w:val="24"/>
                <w:u w:val="none" w:color="auto"/>
                <w:lang w:val="en-US" w:eastAsia="zh-CN"/>
              </w:rPr>
              <w:t>会</w:t>
            </w:r>
            <w:r>
              <w:rPr>
                <w:rFonts w:ascii="宋体" w:hAnsi="宋体" w:eastAsia="宋体" w:cs="宋体"/>
                <w:sz w:val="24"/>
                <w:szCs w:val="24"/>
                <w:u w:val="none" w:color="auto"/>
              </w:rPr>
              <w:t>产生少量</w:t>
            </w:r>
            <w:r>
              <w:rPr>
                <w:rFonts w:hint="eastAsia" w:ascii="宋体" w:hAnsi="宋体" w:eastAsia="宋体" w:cs="宋体"/>
                <w:sz w:val="24"/>
                <w:szCs w:val="24"/>
                <w:u w:val="none" w:color="auto"/>
                <w:lang w:val="en-US" w:eastAsia="zh-CN"/>
              </w:rPr>
              <w:t>检测</w:t>
            </w:r>
            <w:r>
              <w:rPr>
                <w:rFonts w:hint="eastAsia"/>
                <w:sz w:val="24"/>
                <w:u w:val="none" w:color="auto"/>
                <w:lang w:val="en-US" w:eastAsia="zh-CN"/>
              </w:rPr>
              <w:t>废液</w:t>
            </w:r>
            <w:r>
              <w:rPr>
                <w:rFonts w:hint="eastAsia" w:ascii="Times New Roman" w:hAnsi="Times New Roman" w:eastAsia="宋体" w:cs="Times New Roman"/>
                <w:sz w:val="24"/>
                <w:szCs w:val="24"/>
                <w:u w:val="none" w:color="auto"/>
                <w:lang w:val="en-US" w:eastAsia="zh-CN"/>
              </w:rPr>
              <w:t>，产生量约</w:t>
            </w:r>
            <w:r>
              <w:rPr>
                <w:rFonts w:hint="eastAsia" w:cs="Times New Roman"/>
                <w:sz w:val="24"/>
                <w:szCs w:val="24"/>
                <w:u w:val="none" w:color="auto"/>
                <w:lang w:val="en-US" w:eastAsia="zh-CN"/>
              </w:rPr>
              <w:t>0.3</w:t>
            </w:r>
            <w:r>
              <w:rPr>
                <w:rFonts w:hint="eastAsia" w:ascii="Times New Roman" w:hAnsi="Times New Roman" w:eastAsia="宋体" w:cs="Times New Roman"/>
                <w:sz w:val="24"/>
                <w:szCs w:val="24"/>
                <w:u w:val="none" w:color="auto"/>
                <w:lang w:val="en-US" w:eastAsia="zh-CN"/>
              </w:rPr>
              <w:t>t/a，</w:t>
            </w:r>
            <w:r>
              <w:rPr>
                <w:rFonts w:hint="default" w:ascii="Times New Roman" w:hAnsi="Times New Roman" w:cs="Times New Roman"/>
                <w:sz w:val="24"/>
                <w:u w:val="none" w:color="auto"/>
              </w:rPr>
              <w:t>根据《国家危险废物名录》（2025</w:t>
            </w:r>
            <w:r>
              <w:rPr>
                <w:rFonts w:hint="default" w:ascii="Times New Roman" w:hAnsi="Times New Roman" w:cs="Times New Roman"/>
                <w:sz w:val="24"/>
                <w:u w:val="none" w:color="auto"/>
                <w:lang w:val="en-US" w:eastAsia="zh-CN"/>
              </w:rPr>
              <w:t>年版</w:t>
            </w:r>
            <w:r>
              <w:rPr>
                <w:rFonts w:hint="default" w:ascii="Times New Roman" w:hAnsi="Times New Roman" w:cs="Times New Roman"/>
                <w:sz w:val="24"/>
                <w:u w:val="none" w:color="auto"/>
              </w:rPr>
              <w:t>）</w:t>
            </w:r>
            <w:r>
              <w:rPr>
                <w:rFonts w:hint="default" w:ascii="Times New Roman" w:hAnsi="Times New Roman" w:cs="Times New Roman"/>
                <w:sz w:val="24"/>
                <w:u w:val="none" w:color="auto"/>
                <w:lang w:eastAsia="zh-CN"/>
              </w:rPr>
              <w:t>，</w:t>
            </w:r>
            <w:r>
              <w:rPr>
                <w:rFonts w:hint="default" w:ascii="Times New Roman" w:hAnsi="Times New Roman" w:cs="Times New Roman"/>
                <w:bCs/>
                <w:color w:val="000000"/>
                <w:sz w:val="24"/>
                <w:u w:val="none" w:color="auto"/>
                <w:lang w:val="en-US" w:eastAsia="zh-CN"/>
              </w:rPr>
              <w:t>其</w:t>
            </w:r>
            <w:r>
              <w:rPr>
                <w:rFonts w:hint="default" w:ascii="Times New Roman" w:hAnsi="Times New Roman" w:cs="Times New Roman"/>
                <w:bCs/>
                <w:color w:val="000000"/>
                <w:sz w:val="24"/>
                <w:u w:val="none" w:color="auto"/>
              </w:rPr>
              <w:t>危废类别：HW49其他废物，废物代码：</w:t>
            </w:r>
            <w:r>
              <w:rPr>
                <w:rFonts w:hint="eastAsia" w:ascii="Times New Roman" w:hAnsi="Times New Roman" w:cs="Times New Roman"/>
                <w:bCs/>
                <w:color w:val="000000"/>
                <w:sz w:val="24"/>
                <w:u w:val="none" w:color="auto"/>
                <w:lang w:val="en-US" w:eastAsia="zh-CN"/>
              </w:rPr>
              <w:t>900</w:t>
            </w:r>
            <w:r>
              <w:rPr>
                <w:rFonts w:hint="default" w:ascii="Times New Roman" w:hAnsi="Times New Roman" w:cs="Times New Roman"/>
                <w:bCs/>
                <w:color w:val="000000"/>
                <w:sz w:val="24"/>
                <w:u w:val="none" w:color="auto"/>
                <w:lang w:val="en-US" w:eastAsia="zh-CN"/>
              </w:rPr>
              <w:t>-</w:t>
            </w:r>
            <w:r>
              <w:rPr>
                <w:rFonts w:hint="eastAsia" w:ascii="Times New Roman" w:hAnsi="Times New Roman" w:cs="Times New Roman"/>
                <w:bCs/>
                <w:color w:val="000000"/>
                <w:sz w:val="24"/>
                <w:u w:val="none" w:color="auto"/>
                <w:lang w:val="en-US" w:eastAsia="zh-CN"/>
              </w:rPr>
              <w:t>047</w:t>
            </w:r>
            <w:r>
              <w:rPr>
                <w:rFonts w:hint="default" w:ascii="Times New Roman" w:hAnsi="Times New Roman" w:cs="Times New Roman"/>
                <w:bCs/>
                <w:color w:val="000000"/>
                <w:sz w:val="24"/>
                <w:u w:val="none" w:color="auto"/>
                <w:lang w:val="en-US" w:eastAsia="zh-CN"/>
              </w:rPr>
              <w:t>-49，</w:t>
            </w:r>
            <w:r>
              <w:rPr>
                <w:rFonts w:hint="eastAsia" w:ascii="Times New Roman" w:hAnsi="Times New Roman" w:cs="Times New Roman"/>
                <w:bCs/>
                <w:color w:val="000000"/>
                <w:sz w:val="24"/>
                <w:u w:val="none" w:color="auto"/>
                <w:lang w:val="en-US" w:eastAsia="zh-CN"/>
              </w:rPr>
              <w:t>检测废液桶装后暂存于危废暂存间，</w:t>
            </w:r>
            <w:r>
              <w:rPr>
                <w:rFonts w:hint="default" w:ascii="Times New Roman" w:hAnsi="Times New Roman" w:cs="Times New Roman"/>
                <w:sz w:val="24"/>
                <w:u w:val="none" w:color="auto"/>
              </w:rPr>
              <w:t>定期委托有资质单位处</w:t>
            </w:r>
            <w:r>
              <w:rPr>
                <w:rFonts w:hint="eastAsia"/>
                <w:sz w:val="24"/>
                <w:u w:val="none" w:color="auto"/>
              </w:rPr>
              <w:t>置。</w:t>
            </w:r>
          </w:p>
          <w:p w14:paraId="611A1E6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Times New Roman" w:hAnsi="Times New Roman" w:eastAsia="宋体" w:cs="Times New Roman"/>
                <w:bCs/>
                <w:color w:val="000000"/>
                <w:sz w:val="24"/>
                <w:u w:val="none" w:color="auto"/>
                <w:lang w:val="en-US" w:eastAsia="zh-CN"/>
              </w:rPr>
            </w:pPr>
            <w:r>
              <w:rPr>
                <w:rFonts w:hint="eastAsia" w:ascii="Times New Roman" w:hAnsi="Times New Roman" w:eastAsia="宋体" w:cs="Times New Roman"/>
                <w:bCs/>
                <w:color w:val="000000"/>
                <w:sz w:val="24"/>
                <w:u w:val="none" w:color="auto"/>
                <w:lang w:val="en-US" w:eastAsia="zh-CN"/>
              </w:rPr>
              <w:t>本项目危险废物情况汇总见下表。</w:t>
            </w:r>
          </w:p>
          <w:p w14:paraId="6842D58A">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imes New Roman" w:hAnsi="Times New Roman" w:eastAsia="宋体" w:cs="Times New Roman"/>
                <w:b/>
                <w:sz w:val="24"/>
                <w:u w:val="none" w:color="auto"/>
                <w:lang w:val="en-US" w:eastAsia="zh-CN"/>
              </w:rPr>
            </w:pPr>
          </w:p>
          <w:p w14:paraId="2CD2D428">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imes New Roman" w:hAnsi="Times New Roman" w:eastAsia="宋体" w:cs="Times New Roman"/>
                <w:b/>
                <w:sz w:val="24"/>
                <w:u w:val="none" w:color="auto"/>
                <w:lang w:val="en-US" w:eastAsia="zh-CN"/>
              </w:rPr>
            </w:pPr>
          </w:p>
          <w:p w14:paraId="5F3345FD">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imes New Roman" w:hAnsi="Times New Roman" w:eastAsia="宋体" w:cs="Times New Roman"/>
                <w:b/>
                <w:sz w:val="24"/>
                <w:u w:val="none" w:color="auto"/>
                <w:lang w:val="en-US" w:eastAsia="zh-CN"/>
              </w:rPr>
            </w:pPr>
          </w:p>
          <w:p w14:paraId="6A5FFB42">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imes New Roman" w:hAnsi="Times New Roman" w:eastAsia="宋体" w:cs="Times New Roman"/>
                <w:b/>
                <w:sz w:val="24"/>
                <w:u w:val="none" w:color="auto"/>
                <w:lang w:val="en-US" w:eastAsia="zh-CN"/>
              </w:rPr>
            </w:pPr>
            <w:r>
              <w:rPr>
                <w:rFonts w:hint="eastAsia" w:ascii="Times New Roman" w:hAnsi="Times New Roman" w:eastAsia="宋体" w:cs="Times New Roman"/>
                <w:b/>
                <w:sz w:val="24"/>
                <w:u w:val="none" w:color="auto"/>
                <w:lang w:val="en-US" w:eastAsia="zh-CN"/>
              </w:rPr>
              <w:t>表4-</w:t>
            </w:r>
            <w:r>
              <w:rPr>
                <w:rFonts w:hint="eastAsia" w:cs="Times New Roman"/>
                <w:b/>
                <w:sz w:val="24"/>
                <w:u w:val="none" w:color="auto"/>
                <w:lang w:val="en-US" w:eastAsia="zh-CN"/>
              </w:rPr>
              <w:t>25</w:t>
            </w:r>
            <w:r>
              <w:rPr>
                <w:rFonts w:hint="eastAsia" w:ascii="Times New Roman" w:hAnsi="Times New Roman" w:eastAsia="宋体" w:cs="Times New Roman"/>
                <w:b/>
                <w:sz w:val="24"/>
                <w:u w:val="none" w:color="auto"/>
                <w:lang w:val="en-US" w:eastAsia="zh-CN"/>
              </w:rPr>
              <w:t xml:space="preserve"> </w:t>
            </w:r>
            <w:r>
              <w:rPr>
                <w:rFonts w:hint="eastAsia" w:cs="Times New Roman"/>
                <w:b/>
                <w:sz w:val="24"/>
                <w:u w:val="none" w:color="auto"/>
                <w:lang w:val="en-US" w:eastAsia="zh-CN"/>
              </w:rPr>
              <w:t xml:space="preserve">  </w:t>
            </w:r>
            <w:r>
              <w:rPr>
                <w:rFonts w:hint="eastAsia" w:ascii="Times New Roman" w:hAnsi="Times New Roman" w:eastAsia="宋体" w:cs="Times New Roman"/>
                <w:b/>
                <w:sz w:val="24"/>
                <w:u w:val="none" w:color="auto"/>
                <w:lang w:val="en-US" w:eastAsia="zh-CN"/>
              </w:rPr>
              <w:t xml:space="preserve"> 本项目危险废物汇总表</w:t>
            </w:r>
          </w:p>
          <w:tbl>
            <w:tblPr>
              <w:tblStyle w:val="32"/>
              <w:tblW w:w="7555"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09"/>
              <w:gridCol w:w="493"/>
              <w:gridCol w:w="839"/>
              <w:gridCol w:w="1250"/>
              <w:gridCol w:w="584"/>
              <w:gridCol w:w="636"/>
              <w:gridCol w:w="732"/>
              <w:gridCol w:w="868"/>
              <w:gridCol w:w="439"/>
              <w:gridCol w:w="601"/>
              <w:gridCol w:w="704"/>
            </w:tblGrid>
            <w:tr w14:paraId="0FB8724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409" w:type="dxa"/>
                  <w:tcBorders>
                    <w:bottom w:val="single" w:color="000000" w:sz="8" w:space="0"/>
                    <w:tl2br w:val="nil"/>
                    <w:tr2bl w:val="nil"/>
                  </w:tcBorders>
                  <w:noWrap w:val="0"/>
                  <w:vAlign w:val="center"/>
                </w:tcPr>
                <w:p w14:paraId="01F9E008">
                  <w:pPr>
                    <w:adjustRightInd w:val="0"/>
                    <w:snapToGrid w:val="0"/>
                    <w:jc w:val="center"/>
                    <w:rPr>
                      <w:rFonts w:hint="eastAsia" w:eastAsia="宋体"/>
                      <w:b/>
                      <w:color w:val="000000"/>
                      <w:sz w:val="21"/>
                      <w:szCs w:val="21"/>
                      <w:u w:val="none" w:color="auto"/>
                      <w:lang w:eastAsia="zh-CN"/>
                    </w:rPr>
                  </w:pPr>
                  <w:r>
                    <w:rPr>
                      <w:rFonts w:hint="eastAsia"/>
                      <w:b/>
                      <w:color w:val="000000"/>
                      <w:sz w:val="21"/>
                      <w:szCs w:val="21"/>
                      <w:u w:val="none" w:color="auto"/>
                      <w:lang w:val="en-US" w:eastAsia="zh-CN"/>
                    </w:rPr>
                    <w:t>序号</w:t>
                  </w:r>
                </w:p>
              </w:tc>
              <w:tc>
                <w:tcPr>
                  <w:tcW w:w="493" w:type="dxa"/>
                  <w:tcBorders>
                    <w:bottom w:val="single" w:color="000000" w:sz="8" w:space="0"/>
                    <w:tl2br w:val="nil"/>
                    <w:tr2bl w:val="nil"/>
                  </w:tcBorders>
                  <w:noWrap w:val="0"/>
                  <w:vAlign w:val="center"/>
                </w:tcPr>
                <w:p w14:paraId="326F58C1">
                  <w:pPr>
                    <w:adjustRightInd w:val="0"/>
                    <w:snapToGrid w:val="0"/>
                    <w:jc w:val="center"/>
                    <w:rPr>
                      <w:b/>
                      <w:color w:val="000000"/>
                      <w:sz w:val="21"/>
                      <w:szCs w:val="21"/>
                      <w:u w:val="none" w:color="auto"/>
                    </w:rPr>
                  </w:pPr>
                  <w:r>
                    <w:rPr>
                      <w:b/>
                      <w:color w:val="000000"/>
                      <w:sz w:val="21"/>
                      <w:szCs w:val="21"/>
                      <w:u w:val="none" w:color="auto"/>
                    </w:rPr>
                    <w:t>名称</w:t>
                  </w:r>
                </w:p>
              </w:tc>
              <w:tc>
                <w:tcPr>
                  <w:tcW w:w="839" w:type="dxa"/>
                  <w:tcBorders>
                    <w:bottom w:val="single" w:color="000000" w:sz="8" w:space="0"/>
                    <w:tl2br w:val="nil"/>
                    <w:tr2bl w:val="nil"/>
                  </w:tcBorders>
                  <w:noWrap w:val="0"/>
                  <w:vAlign w:val="center"/>
                </w:tcPr>
                <w:p w14:paraId="2D5E2954">
                  <w:pPr>
                    <w:adjustRightInd w:val="0"/>
                    <w:snapToGrid w:val="0"/>
                    <w:jc w:val="center"/>
                    <w:rPr>
                      <w:b/>
                      <w:color w:val="000000"/>
                      <w:sz w:val="21"/>
                      <w:szCs w:val="21"/>
                      <w:u w:val="none" w:color="auto"/>
                    </w:rPr>
                  </w:pPr>
                  <w:r>
                    <w:rPr>
                      <w:b/>
                      <w:color w:val="000000"/>
                      <w:sz w:val="21"/>
                      <w:szCs w:val="21"/>
                      <w:u w:val="none" w:color="auto"/>
                    </w:rPr>
                    <w:t>危险废物类别</w:t>
                  </w:r>
                </w:p>
              </w:tc>
              <w:tc>
                <w:tcPr>
                  <w:tcW w:w="1250" w:type="dxa"/>
                  <w:tcBorders>
                    <w:bottom w:val="single" w:color="000000" w:sz="8" w:space="0"/>
                    <w:tl2br w:val="nil"/>
                    <w:tr2bl w:val="nil"/>
                  </w:tcBorders>
                  <w:noWrap w:val="0"/>
                  <w:vAlign w:val="center"/>
                </w:tcPr>
                <w:p w14:paraId="10930A42">
                  <w:pPr>
                    <w:adjustRightInd w:val="0"/>
                    <w:snapToGrid w:val="0"/>
                    <w:jc w:val="center"/>
                    <w:rPr>
                      <w:b/>
                      <w:color w:val="000000"/>
                      <w:sz w:val="21"/>
                      <w:szCs w:val="21"/>
                      <w:u w:val="none" w:color="auto"/>
                    </w:rPr>
                  </w:pPr>
                  <w:r>
                    <w:rPr>
                      <w:b/>
                      <w:color w:val="000000"/>
                      <w:sz w:val="21"/>
                      <w:szCs w:val="21"/>
                      <w:u w:val="none" w:color="auto"/>
                    </w:rPr>
                    <w:t>危险废物代码</w:t>
                  </w:r>
                </w:p>
              </w:tc>
              <w:tc>
                <w:tcPr>
                  <w:tcW w:w="584" w:type="dxa"/>
                  <w:tcBorders>
                    <w:bottom w:val="single" w:color="000000" w:sz="8" w:space="0"/>
                    <w:tl2br w:val="nil"/>
                    <w:tr2bl w:val="nil"/>
                  </w:tcBorders>
                  <w:noWrap w:val="0"/>
                  <w:vAlign w:val="center"/>
                </w:tcPr>
                <w:p w14:paraId="038BB259">
                  <w:pPr>
                    <w:adjustRightInd w:val="0"/>
                    <w:snapToGrid w:val="0"/>
                    <w:jc w:val="center"/>
                    <w:rPr>
                      <w:rFonts w:hint="eastAsia"/>
                      <w:b/>
                      <w:color w:val="000000"/>
                      <w:sz w:val="21"/>
                      <w:szCs w:val="21"/>
                      <w:u w:val="none" w:color="auto"/>
                    </w:rPr>
                  </w:pPr>
                  <w:r>
                    <w:rPr>
                      <w:rFonts w:hint="eastAsia"/>
                      <w:b/>
                      <w:color w:val="000000"/>
                      <w:sz w:val="21"/>
                      <w:szCs w:val="21"/>
                      <w:u w:val="none" w:color="auto"/>
                    </w:rPr>
                    <w:t>物理性状</w:t>
                  </w:r>
                </w:p>
              </w:tc>
              <w:tc>
                <w:tcPr>
                  <w:tcW w:w="636" w:type="dxa"/>
                  <w:tcBorders>
                    <w:bottom w:val="single" w:color="000000" w:sz="8" w:space="0"/>
                    <w:tl2br w:val="nil"/>
                    <w:tr2bl w:val="nil"/>
                  </w:tcBorders>
                  <w:noWrap w:val="0"/>
                  <w:vAlign w:val="center"/>
                </w:tcPr>
                <w:p w14:paraId="49104628">
                  <w:pPr>
                    <w:adjustRightInd w:val="0"/>
                    <w:snapToGrid w:val="0"/>
                    <w:jc w:val="center"/>
                    <w:rPr>
                      <w:rFonts w:hint="eastAsia" w:eastAsia="宋体"/>
                      <w:b/>
                      <w:color w:val="000000"/>
                      <w:sz w:val="21"/>
                      <w:szCs w:val="21"/>
                      <w:u w:val="none" w:color="auto"/>
                      <w:lang w:eastAsia="zh-CN"/>
                    </w:rPr>
                  </w:pPr>
                  <w:r>
                    <w:rPr>
                      <w:b/>
                      <w:color w:val="000000"/>
                      <w:sz w:val="21"/>
                      <w:szCs w:val="21"/>
                      <w:u w:val="none" w:color="auto"/>
                    </w:rPr>
                    <w:t>产生量</w:t>
                  </w:r>
                </w:p>
              </w:tc>
              <w:tc>
                <w:tcPr>
                  <w:tcW w:w="732" w:type="dxa"/>
                  <w:tcBorders>
                    <w:bottom w:val="single" w:color="000000" w:sz="8" w:space="0"/>
                    <w:tl2br w:val="nil"/>
                    <w:tr2bl w:val="nil"/>
                  </w:tcBorders>
                  <w:noWrap w:val="0"/>
                  <w:vAlign w:val="center"/>
                </w:tcPr>
                <w:p w14:paraId="3039B1DB">
                  <w:pPr>
                    <w:adjustRightInd w:val="0"/>
                    <w:snapToGrid w:val="0"/>
                    <w:jc w:val="center"/>
                    <w:rPr>
                      <w:rFonts w:hint="default" w:eastAsia="宋体"/>
                      <w:b/>
                      <w:color w:val="000000"/>
                      <w:sz w:val="21"/>
                      <w:szCs w:val="21"/>
                      <w:u w:val="none" w:color="auto"/>
                      <w:lang w:val="en-US" w:eastAsia="zh-CN"/>
                    </w:rPr>
                  </w:pPr>
                  <w:r>
                    <w:rPr>
                      <w:rFonts w:hint="eastAsia"/>
                      <w:b/>
                      <w:color w:val="000000"/>
                      <w:sz w:val="21"/>
                      <w:szCs w:val="21"/>
                      <w:u w:val="none" w:color="auto"/>
                      <w:lang w:val="en-US" w:eastAsia="zh-CN"/>
                    </w:rPr>
                    <w:t>产生工序及装置</w:t>
                  </w:r>
                </w:p>
              </w:tc>
              <w:tc>
                <w:tcPr>
                  <w:tcW w:w="868" w:type="dxa"/>
                  <w:tcBorders>
                    <w:bottom w:val="single" w:color="000000" w:sz="8" w:space="0"/>
                    <w:tl2br w:val="nil"/>
                    <w:tr2bl w:val="nil"/>
                  </w:tcBorders>
                  <w:noWrap w:val="0"/>
                  <w:vAlign w:val="center"/>
                </w:tcPr>
                <w:p w14:paraId="0D9402B1">
                  <w:pPr>
                    <w:adjustRightInd w:val="0"/>
                    <w:snapToGrid w:val="0"/>
                    <w:jc w:val="center"/>
                    <w:rPr>
                      <w:b/>
                      <w:color w:val="000000"/>
                      <w:sz w:val="21"/>
                      <w:szCs w:val="21"/>
                      <w:u w:val="none" w:color="auto"/>
                    </w:rPr>
                  </w:pPr>
                  <w:r>
                    <w:rPr>
                      <w:rFonts w:hint="eastAsia"/>
                      <w:b/>
                      <w:color w:val="000000"/>
                      <w:sz w:val="21"/>
                      <w:szCs w:val="21"/>
                      <w:u w:val="none" w:color="auto"/>
                    </w:rPr>
                    <w:t>主要有毒有害物质名称</w:t>
                  </w:r>
                </w:p>
              </w:tc>
              <w:tc>
                <w:tcPr>
                  <w:tcW w:w="439" w:type="dxa"/>
                  <w:tcBorders>
                    <w:bottom w:val="single" w:color="000000" w:sz="8" w:space="0"/>
                    <w:tl2br w:val="nil"/>
                    <w:tr2bl w:val="nil"/>
                  </w:tcBorders>
                  <w:noWrap w:val="0"/>
                  <w:vAlign w:val="center"/>
                </w:tcPr>
                <w:p w14:paraId="6F85A77A">
                  <w:pPr>
                    <w:adjustRightInd w:val="0"/>
                    <w:snapToGrid w:val="0"/>
                    <w:jc w:val="center"/>
                    <w:rPr>
                      <w:rFonts w:hint="eastAsia" w:eastAsia="宋体"/>
                      <w:b/>
                      <w:color w:val="000000"/>
                      <w:sz w:val="21"/>
                      <w:szCs w:val="21"/>
                      <w:u w:val="none" w:color="auto"/>
                      <w:lang w:val="en-US" w:eastAsia="zh-CN"/>
                    </w:rPr>
                  </w:pPr>
                  <w:r>
                    <w:rPr>
                      <w:rFonts w:hint="eastAsia"/>
                      <w:b/>
                      <w:color w:val="000000"/>
                      <w:sz w:val="21"/>
                      <w:szCs w:val="21"/>
                      <w:u w:val="none" w:color="auto"/>
                      <w:lang w:val="en-US" w:eastAsia="zh-CN"/>
                    </w:rPr>
                    <w:t>产废周期</w:t>
                  </w:r>
                </w:p>
              </w:tc>
              <w:tc>
                <w:tcPr>
                  <w:tcW w:w="601" w:type="dxa"/>
                  <w:tcBorders>
                    <w:bottom w:val="single" w:color="000000" w:sz="8" w:space="0"/>
                    <w:tl2br w:val="nil"/>
                    <w:tr2bl w:val="nil"/>
                  </w:tcBorders>
                  <w:noWrap w:val="0"/>
                  <w:vAlign w:val="center"/>
                </w:tcPr>
                <w:p w14:paraId="722F8EDC">
                  <w:pPr>
                    <w:adjustRightInd w:val="0"/>
                    <w:snapToGrid w:val="0"/>
                    <w:jc w:val="center"/>
                    <w:rPr>
                      <w:b/>
                      <w:color w:val="000000"/>
                      <w:sz w:val="21"/>
                      <w:szCs w:val="21"/>
                      <w:u w:val="none" w:color="auto"/>
                    </w:rPr>
                  </w:pPr>
                  <w:r>
                    <w:rPr>
                      <w:b/>
                      <w:color w:val="000000"/>
                      <w:sz w:val="21"/>
                      <w:szCs w:val="21"/>
                      <w:u w:val="none" w:color="auto"/>
                    </w:rPr>
                    <w:t>危险特性</w:t>
                  </w:r>
                </w:p>
              </w:tc>
              <w:tc>
                <w:tcPr>
                  <w:tcW w:w="704" w:type="dxa"/>
                  <w:tcBorders>
                    <w:bottom w:val="single" w:color="000000" w:sz="8" w:space="0"/>
                    <w:tl2br w:val="nil"/>
                    <w:tr2bl w:val="nil"/>
                  </w:tcBorders>
                  <w:noWrap w:val="0"/>
                  <w:vAlign w:val="center"/>
                </w:tcPr>
                <w:p w14:paraId="04A48222">
                  <w:pPr>
                    <w:adjustRightInd w:val="0"/>
                    <w:snapToGrid w:val="0"/>
                    <w:jc w:val="center"/>
                    <w:rPr>
                      <w:rFonts w:hint="default" w:eastAsia="宋体"/>
                      <w:b/>
                      <w:color w:val="000000"/>
                      <w:sz w:val="21"/>
                      <w:szCs w:val="21"/>
                      <w:u w:val="none" w:color="auto"/>
                      <w:lang w:val="en-US" w:eastAsia="zh-CN"/>
                    </w:rPr>
                  </w:pPr>
                  <w:r>
                    <w:rPr>
                      <w:rFonts w:hint="eastAsia"/>
                      <w:b/>
                      <w:color w:val="000000"/>
                      <w:sz w:val="21"/>
                      <w:szCs w:val="21"/>
                      <w:u w:val="none" w:color="auto"/>
                      <w:lang w:val="en-US" w:eastAsia="zh-CN"/>
                    </w:rPr>
                    <w:t>污染防治措施</w:t>
                  </w:r>
                </w:p>
              </w:tc>
            </w:tr>
            <w:tr w14:paraId="01F4D4D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409" w:type="dxa"/>
                  <w:tcBorders>
                    <w:top w:val="single" w:color="000000" w:sz="8" w:space="0"/>
                    <w:tl2br w:val="nil"/>
                    <w:tr2bl w:val="nil"/>
                  </w:tcBorders>
                  <w:noWrap w:val="0"/>
                  <w:vAlign w:val="center"/>
                </w:tcPr>
                <w:p w14:paraId="298942DC">
                  <w:pPr>
                    <w:adjustRightInd w:val="0"/>
                    <w:snapToGrid w:val="0"/>
                    <w:jc w:val="center"/>
                    <w:rPr>
                      <w:rFonts w:hint="eastAsia" w:eastAsia="宋体"/>
                      <w:bCs/>
                      <w:color w:val="000000"/>
                      <w:sz w:val="21"/>
                      <w:szCs w:val="21"/>
                      <w:u w:val="none" w:color="auto"/>
                      <w:lang w:val="en-US" w:eastAsia="zh-CN"/>
                    </w:rPr>
                  </w:pPr>
                  <w:r>
                    <w:rPr>
                      <w:rFonts w:hint="eastAsia"/>
                      <w:bCs/>
                      <w:color w:val="000000"/>
                      <w:sz w:val="21"/>
                      <w:szCs w:val="21"/>
                      <w:u w:val="none" w:color="auto"/>
                      <w:lang w:val="en-US" w:eastAsia="zh-CN"/>
                    </w:rPr>
                    <w:t>1</w:t>
                  </w:r>
                </w:p>
              </w:tc>
              <w:tc>
                <w:tcPr>
                  <w:tcW w:w="493" w:type="dxa"/>
                  <w:tcBorders>
                    <w:top w:val="single" w:color="000000" w:sz="8" w:space="0"/>
                    <w:tl2br w:val="nil"/>
                    <w:tr2bl w:val="nil"/>
                  </w:tcBorders>
                  <w:noWrap w:val="0"/>
                  <w:vAlign w:val="center"/>
                </w:tcPr>
                <w:p w14:paraId="190A9F08">
                  <w:pPr>
                    <w:adjustRightInd w:val="0"/>
                    <w:snapToGrid w:val="0"/>
                    <w:jc w:val="center"/>
                    <w:rPr>
                      <w:rFonts w:hint="default" w:eastAsia="宋体"/>
                      <w:bCs/>
                      <w:color w:val="000000"/>
                      <w:sz w:val="21"/>
                      <w:szCs w:val="21"/>
                      <w:u w:val="none" w:color="auto"/>
                      <w:lang w:val="en-US" w:eastAsia="zh-CN"/>
                    </w:rPr>
                  </w:pPr>
                  <w:r>
                    <w:rPr>
                      <w:rFonts w:hint="eastAsia"/>
                      <w:bCs/>
                      <w:color w:val="000000"/>
                      <w:sz w:val="21"/>
                      <w:szCs w:val="21"/>
                      <w:u w:val="none" w:color="auto"/>
                      <w:lang w:val="en-US" w:eastAsia="zh-CN"/>
                    </w:rPr>
                    <w:t>废机油</w:t>
                  </w:r>
                </w:p>
              </w:tc>
              <w:tc>
                <w:tcPr>
                  <w:tcW w:w="839" w:type="dxa"/>
                  <w:tcBorders>
                    <w:top w:val="single" w:color="000000" w:sz="8" w:space="0"/>
                    <w:tl2br w:val="nil"/>
                    <w:tr2bl w:val="nil"/>
                  </w:tcBorders>
                  <w:noWrap w:val="0"/>
                  <w:vAlign w:val="center"/>
                </w:tcPr>
                <w:p w14:paraId="53149568">
                  <w:pPr>
                    <w:adjustRightInd w:val="0"/>
                    <w:snapToGrid w:val="0"/>
                    <w:jc w:val="center"/>
                    <w:rPr>
                      <w:rFonts w:hint="default" w:ascii="Times New Roman" w:hAnsi="Times New Roman" w:eastAsia="宋体" w:cs="Times New Roman"/>
                      <w:color w:val="000000"/>
                      <w:sz w:val="21"/>
                      <w:szCs w:val="21"/>
                      <w:u w:val="none" w:color="auto"/>
                      <w:lang w:val="en-US"/>
                    </w:rPr>
                  </w:pPr>
                  <w:r>
                    <w:rPr>
                      <w:rFonts w:hint="eastAsia" w:ascii="Times New Roman" w:hAnsi="Times New Roman" w:eastAsia="宋体" w:cs="Times New Roman"/>
                      <w:color w:val="000000"/>
                      <w:sz w:val="21"/>
                      <w:szCs w:val="21"/>
                      <w:u w:val="none" w:color="auto"/>
                      <w:lang w:val="en-US" w:eastAsia="zh-CN"/>
                    </w:rPr>
                    <w:t>HW</w:t>
                  </w:r>
                  <w:r>
                    <w:rPr>
                      <w:rFonts w:hint="eastAsia" w:cs="Times New Roman"/>
                      <w:color w:val="000000"/>
                      <w:sz w:val="21"/>
                      <w:szCs w:val="21"/>
                      <w:u w:val="none" w:color="auto"/>
                      <w:lang w:val="en-US" w:eastAsia="zh-CN"/>
                    </w:rPr>
                    <w:t>08</w:t>
                  </w:r>
                </w:p>
              </w:tc>
              <w:tc>
                <w:tcPr>
                  <w:tcW w:w="1250" w:type="dxa"/>
                  <w:tcBorders>
                    <w:top w:val="single" w:color="000000" w:sz="8" w:space="0"/>
                    <w:tl2br w:val="nil"/>
                    <w:tr2bl w:val="nil"/>
                  </w:tcBorders>
                  <w:noWrap w:val="0"/>
                  <w:vAlign w:val="center"/>
                </w:tcPr>
                <w:p w14:paraId="3F098CDC">
                  <w:pPr>
                    <w:adjustRightInd w:val="0"/>
                    <w:snapToGrid w:val="0"/>
                    <w:jc w:val="center"/>
                    <w:rPr>
                      <w:rFonts w:hint="default" w:ascii="Times New Roman" w:hAnsi="Times New Roman" w:eastAsia="宋体" w:cs="Times New Roman"/>
                      <w:color w:val="000000"/>
                      <w:sz w:val="21"/>
                      <w:szCs w:val="21"/>
                      <w:u w:val="none" w:color="auto"/>
                      <w:lang w:val="en-US"/>
                    </w:rPr>
                  </w:pPr>
                  <w:r>
                    <w:rPr>
                      <w:rFonts w:hint="eastAsia" w:ascii="Times New Roman" w:hAnsi="Times New Roman" w:eastAsia="宋体" w:cs="Times New Roman"/>
                      <w:color w:val="000000"/>
                      <w:sz w:val="21"/>
                      <w:szCs w:val="21"/>
                      <w:u w:val="none" w:color="auto"/>
                      <w:lang w:val="en-US" w:eastAsia="zh-CN"/>
                    </w:rPr>
                    <w:t>900-</w:t>
                  </w:r>
                  <w:r>
                    <w:rPr>
                      <w:rFonts w:hint="eastAsia" w:cs="Times New Roman"/>
                      <w:color w:val="000000"/>
                      <w:sz w:val="21"/>
                      <w:szCs w:val="21"/>
                      <w:u w:val="none" w:color="auto"/>
                      <w:lang w:val="en-US" w:eastAsia="zh-CN"/>
                    </w:rPr>
                    <w:t>214</w:t>
                  </w:r>
                  <w:r>
                    <w:rPr>
                      <w:rFonts w:hint="eastAsia" w:ascii="Times New Roman" w:hAnsi="Times New Roman" w:eastAsia="宋体" w:cs="Times New Roman"/>
                      <w:color w:val="000000"/>
                      <w:sz w:val="21"/>
                      <w:szCs w:val="21"/>
                      <w:u w:val="none" w:color="auto"/>
                      <w:lang w:val="en-US" w:eastAsia="zh-CN"/>
                    </w:rPr>
                    <w:t>-</w:t>
                  </w:r>
                  <w:r>
                    <w:rPr>
                      <w:rFonts w:hint="eastAsia" w:cs="Times New Roman"/>
                      <w:color w:val="000000"/>
                      <w:sz w:val="21"/>
                      <w:szCs w:val="21"/>
                      <w:u w:val="none" w:color="auto"/>
                      <w:lang w:val="en-US" w:eastAsia="zh-CN"/>
                    </w:rPr>
                    <w:t>08</w:t>
                  </w:r>
                </w:p>
              </w:tc>
              <w:tc>
                <w:tcPr>
                  <w:tcW w:w="584" w:type="dxa"/>
                  <w:tcBorders>
                    <w:top w:val="single" w:color="000000" w:sz="8" w:space="0"/>
                    <w:tl2br w:val="nil"/>
                    <w:tr2bl w:val="nil"/>
                  </w:tcBorders>
                  <w:noWrap w:val="0"/>
                  <w:vAlign w:val="center"/>
                </w:tcPr>
                <w:p w14:paraId="0E793EE8">
                  <w:pPr>
                    <w:adjustRightInd w:val="0"/>
                    <w:snapToGrid w:val="0"/>
                    <w:jc w:val="center"/>
                    <w:rPr>
                      <w:rFonts w:hint="eastAsia" w:eastAsia="宋体"/>
                      <w:bCs/>
                      <w:color w:val="000000"/>
                      <w:sz w:val="21"/>
                      <w:szCs w:val="21"/>
                      <w:u w:val="none" w:color="auto"/>
                      <w:lang w:eastAsia="zh-CN"/>
                    </w:rPr>
                  </w:pPr>
                  <w:r>
                    <w:rPr>
                      <w:rFonts w:hint="eastAsia"/>
                      <w:bCs/>
                      <w:color w:val="000000"/>
                      <w:sz w:val="21"/>
                      <w:szCs w:val="21"/>
                      <w:u w:val="none" w:color="auto"/>
                      <w:lang w:val="en-US" w:eastAsia="zh-CN"/>
                    </w:rPr>
                    <w:t>液态</w:t>
                  </w:r>
                </w:p>
              </w:tc>
              <w:tc>
                <w:tcPr>
                  <w:tcW w:w="636" w:type="dxa"/>
                  <w:tcBorders>
                    <w:top w:val="single" w:color="000000" w:sz="8" w:space="0"/>
                    <w:tl2br w:val="nil"/>
                    <w:tr2bl w:val="nil"/>
                  </w:tcBorders>
                  <w:noWrap w:val="0"/>
                  <w:vAlign w:val="center"/>
                </w:tcPr>
                <w:p w14:paraId="0E592658">
                  <w:pPr>
                    <w:adjustRightInd w:val="0"/>
                    <w:snapToGrid w:val="0"/>
                    <w:jc w:val="center"/>
                    <w:rPr>
                      <w:rFonts w:hint="default" w:eastAsia="宋体"/>
                      <w:bCs/>
                      <w:color w:val="000000"/>
                      <w:sz w:val="21"/>
                      <w:szCs w:val="21"/>
                      <w:u w:val="none" w:color="auto"/>
                      <w:lang w:val="en-US" w:eastAsia="zh-CN"/>
                    </w:rPr>
                  </w:pPr>
                  <w:r>
                    <w:rPr>
                      <w:rFonts w:hint="eastAsia"/>
                      <w:bCs/>
                      <w:color w:val="000000"/>
                      <w:sz w:val="21"/>
                      <w:szCs w:val="21"/>
                      <w:u w:val="none" w:color="auto"/>
                      <w:lang w:val="en-US" w:eastAsia="zh-CN"/>
                    </w:rPr>
                    <w:t>0.5t/a</w:t>
                  </w:r>
                </w:p>
              </w:tc>
              <w:tc>
                <w:tcPr>
                  <w:tcW w:w="732" w:type="dxa"/>
                  <w:tcBorders>
                    <w:top w:val="single" w:color="000000" w:sz="8" w:space="0"/>
                    <w:tl2br w:val="nil"/>
                    <w:tr2bl w:val="nil"/>
                  </w:tcBorders>
                  <w:noWrap w:val="0"/>
                  <w:vAlign w:val="center"/>
                </w:tcPr>
                <w:p w14:paraId="711B5506">
                  <w:pPr>
                    <w:adjustRightInd w:val="0"/>
                    <w:snapToGrid w:val="0"/>
                    <w:jc w:val="center"/>
                    <w:rPr>
                      <w:rFonts w:hint="default"/>
                      <w:bCs/>
                      <w:color w:val="000000"/>
                      <w:sz w:val="21"/>
                      <w:szCs w:val="21"/>
                      <w:u w:val="none" w:color="auto"/>
                      <w:lang w:val="en-US" w:eastAsia="zh-CN"/>
                    </w:rPr>
                  </w:pPr>
                  <w:r>
                    <w:rPr>
                      <w:rFonts w:hint="eastAsia"/>
                      <w:bCs/>
                      <w:color w:val="000000"/>
                      <w:sz w:val="21"/>
                      <w:szCs w:val="21"/>
                      <w:u w:val="none" w:color="auto"/>
                      <w:lang w:val="en-US" w:eastAsia="zh-CN"/>
                    </w:rPr>
                    <w:t>设备维护</w:t>
                  </w:r>
                </w:p>
              </w:tc>
              <w:tc>
                <w:tcPr>
                  <w:tcW w:w="868" w:type="dxa"/>
                  <w:tcBorders>
                    <w:top w:val="single" w:color="000000" w:sz="8" w:space="0"/>
                    <w:tl2br w:val="nil"/>
                    <w:tr2bl w:val="nil"/>
                  </w:tcBorders>
                  <w:noWrap w:val="0"/>
                  <w:vAlign w:val="center"/>
                </w:tcPr>
                <w:p w14:paraId="40055F79">
                  <w:pPr>
                    <w:adjustRightInd w:val="0"/>
                    <w:snapToGrid w:val="0"/>
                    <w:jc w:val="center"/>
                    <w:rPr>
                      <w:bCs/>
                      <w:color w:val="000000"/>
                      <w:sz w:val="21"/>
                      <w:szCs w:val="21"/>
                      <w:u w:val="none" w:color="auto"/>
                    </w:rPr>
                  </w:pPr>
                  <w:r>
                    <w:rPr>
                      <w:color w:val="000000"/>
                      <w:sz w:val="21"/>
                      <w:szCs w:val="21"/>
                      <w:u w:val="none" w:color="auto"/>
                    </w:rPr>
                    <w:t>有机物</w:t>
                  </w:r>
                </w:p>
              </w:tc>
              <w:tc>
                <w:tcPr>
                  <w:tcW w:w="439" w:type="dxa"/>
                  <w:tcBorders>
                    <w:top w:val="single" w:color="000000" w:sz="8" w:space="0"/>
                    <w:tl2br w:val="nil"/>
                    <w:tr2bl w:val="nil"/>
                  </w:tcBorders>
                  <w:noWrap w:val="0"/>
                  <w:vAlign w:val="center"/>
                </w:tcPr>
                <w:p w14:paraId="07EDEB44">
                  <w:pPr>
                    <w:adjustRightInd w:val="0"/>
                    <w:snapToGrid w:val="0"/>
                    <w:jc w:val="center"/>
                    <w:rPr>
                      <w:rFonts w:hint="default" w:eastAsia="宋体"/>
                      <w:color w:val="000000"/>
                      <w:sz w:val="21"/>
                      <w:szCs w:val="21"/>
                      <w:u w:val="none" w:color="auto"/>
                      <w:lang w:val="en-US" w:eastAsia="zh-CN"/>
                    </w:rPr>
                  </w:pPr>
                  <w:r>
                    <w:rPr>
                      <w:rFonts w:hint="eastAsia"/>
                      <w:color w:val="000000"/>
                      <w:sz w:val="21"/>
                      <w:szCs w:val="21"/>
                      <w:u w:val="none" w:color="auto"/>
                      <w:lang w:val="en-US" w:eastAsia="zh-CN"/>
                    </w:rPr>
                    <w:t>1年</w:t>
                  </w:r>
                </w:p>
              </w:tc>
              <w:tc>
                <w:tcPr>
                  <w:tcW w:w="601" w:type="dxa"/>
                  <w:tcBorders>
                    <w:top w:val="single" w:color="000000" w:sz="8" w:space="0"/>
                    <w:tl2br w:val="nil"/>
                    <w:tr2bl w:val="nil"/>
                  </w:tcBorders>
                  <w:noWrap w:val="0"/>
                  <w:vAlign w:val="center"/>
                </w:tcPr>
                <w:p w14:paraId="5A653A2B">
                  <w:pPr>
                    <w:keepNext w:val="0"/>
                    <w:keepLines w:val="0"/>
                    <w:widowControl/>
                    <w:suppressLineNumbers w:val="0"/>
                    <w:jc w:val="center"/>
                    <w:rPr>
                      <w:bCs/>
                      <w:color w:val="000000"/>
                      <w:sz w:val="21"/>
                      <w:szCs w:val="21"/>
                      <w:u w:val="none" w:color="auto"/>
                    </w:rPr>
                  </w:pPr>
                  <w:r>
                    <w:rPr>
                      <w:rFonts w:hint="default" w:ascii="Times New Roman" w:hAnsi="Times New Roman" w:eastAsia="宋体" w:cs="Times New Roman"/>
                      <w:color w:val="000000"/>
                      <w:kern w:val="0"/>
                      <w:sz w:val="21"/>
                      <w:szCs w:val="21"/>
                      <w:u w:val="none" w:color="auto"/>
                      <w:lang w:val="en-US" w:eastAsia="zh-CN" w:bidi="ar"/>
                    </w:rPr>
                    <w:t>T/In</w:t>
                  </w:r>
                </w:p>
              </w:tc>
              <w:tc>
                <w:tcPr>
                  <w:tcW w:w="704" w:type="dxa"/>
                  <w:vMerge w:val="restart"/>
                  <w:tcBorders>
                    <w:top w:val="single" w:color="000000" w:sz="8" w:space="0"/>
                    <w:tl2br w:val="nil"/>
                    <w:tr2bl w:val="nil"/>
                  </w:tcBorders>
                  <w:noWrap w:val="0"/>
                  <w:vAlign w:val="center"/>
                </w:tcPr>
                <w:p w14:paraId="38C323DF">
                  <w:pPr>
                    <w:adjustRightInd w:val="0"/>
                    <w:snapToGrid w:val="0"/>
                    <w:jc w:val="both"/>
                    <w:rPr>
                      <w:rFonts w:hint="eastAsia"/>
                      <w:bCs/>
                      <w:color w:val="000000"/>
                      <w:sz w:val="21"/>
                      <w:szCs w:val="21"/>
                      <w:u w:val="none" w:color="auto"/>
                    </w:rPr>
                  </w:pPr>
                  <w:r>
                    <w:rPr>
                      <w:rFonts w:ascii="宋体" w:hAnsi="宋体" w:eastAsia="宋体" w:cs="宋体"/>
                      <w:sz w:val="21"/>
                      <w:szCs w:val="21"/>
                      <w:u w:val="none" w:color="auto"/>
                    </w:rPr>
                    <w:t>在危废暂存间内暂存</w:t>
                  </w:r>
                  <w:r>
                    <w:rPr>
                      <w:rFonts w:hint="eastAsia" w:ascii="宋体" w:hAnsi="宋体" w:eastAsia="宋体" w:cs="宋体"/>
                      <w:sz w:val="21"/>
                      <w:szCs w:val="21"/>
                      <w:u w:val="none" w:color="auto"/>
                      <w:lang w:eastAsia="zh-CN"/>
                    </w:rPr>
                    <w:t>，</w:t>
                  </w:r>
                  <w:r>
                    <w:rPr>
                      <w:rFonts w:ascii="宋体" w:hAnsi="宋体" w:eastAsia="宋体" w:cs="宋体"/>
                      <w:sz w:val="21"/>
                      <w:szCs w:val="21"/>
                      <w:u w:val="none" w:color="auto"/>
                    </w:rPr>
                    <w:t>定期委托有资质单位处置</w:t>
                  </w:r>
                </w:p>
              </w:tc>
            </w:tr>
            <w:tr w14:paraId="76B56D2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409" w:type="dxa"/>
                  <w:tcBorders>
                    <w:tl2br w:val="nil"/>
                    <w:tr2bl w:val="nil"/>
                  </w:tcBorders>
                  <w:noWrap w:val="0"/>
                  <w:vAlign w:val="center"/>
                </w:tcPr>
                <w:p w14:paraId="0F886B5F">
                  <w:pPr>
                    <w:adjustRightInd w:val="0"/>
                    <w:snapToGrid w:val="0"/>
                    <w:jc w:val="center"/>
                    <w:rPr>
                      <w:rFonts w:hint="eastAsia" w:eastAsia="宋体"/>
                      <w:bCs/>
                      <w:color w:val="000000"/>
                      <w:sz w:val="21"/>
                      <w:szCs w:val="21"/>
                      <w:u w:val="none" w:color="auto"/>
                      <w:lang w:val="en-US" w:eastAsia="zh-CN"/>
                    </w:rPr>
                  </w:pPr>
                  <w:r>
                    <w:rPr>
                      <w:rFonts w:hint="eastAsia"/>
                      <w:bCs/>
                      <w:color w:val="000000"/>
                      <w:sz w:val="21"/>
                      <w:szCs w:val="21"/>
                      <w:u w:val="none" w:color="auto"/>
                      <w:lang w:val="en-US" w:eastAsia="zh-CN"/>
                    </w:rPr>
                    <w:t>2</w:t>
                  </w:r>
                </w:p>
              </w:tc>
              <w:tc>
                <w:tcPr>
                  <w:tcW w:w="493" w:type="dxa"/>
                  <w:tcBorders>
                    <w:tl2br w:val="nil"/>
                    <w:tr2bl w:val="nil"/>
                  </w:tcBorders>
                  <w:noWrap w:val="0"/>
                  <w:vAlign w:val="center"/>
                </w:tcPr>
                <w:p w14:paraId="6AE4963A">
                  <w:pPr>
                    <w:adjustRightInd w:val="0"/>
                    <w:snapToGrid w:val="0"/>
                    <w:jc w:val="center"/>
                    <w:rPr>
                      <w:rFonts w:hint="default" w:eastAsia="宋体"/>
                      <w:color w:val="000000"/>
                      <w:sz w:val="21"/>
                      <w:szCs w:val="21"/>
                      <w:u w:val="none" w:color="auto"/>
                      <w:lang w:val="en-US" w:eastAsia="zh-CN"/>
                    </w:rPr>
                  </w:pPr>
                  <w:r>
                    <w:rPr>
                      <w:rFonts w:hint="eastAsia"/>
                      <w:color w:val="000000"/>
                      <w:sz w:val="21"/>
                      <w:szCs w:val="21"/>
                      <w:u w:val="none" w:color="auto"/>
                      <w:lang w:val="en-US" w:eastAsia="zh-CN"/>
                    </w:rPr>
                    <w:t>废活性炭</w:t>
                  </w:r>
                </w:p>
              </w:tc>
              <w:tc>
                <w:tcPr>
                  <w:tcW w:w="839" w:type="dxa"/>
                  <w:tcBorders>
                    <w:tl2br w:val="nil"/>
                    <w:tr2bl w:val="nil"/>
                  </w:tcBorders>
                  <w:noWrap w:val="0"/>
                  <w:vAlign w:val="center"/>
                </w:tcPr>
                <w:p w14:paraId="5589ADC7">
                  <w:pPr>
                    <w:adjustRightInd w:val="0"/>
                    <w:snapToGrid w:val="0"/>
                    <w:jc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HW</w:t>
                  </w:r>
                  <w:r>
                    <w:rPr>
                      <w:rFonts w:hint="eastAsia" w:cs="Times New Roman"/>
                      <w:color w:val="000000"/>
                      <w:sz w:val="21"/>
                      <w:szCs w:val="21"/>
                      <w:u w:val="none" w:color="auto"/>
                      <w:lang w:val="en-US" w:eastAsia="zh-CN"/>
                    </w:rPr>
                    <w:t>49</w:t>
                  </w:r>
                </w:p>
              </w:tc>
              <w:tc>
                <w:tcPr>
                  <w:tcW w:w="1250" w:type="dxa"/>
                  <w:tcBorders>
                    <w:tl2br w:val="nil"/>
                    <w:tr2bl w:val="nil"/>
                  </w:tcBorders>
                  <w:noWrap w:val="0"/>
                  <w:vAlign w:val="center"/>
                </w:tcPr>
                <w:p w14:paraId="4EB177BC">
                  <w:pPr>
                    <w:adjustRightInd w:val="0"/>
                    <w:snapToGrid w:val="0"/>
                    <w:jc w:val="center"/>
                    <w:rPr>
                      <w:rFonts w:hint="default" w:ascii="Times New Roman" w:hAnsi="Times New Roman" w:eastAsia="宋体" w:cs="Times New Roman"/>
                      <w:color w:val="000000"/>
                      <w:sz w:val="21"/>
                      <w:szCs w:val="21"/>
                      <w:u w:val="none" w:color="auto"/>
                      <w:lang w:val="en-US" w:eastAsia="zh-CN"/>
                    </w:rPr>
                  </w:pPr>
                  <w:r>
                    <w:rPr>
                      <w:rFonts w:hint="eastAsia" w:cs="Times New Roman"/>
                      <w:color w:val="000000"/>
                      <w:sz w:val="21"/>
                      <w:szCs w:val="21"/>
                      <w:u w:val="none" w:color="auto"/>
                      <w:lang w:val="en-US" w:eastAsia="zh-CN"/>
                    </w:rPr>
                    <w:t>900-039-49</w:t>
                  </w:r>
                </w:p>
              </w:tc>
              <w:tc>
                <w:tcPr>
                  <w:tcW w:w="584" w:type="dxa"/>
                  <w:tcBorders>
                    <w:tl2br w:val="nil"/>
                    <w:tr2bl w:val="nil"/>
                  </w:tcBorders>
                  <w:noWrap w:val="0"/>
                  <w:vAlign w:val="center"/>
                </w:tcPr>
                <w:p w14:paraId="4D2DDCA0">
                  <w:pPr>
                    <w:adjustRightInd w:val="0"/>
                    <w:snapToGrid w:val="0"/>
                    <w:jc w:val="center"/>
                    <w:rPr>
                      <w:bCs/>
                      <w:color w:val="000000"/>
                      <w:sz w:val="21"/>
                      <w:szCs w:val="21"/>
                      <w:u w:val="none" w:color="auto"/>
                    </w:rPr>
                  </w:pPr>
                  <w:r>
                    <w:rPr>
                      <w:bCs/>
                      <w:color w:val="000000"/>
                      <w:sz w:val="21"/>
                      <w:szCs w:val="21"/>
                      <w:u w:val="none" w:color="auto"/>
                    </w:rPr>
                    <w:t>固态</w:t>
                  </w:r>
                </w:p>
              </w:tc>
              <w:tc>
                <w:tcPr>
                  <w:tcW w:w="636" w:type="dxa"/>
                  <w:tcBorders>
                    <w:tl2br w:val="nil"/>
                    <w:tr2bl w:val="nil"/>
                  </w:tcBorders>
                  <w:noWrap w:val="0"/>
                  <w:vAlign w:val="center"/>
                </w:tcPr>
                <w:p w14:paraId="5379C692">
                  <w:pPr>
                    <w:adjustRightInd w:val="0"/>
                    <w:snapToGrid w:val="0"/>
                    <w:jc w:val="center"/>
                    <w:rPr>
                      <w:rFonts w:hint="default" w:eastAsia="宋体"/>
                      <w:color w:val="000000"/>
                      <w:sz w:val="21"/>
                      <w:szCs w:val="21"/>
                      <w:u w:val="none" w:color="auto"/>
                      <w:lang w:val="en-US" w:eastAsia="zh-CN"/>
                    </w:rPr>
                  </w:pPr>
                  <w:r>
                    <w:rPr>
                      <w:rFonts w:hint="eastAsia"/>
                      <w:color w:val="000000"/>
                      <w:sz w:val="21"/>
                      <w:szCs w:val="21"/>
                      <w:u w:val="none" w:color="auto"/>
                      <w:lang w:val="en-US" w:eastAsia="zh-CN"/>
                    </w:rPr>
                    <w:t>2</w:t>
                  </w:r>
                  <w:r>
                    <w:rPr>
                      <w:rFonts w:hint="eastAsia"/>
                      <w:bCs/>
                      <w:color w:val="000000"/>
                      <w:sz w:val="21"/>
                      <w:szCs w:val="21"/>
                      <w:u w:val="none" w:color="auto"/>
                      <w:lang w:val="en-US" w:eastAsia="zh-CN"/>
                    </w:rPr>
                    <w:t>t/a</w:t>
                  </w:r>
                </w:p>
              </w:tc>
              <w:tc>
                <w:tcPr>
                  <w:tcW w:w="732" w:type="dxa"/>
                  <w:tcBorders>
                    <w:tl2br w:val="nil"/>
                    <w:tr2bl w:val="nil"/>
                  </w:tcBorders>
                  <w:noWrap w:val="0"/>
                  <w:vAlign w:val="center"/>
                </w:tcPr>
                <w:p w14:paraId="37BF59D3">
                  <w:pPr>
                    <w:adjustRightInd w:val="0"/>
                    <w:snapToGrid w:val="0"/>
                    <w:jc w:val="center"/>
                    <w:rPr>
                      <w:rFonts w:hint="default" w:eastAsia="宋体"/>
                      <w:color w:val="000000"/>
                      <w:sz w:val="21"/>
                      <w:szCs w:val="21"/>
                      <w:u w:val="none" w:color="auto"/>
                      <w:lang w:val="en-US" w:eastAsia="zh-CN"/>
                    </w:rPr>
                  </w:pPr>
                  <w:r>
                    <w:rPr>
                      <w:rFonts w:hint="eastAsia"/>
                      <w:color w:val="000000"/>
                      <w:sz w:val="21"/>
                      <w:szCs w:val="21"/>
                      <w:u w:val="none" w:color="auto"/>
                      <w:lang w:val="en-US" w:eastAsia="zh-CN"/>
                    </w:rPr>
                    <w:t>废气治理</w:t>
                  </w:r>
                </w:p>
              </w:tc>
              <w:tc>
                <w:tcPr>
                  <w:tcW w:w="868" w:type="dxa"/>
                  <w:tcBorders>
                    <w:tl2br w:val="nil"/>
                    <w:tr2bl w:val="nil"/>
                  </w:tcBorders>
                  <w:noWrap w:val="0"/>
                  <w:vAlign w:val="center"/>
                </w:tcPr>
                <w:p w14:paraId="1DF97BF3">
                  <w:pPr>
                    <w:adjustRightInd w:val="0"/>
                    <w:snapToGrid w:val="0"/>
                    <w:jc w:val="center"/>
                    <w:rPr>
                      <w:rFonts w:hint="eastAsia" w:eastAsia="宋体"/>
                      <w:color w:val="000000"/>
                      <w:sz w:val="21"/>
                      <w:szCs w:val="21"/>
                      <w:u w:val="none" w:color="auto"/>
                      <w:lang w:val="en-US" w:eastAsia="zh-CN"/>
                    </w:rPr>
                  </w:pPr>
                  <w:r>
                    <w:rPr>
                      <w:rFonts w:hint="eastAsia"/>
                      <w:color w:val="000000"/>
                      <w:sz w:val="21"/>
                      <w:szCs w:val="21"/>
                      <w:u w:val="none" w:color="auto"/>
                      <w:lang w:val="en-US" w:eastAsia="zh-CN"/>
                    </w:rPr>
                    <w:t>有机废气</w:t>
                  </w:r>
                </w:p>
              </w:tc>
              <w:tc>
                <w:tcPr>
                  <w:tcW w:w="439" w:type="dxa"/>
                  <w:tcBorders>
                    <w:tl2br w:val="nil"/>
                    <w:tr2bl w:val="nil"/>
                  </w:tcBorders>
                  <w:noWrap w:val="0"/>
                  <w:vAlign w:val="center"/>
                </w:tcPr>
                <w:p w14:paraId="062A215A">
                  <w:pPr>
                    <w:adjustRightInd w:val="0"/>
                    <w:snapToGrid w:val="0"/>
                    <w:jc w:val="center"/>
                    <w:rPr>
                      <w:rFonts w:hint="default"/>
                      <w:color w:val="000000"/>
                      <w:sz w:val="21"/>
                      <w:szCs w:val="21"/>
                      <w:u w:val="none" w:color="auto"/>
                      <w:lang w:val="en-US" w:eastAsia="zh-CN"/>
                    </w:rPr>
                  </w:pPr>
                  <w:r>
                    <w:rPr>
                      <w:rFonts w:hint="eastAsia"/>
                      <w:color w:val="000000"/>
                      <w:sz w:val="21"/>
                      <w:szCs w:val="21"/>
                      <w:u w:val="none" w:color="auto"/>
                      <w:lang w:val="en-US" w:eastAsia="zh-CN"/>
                    </w:rPr>
                    <w:t>1年</w:t>
                  </w:r>
                </w:p>
              </w:tc>
              <w:tc>
                <w:tcPr>
                  <w:tcW w:w="601" w:type="dxa"/>
                  <w:tcBorders>
                    <w:tl2br w:val="nil"/>
                    <w:tr2bl w:val="nil"/>
                  </w:tcBorders>
                  <w:noWrap w:val="0"/>
                  <w:vAlign w:val="center"/>
                </w:tcPr>
                <w:p w14:paraId="3B8C2C31">
                  <w:pPr>
                    <w:adjustRightInd w:val="0"/>
                    <w:snapToGrid w:val="0"/>
                    <w:jc w:val="center"/>
                    <w:rPr>
                      <w:rFonts w:hint="eastAsia"/>
                      <w:bCs/>
                      <w:color w:val="000000"/>
                      <w:sz w:val="21"/>
                      <w:szCs w:val="21"/>
                      <w:u w:val="none" w:color="auto"/>
                    </w:rPr>
                  </w:pPr>
                  <w:r>
                    <w:rPr>
                      <w:rFonts w:hint="default" w:ascii="Times New Roman" w:hAnsi="Times New Roman" w:eastAsia="宋体" w:cs="Times New Roman"/>
                      <w:color w:val="000000"/>
                      <w:kern w:val="0"/>
                      <w:sz w:val="21"/>
                      <w:szCs w:val="21"/>
                      <w:u w:val="none" w:color="auto"/>
                      <w:lang w:val="en-US" w:eastAsia="zh-CN" w:bidi="ar"/>
                    </w:rPr>
                    <w:t>T</w:t>
                  </w:r>
                </w:p>
              </w:tc>
              <w:tc>
                <w:tcPr>
                  <w:tcW w:w="704" w:type="dxa"/>
                  <w:vMerge w:val="continue"/>
                  <w:tcBorders>
                    <w:tl2br w:val="nil"/>
                    <w:tr2bl w:val="nil"/>
                  </w:tcBorders>
                  <w:noWrap w:val="0"/>
                  <w:vAlign w:val="center"/>
                </w:tcPr>
                <w:p w14:paraId="365DA597">
                  <w:pPr>
                    <w:adjustRightInd w:val="0"/>
                    <w:snapToGrid w:val="0"/>
                    <w:jc w:val="center"/>
                    <w:rPr>
                      <w:color w:val="000000"/>
                      <w:sz w:val="21"/>
                      <w:szCs w:val="21"/>
                      <w:u w:val="none" w:color="auto"/>
                    </w:rPr>
                  </w:pPr>
                </w:p>
              </w:tc>
            </w:tr>
            <w:tr w14:paraId="624D10F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409" w:type="dxa"/>
                  <w:tcBorders>
                    <w:tl2br w:val="nil"/>
                    <w:tr2bl w:val="nil"/>
                  </w:tcBorders>
                  <w:noWrap w:val="0"/>
                  <w:vAlign w:val="center"/>
                </w:tcPr>
                <w:p w14:paraId="1B690788">
                  <w:pPr>
                    <w:adjustRightInd w:val="0"/>
                    <w:snapToGrid w:val="0"/>
                    <w:jc w:val="center"/>
                    <w:rPr>
                      <w:rFonts w:hint="default"/>
                      <w:bCs/>
                      <w:color w:val="000000"/>
                      <w:sz w:val="21"/>
                      <w:szCs w:val="21"/>
                      <w:u w:val="none" w:color="auto"/>
                      <w:lang w:val="en-US" w:eastAsia="zh-CN"/>
                    </w:rPr>
                  </w:pPr>
                  <w:r>
                    <w:rPr>
                      <w:rFonts w:hint="eastAsia"/>
                      <w:bCs/>
                      <w:color w:val="000000"/>
                      <w:sz w:val="21"/>
                      <w:szCs w:val="21"/>
                      <w:u w:val="none" w:color="auto"/>
                      <w:lang w:val="en-US" w:eastAsia="zh-CN"/>
                    </w:rPr>
                    <w:t>3</w:t>
                  </w:r>
                </w:p>
              </w:tc>
              <w:tc>
                <w:tcPr>
                  <w:tcW w:w="493" w:type="dxa"/>
                  <w:tcBorders>
                    <w:tl2br w:val="nil"/>
                    <w:tr2bl w:val="nil"/>
                  </w:tcBorders>
                  <w:noWrap w:val="0"/>
                  <w:vAlign w:val="center"/>
                </w:tcPr>
                <w:p w14:paraId="0138CE97">
                  <w:pPr>
                    <w:adjustRightInd w:val="0"/>
                    <w:snapToGrid w:val="0"/>
                    <w:jc w:val="center"/>
                    <w:rPr>
                      <w:rFonts w:hint="default" w:eastAsia="宋体"/>
                      <w:color w:val="000000"/>
                      <w:sz w:val="21"/>
                      <w:szCs w:val="21"/>
                      <w:u w:val="none" w:color="auto"/>
                      <w:lang w:val="en-US" w:eastAsia="zh-CN"/>
                    </w:rPr>
                  </w:pPr>
                  <w:r>
                    <w:rPr>
                      <w:rFonts w:hint="eastAsia"/>
                      <w:color w:val="000000"/>
                      <w:sz w:val="21"/>
                      <w:szCs w:val="21"/>
                      <w:u w:val="none" w:color="auto"/>
                      <w:lang w:val="en-US" w:eastAsia="zh-CN"/>
                    </w:rPr>
                    <w:t>废催化剂</w:t>
                  </w:r>
                </w:p>
              </w:tc>
              <w:tc>
                <w:tcPr>
                  <w:tcW w:w="839" w:type="dxa"/>
                  <w:tcBorders>
                    <w:tl2br w:val="nil"/>
                    <w:tr2bl w:val="nil"/>
                  </w:tcBorders>
                  <w:noWrap w:val="0"/>
                  <w:vAlign w:val="center"/>
                </w:tcPr>
                <w:p w14:paraId="6910E272">
                  <w:pPr>
                    <w:adjustRightInd w:val="0"/>
                    <w:snapToGrid w:val="0"/>
                    <w:jc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HW50</w:t>
                  </w:r>
                </w:p>
              </w:tc>
              <w:tc>
                <w:tcPr>
                  <w:tcW w:w="1250" w:type="dxa"/>
                  <w:tcBorders>
                    <w:tl2br w:val="nil"/>
                    <w:tr2bl w:val="nil"/>
                  </w:tcBorders>
                  <w:noWrap w:val="0"/>
                  <w:vAlign w:val="center"/>
                </w:tcPr>
                <w:p w14:paraId="27CBB3CA">
                  <w:pPr>
                    <w:adjustRightInd w:val="0"/>
                    <w:snapToGrid w:val="0"/>
                    <w:jc w:val="center"/>
                    <w:rPr>
                      <w:rFonts w:hint="default"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772-007-50</w:t>
                  </w:r>
                </w:p>
              </w:tc>
              <w:tc>
                <w:tcPr>
                  <w:tcW w:w="584" w:type="dxa"/>
                  <w:tcBorders>
                    <w:tl2br w:val="nil"/>
                    <w:tr2bl w:val="nil"/>
                  </w:tcBorders>
                  <w:noWrap w:val="0"/>
                  <w:vAlign w:val="center"/>
                </w:tcPr>
                <w:p w14:paraId="51F73D85">
                  <w:pPr>
                    <w:adjustRightInd w:val="0"/>
                    <w:snapToGrid w:val="0"/>
                    <w:jc w:val="center"/>
                    <w:rPr>
                      <w:rFonts w:hint="default"/>
                      <w:bCs/>
                      <w:color w:val="000000"/>
                      <w:sz w:val="21"/>
                      <w:szCs w:val="21"/>
                      <w:u w:val="none" w:color="auto"/>
                      <w:lang w:val="en-US" w:eastAsia="zh-CN"/>
                    </w:rPr>
                  </w:pPr>
                  <w:r>
                    <w:rPr>
                      <w:bCs/>
                      <w:color w:val="000000"/>
                      <w:sz w:val="21"/>
                      <w:szCs w:val="21"/>
                      <w:u w:val="none" w:color="auto"/>
                    </w:rPr>
                    <w:t>固态</w:t>
                  </w:r>
                </w:p>
              </w:tc>
              <w:tc>
                <w:tcPr>
                  <w:tcW w:w="636" w:type="dxa"/>
                  <w:tcBorders>
                    <w:tl2br w:val="nil"/>
                    <w:tr2bl w:val="nil"/>
                  </w:tcBorders>
                  <w:noWrap w:val="0"/>
                  <w:vAlign w:val="center"/>
                </w:tcPr>
                <w:p w14:paraId="53F5E8F3">
                  <w:pPr>
                    <w:adjustRightInd w:val="0"/>
                    <w:snapToGrid w:val="0"/>
                    <w:jc w:val="center"/>
                    <w:rPr>
                      <w:rFonts w:hint="default" w:eastAsia="宋体"/>
                      <w:color w:val="000000"/>
                      <w:sz w:val="21"/>
                      <w:szCs w:val="21"/>
                      <w:u w:val="none" w:color="auto"/>
                      <w:lang w:val="en-US" w:eastAsia="zh-CN"/>
                    </w:rPr>
                  </w:pPr>
                  <w:r>
                    <w:rPr>
                      <w:rFonts w:hint="eastAsia"/>
                      <w:color w:val="000000"/>
                      <w:sz w:val="21"/>
                      <w:szCs w:val="21"/>
                      <w:u w:val="none" w:color="auto"/>
                      <w:lang w:val="en-US" w:eastAsia="zh-CN"/>
                    </w:rPr>
                    <w:t>0.1t/a</w:t>
                  </w:r>
                </w:p>
              </w:tc>
              <w:tc>
                <w:tcPr>
                  <w:tcW w:w="732" w:type="dxa"/>
                  <w:tcBorders>
                    <w:tl2br w:val="nil"/>
                    <w:tr2bl w:val="nil"/>
                  </w:tcBorders>
                  <w:noWrap w:val="0"/>
                  <w:vAlign w:val="center"/>
                </w:tcPr>
                <w:p w14:paraId="3DF6E66F">
                  <w:pPr>
                    <w:adjustRightInd w:val="0"/>
                    <w:snapToGrid w:val="0"/>
                    <w:jc w:val="center"/>
                    <w:rPr>
                      <w:rFonts w:hint="eastAsia"/>
                      <w:color w:val="000000"/>
                      <w:sz w:val="21"/>
                      <w:szCs w:val="21"/>
                      <w:u w:val="none" w:color="auto"/>
                      <w:lang w:val="en-US" w:eastAsia="zh-CN"/>
                    </w:rPr>
                  </w:pPr>
                  <w:r>
                    <w:rPr>
                      <w:rFonts w:hint="eastAsia"/>
                      <w:color w:val="000000"/>
                      <w:sz w:val="21"/>
                      <w:szCs w:val="21"/>
                      <w:u w:val="none" w:color="auto"/>
                      <w:lang w:val="en-US" w:eastAsia="zh-CN"/>
                    </w:rPr>
                    <w:t>废气治理</w:t>
                  </w:r>
                </w:p>
              </w:tc>
              <w:tc>
                <w:tcPr>
                  <w:tcW w:w="868" w:type="dxa"/>
                  <w:tcBorders>
                    <w:tl2br w:val="nil"/>
                    <w:tr2bl w:val="nil"/>
                  </w:tcBorders>
                  <w:noWrap w:val="0"/>
                  <w:vAlign w:val="center"/>
                </w:tcPr>
                <w:p w14:paraId="7F2A92D6">
                  <w:pPr>
                    <w:adjustRightInd w:val="0"/>
                    <w:snapToGrid w:val="0"/>
                    <w:jc w:val="center"/>
                    <w:rPr>
                      <w:rFonts w:hint="default"/>
                      <w:color w:val="000000"/>
                      <w:kern w:val="0"/>
                      <w:sz w:val="21"/>
                      <w:szCs w:val="21"/>
                      <w:highlight w:val="none"/>
                      <w:u w:val="none" w:color="auto"/>
                      <w:lang w:val="en-US" w:eastAsia="zh-CN"/>
                    </w:rPr>
                  </w:pPr>
                  <w:r>
                    <w:rPr>
                      <w:rFonts w:hint="eastAsia"/>
                      <w:color w:val="000000"/>
                      <w:kern w:val="0"/>
                      <w:sz w:val="21"/>
                      <w:szCs w:val="21"/>
                      <w:highlight w:val="none"/>
                      <w:u w:val="none" w:color="auto"/>
                      <w:lang w:val="en-US" w:eastAsia="zh-CN"/>
                    </w:rPr>
                    <w:t>重金属</w:t>
                  </w:r>
                </w:p>
              </w:tc>
              <w:tc>
                <w:tcPr>
                  <w:tcW w:w="439" w:type="dxa"/>
                  <w:tcBorders>
                    <w:tl2br w:val="nil"/>
                    <w:tr2bl w:val="nil"/>
                  </w:tcBorders>
                  <w:noWrap w:val="0"/>
                  <w:vAlign w:val="center"/>
                </w:tcPr>
                <w:p w14:paraId="5DE5F195">
                  <w:pPr>
                    <w:adjustRightInd w:val="0"/>
                    <w:snapToGrid w:val="0"/>
                    <w:jc w:val="center"/>
                    <w:rPr>
                      <w:rFonts w:hint="default"/>
                      <w:color w:val="000000"/>
                      <w:kern w:val="0"/>
                      <w:sz w:val="21"/>
                      <w:szCs w:val="21"/>
                      <w:highlight w:val="none"/>
                      <w:u w:val="none" w:color="auto"/>
                      <w:lang w:val="en-US" w:eastAsia="zh-CN"/>
                    </w:rPr>
                  </w:pPr>
                  <w:r>
                    <w:rPr>
                      <w:rFonts w:hint="eastAsia"/>
                      <w:color w:val="000000"/>
                      <w:kern w:val="0"/>
                      <w:sz w:val="21"/>
                      <w:szCs w:val="21"/>
                      <w:highlight w:val="none"/>
                      <w:u w:val="none" w:color="auto"/>
                      <w:lang w:val="en-US" w:eastAsia="zh-CN"/>
                    </w:rPr>
                    <w:t>3年</w:t>
                  </w:r>
                </w:p>
              </w:tc>
              <w:tc>
                <w:tcPr>
                  <w:tcW w:w="601" w:type="dxa"/>
                  <w:tcBorders>
                    <w:tl2br w:val="nil"/>
                    <w:tr2bl w:val="nil"/>
                  </w:tcBorders>
                  <w:noWrap w:val="0"/>
                  <w:vAlign w:val="center"/>
                </w:tcPr>
                <w:p w14:paraId="4FDF20F1">
                  <w:pPr>
                    <w:adjustRightInd w:val="0"/>
                    <w:snapToGrid w:val="0"/>
                    <w:jc w:val="center"/>
                    <w:rPr>
                      <w:rFonts w:hint="eastAsia"/>
                      <w:bCs/>
                      <w:color w:val="000000"/>
                      <w:sz w:val="21"/>
                      <w:szCs w:val="21"/>
                      <w:u w:val="none" w:color="auto"/>
                      <w:lang w:val="en-US" w:eastAsia="zh-CN"/>
                    </w:rPr>
                  </w:pPr>
                  <w:r>
                    <w:rPr>
                      <w:rFonts w:hint="default" w:ascii="Times New Roman" w:hAnsi="Times New Roman" w:eastAsia="宋体" w:cs="Times New Roman"/>
                      <w:color w:val="000000"/>
                      <w:kern w:val="0"/>
                      <w:sz w:val="21"/>
                      <w:szCs w:val="21"/>
                      <w:u w:val="none" w:color="auto"/>
                      <w:lang w:val="en-US" w:eastAsia="zh-CN" w:bidi="ar"/>
                    </w:rPr>
                    <w:t>T</w:t>
                  </w:r>
                </w:p>
              </w:tc>
              <w:tc>
                <w:tcPr>
                  <w:tcW w:w="704" w:type="dxa"/>
                  <w:vMerge w:val="continue"/>
                  <w:tcBorders>
                    <w:tl2br w:val="nil"/>
                    <w:tr2bl w:val="nil"/>
                  </w:tcBorders>
                  <w:noWrap w:val="0"/>
                  <w:vAlign w:val="center"/>
                </w:tcPr>
                <w:p w14:paraId="51EC6337">
                  <w:pPr>
                    <w:adjustRightInd w:val="0"/>
                    <w:snapToGrid w:val="0"/>
                    <w:jc w:val="center"/>
                    <w:rPr>
                      <w:color w:val="000000"/>
                      <w:sz w:val="21"/>
                      <w:szCs w:val="21"/>
                      <w:u w:val="none" w:color="auto"/>
                    </w:rPr>
                  </w:pPr>
                </w:p>
              </w:tc>
            </w:tr>
            <w:tr w14:paraId="0116C27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409" w:type="dxa"/>
                  <w:tcBorders>
                    <w:tl2br w:val="nil"/>
                    <w:tr2bl w:val="nil"/>
                  </w:tcBorders>
                  <w:noWrap w:val="0"/>
                  <w:vAlign w:val="center"/>
                </w:tcPr>
                <w:p w14:paraId="185AD796">
                  <w:pPr>
                    <w:adjustRightInd w:val="0"/>
                    <w:snapToGrid w:val="0"/>
                    <w:jc w:val="center"/>
                    <w:rPr>
                      <w:rFonts w:hint="default"/>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4</w:t>
                  </w:r>
                </w:p>
              </w:tc>
              <w:tc>
                <w:tcPr>
                  <w:tcW w:w="493" w:type="dxa"/>
                  <w:tcBorders>
                    <w:tl2br w:val="nil"/>
                    <w:tr2bl w:val="nil"/>
                  </w:tcBorders>
                  <w:noWrap w:val="0"/>
                  <w:vAlign w:val="center"/>
                </w:tcPr>
                <w:p w14:paraId="2384546A">
                  <w:pPr>
                    <w:adjustRightInd w:val="0"/>
                    <w:snapToGrid w:val="0"/>
                    <w:jc w:val="center"/>
                    <w:rPr>
                      <w:rFonts w:hint="default"/>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沉淀污泥</w:t>
                  </w:r>
                </w:p>
              </w:tc>
              <w:tc>
                <w:tcPr>
                  <w:tcW w:w="839" w:type="dxa"/>
                  <w:tcBorders>
                    <w:tl2br w:val="nil"/>
                    <w:tr2bl w:val="nil"/>
                  </w:tcBorders>
                  <w:noWrap w:val="0"/>
                  <w:vAlign w:val="center"/>
                </w:tcPr>
                <w:p w14:paraId="17E47DEE">
                  <w:pPr>
                    <w:adjustRightInd w:val="0"/>
                    <w:snapToGrid w:val="0"/>
                    <w:jc w:val="cente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HW</w:t>
                  </w:r>
                  <w:r>
                    <w:rPr>
                      <w:rFonts w:hint="eastAsia" w:cs="Times New Roman"/>
                      <w:color w:val="000000" w:themeColor="text1"/>
                      <w:sz w:val="21"/>
                      <w:szCs w:val="21"/>
                      <w:u w:val="none" w:color="auto"/>
                      <w:lang w:val="en-US" w:eastAsia="zh-CN"/>
                      <w14:textFill>
                        <w14:solidFill>
                          <w14:schemeClr w14:val="tx1"/>
                        </w14:solidFill>
                      </w14:textFill>
                    </w:rPr>
                    <w:t>49</w:t>
                  </w:r>
                </w:p>
              </w:tc>
              <w:tc>
                <w:tcPr>
                  <w:tcW w:w="1250" w:type="dxa"/>
                  <w:tcBorders>
                    <w:tl2br w:val="nil"/>
                    <w:tr2bl w:val="nil"/>
                  </w:tcBorders>
                  <w:noWrap w:val="0"/>
                  <w:vAlign w:val="center"/>
                </w:tcPr>
                <w:p w14:paraId="78A727C9">
                  <w:pPr>
                    <w:adjustRightInd w:val="0"/>
                    <w:snapToGrid w:val="0"/>
                    <w:jc w:val="cente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772-006-49</w:t>
                  </w:r>
                </w:p>
              </w:tc>
              <w:tc>
                <w:tcPr>
                  <w:tcW w:w="584" w:type="dxa"/>
                  <w:tcBorders>
                    <w:tl2br w:val="nil"/>
                    <w:tr2bl w:val="nil"/>
                  </w:tcBorders>
                  <w:noWrap w:val="0"/>
                  <w:vAlign w:val="center"/>
                </w:tcPr>
                <w:p w14:paraId="570F5201">
                  <w:pPr>
                    <w:adjustRightInd w:val="0"/>
                    <w:snapToGrid w:val="0"/>
                    <w:jc w:val="center"/>
                    <w:rPr>
                      <w:rFonts w:hint="eastAsia"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半固态</w:t>
                  </w:r>
                </w:p>
              </w:tc>
              <w:tc>
                <w:tcPr>
                  <w:tcW w:w="636" w:type="dxa"/>
                  <w:tcBorders>
                    <w:tl2br w:val="nil"/>
                    <w:tr2bl w:val="nil"/>
                  </w:tcBorders>
                  <w:noWrap w:val="0"/>
                  <w:vAlign w:val="center"/>
                </w:tcPr>
                <w:p w14:paraId="013CB52D">
                  <w:pPr>
                    <w:adjustRightInd w:val="0"/>
                    <w:snapToGrid w:val="0"/>
                    <w:jc w:val="center"/>
                    <w:rPr>
                      <w:rFonts w:hint="default"/>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0.2t/a</w:t>
                  </w:r>
                </w:p>
              </w:tc>
              <w:tc>
                <w:tcPr>
                  <w:tcW w:w="732" w:type="dxa"/>
                  <w:tcBorders>
                    <w:tl2br w:val="nil"/>
                    <w:tr2bl w:val="nil"/>
                  </w:tcBorders>
                  <w:noWrap w:val="0"/>
                  <w:vAlign w:val="center"/>
                </w:tcPr>
                <w:p w14:paraId="6F37BD88">
                  <w:pPr>
                    <w:adjustRightInd w:val="0"/>
                    <w:snapToGrid w:val="0"/>
                    <w:jc w:val="center"/>
                    <w:rPr>
                      <w:rFonts w:hint="default"/>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沉淀池</w:t>
                  </w:r>
                </w:p>
              </w:tc>
              <w:tc>
                <w:tcPr>
                  <w:tcW w:w="868" w:type="dxa"/>
                  <w:tcBorders>
                    <w:tl2br w:val="nil"/>
                    <w:tr2bl w:val="nil"/>
                  </w:tcBorders>
                  <w:noWrap w:val="0"/>
                  <w:vAlign w:val="center"/>
                </w:tcPr>
                <w:p w14:paraId="437192B8">
                  <w:pPr>
                    <w:adjustRightInd w:val="0"/>
                    <w:snapToGrid w:val="0"/>
                    <w:jc w:val="center"/>
                    <w:rPr>
                      <w:rFonts w:hint="default"/>
                      <w:color w:val="000000" w:themeColor="text1"/>
                      <w:kern w:val="0"/>
                      <w:sz w:val="21"/>
                      <w:szCs w:val="21"/>
                      <w:highlight w:val="none"/>
                      <w:u w:val="none" w:color="auto"/>
                      <w:lang w:val="en-US" w:eastAsia="zh-CN"/>
                      <w14:textFill>
                        <w14:solidFill>
                          <w14:schemeClr w14:val="tx1"/>
                        </w14:solidFill>
                      </w14:textFill>
                    </w:rPr>
                  </w:pPr>
                  <w:r>
                    <w:rPr>
                      <w:rFonts w:hint="eastAsia"/>
                      <w:color w:val="000000" w:themeColor="text1"/>
                      <w:kern w:val="0"/>
                      <w:sz w:val="21"/>
                      <w:szCs w:val="21"/>
                      <w:highlight w:val="none"/>
                      <w:u w:val="none" w:color="auto"/>
                      <w:lang w:val="en-US" w:eastAsia="zh-CN"/>
                      <w14:textFill>
                        <w14:solidFill>
                          <w14:schemeClr w14:val="tx1"/>
                        </w14:solidFill>
                      </w14:textFill>
                    </w:rPr>
                    <w:t>镍、钴等元素</w:t>
                  </w:r>
                </w:p>
              </w:tc>
              <w:tc>
                <w:tcPr>
                  <w:tcW w:w="439" w:type="dxa"/>
                  <w:tcBorders>
                    <w:tl2br w:val="nil"/>
                    <w:tr2bl w:val="nil"/>
                  </w:tcBorders>
                  <w:noWrap w:val="0"/>
                  <w:vAlign w:val="center"/>
                </w:tcPr>
                <w:p w14:paraId="2F945F0B">
                  <w:pPr>
                    <w:adjustRightInd w:val="0"/>
                    <w:snapToGrid w:val="0"/>
                    <w:jc w:val="center"/>
                    <w:rPr>
                      <w:rFonts w:hint="default"/>
                      <w:color w:val="000000" w:themeColor="text1"/>
                      <w:kern w:val="0"/>
                      <w:sz w:val="21"/>
                      <w:szCs w:val="21"/>
                      <w:highlight w:val="none"/>
                      <w:u w:val="none" w:color="auto"/>
                      <w:lang w:val="en-US" w:eastAsia="zh-CN"/>
                      <w14:textFill>
                        <w14:solidFill>
                          <w14:schemeClr w14:val="tx1"/>
                        </w14:solidFill>
                      </w14:textFill>
                    </w:rPr>
                  </w:pPr>
                  <w:r>
                    <w:rPr>
                      <w:rFonts w:hint="eastAsia"/>
                      <w:color w:val="000000" w:themeColor="text1"/>
                      <w:kern w:val="0"/>
                      <w:sz w:val="21"/>
                      <w:szCs w:val="21"/>
                      <w:highlight w:val="none"/>
                      <w:u w:val="none" w:color="auto"/>
                      <w:lang w:val="en-US" w:eastAsia="zh-CN"/>
                      <w14:textFill>
                        <w14:solidFill>
                          <w14:schemeClr w14:val="tx1"/>
                        </w14:solidFill>
                      </w14:textFill>
                    </w:rPr>
                    <w:t>1年</w:t>
                  </w:r>
                </w:p>
              </w:tc>
              <w:tc>
                <w:tcPr>
                  <w:tcW w:w="601" w:type="dxa"/>
                  <w:tcBorders>
                    <w:tl2br w:val="nil"/>
                    <w:tr2bl w:val="nil"/>
                  </w:tcBorders>
                  <w:noWrap w:val="0"/>
                  <w:vAlign w:val="center"/>
                </w:tcPr>
                <w:p w14:paraId="5F510B68">
                  <w:pPr>
                    <w:adjustRightInd w:val="0"/>
                    <w:snapToGrid w:val="0"/>
                    <w:jc w:val="center"/>
                    <w:rPr>
                      <w:rFonts w:hint="default" w:ascii="Times New Roman" w:hAnsi="Times New Roman" w:eastAsia="宋体" w:cs="Times New Roman"/>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u w:val="none" w:color="auto"/>
                      <w:lang w:val="en-US" w:eastAsia="zh-CN" w:bidi="ar"/>
                      <w14:textFill>
                        <w14:solidFill>
                          <w14:schemeClr w14:val="tx1"/>
                        </w14:solidFill>
                      </w14:textFill>
                    </w:rPr>
                    <w:t>T/In</w:t>
                  </w:r>
                </w:p>
              </w:tc>
              <w:tc>
                <w:tcPr>
                  <w:tcW w:w="704" w:type="dxa"/>
                  <w:vMerge w:val="continue"/>
                  <w:tcBorders>
                    <w:tl2br w:val="nil"/>
                    <w:tr2bl w:val="nil"/>
                  </w:tcBorders>
                  <w:noWrap w:val="0"/>
                  <w:vAlign w:val="center"/>
                </w:tcPr>
                <w:p w14:paraId="1E8EA93F">
                  <w:pPr>
                    <w:adjustRightInd w:val="0"/>
                    <w:snapToGrid w:val="0"/>
                    <w:jc w:val="center"/>
                    <w:rPr>
                      <w:color w:val="000000"/>
                      <w:sz w:val="21"/>
                      <w:szCs w:val="21"/>
                      <w:u w:val="none" w:color="auto"/>
                    </w:rPr>
                  </w:pPr>
                </w:p>
              </w:tc>
            </w:tr>
            <w:tr w14:paraId="6FF7A7B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409" w:type="dxa"/>
                  <w:tcBorders>
                    <w:tl2br w:val="nil"/>
                    <w:tr2bl w:val="nil"/>
                  </w:tcBorders>
                  <w:noWrap w:val="0"/>
                  <w:vAlign w:val="center"/>
                </w:tcPr>
                <w:p w14:paraId="762D16B7">
                  <w:pPr>
                    <w:adjustRightInd w:val="0"/>
                    <w:snapToGrid w:val="0"/>
                    <w:jc w:val="center"/>
                    <w:rPr>
                      <w:rFonts w:hint="default"/>
                      <w:bCs/>
                      <w:color w:val="000000"/>
                      <w:sz w:val="21"/>
                      <w:szCs w:val="21"/>
                      <w:u w:val="none" w:color="auto"/>
                      <w:lang w:val="en-US" w:eastAsia="zh-CN"/>
                    </w:rPr>
                  </w:pPr>
                  <w:r>
                    <w:rPr>
                      <w:rFonts w:hint="eastAsia"/>
                      <w:bCs/>
                      <w:color w:val="000000"/>
                      <w:sz w:val="21"/>
                      <w:szCs w:val="21"/>
                      <w:u w:val="none" w:color="auto"/>
                      <w:lang w:val="en-US" w:eastAsia="zh-CN"/>
                    </w:rPr>
                    <w:t>5</w:t>
                  </w:r>
                </w:p>
              </w:tc>
              <w:tc>
                <w:tcPr>
                  <w:tcW w:w="493" w:type="dxa"/>
                  <w:tcBorders>
                    <w:tl2br w:val="nil"/>
                    <w:tr2bl w:val="nil"/>
                  </w:tcBorders>
                  <w:noWrap w:val="0"/>
                  <w:vAlign w:val="center"/>
                </w:tcPr>
                <w:p w14:paraId="25B15B32">
                  <w:pPr>
                    <w:adjustRightInd w:val="0"/>
                    <w:snapToGrid w:val="0"/>
                    <w:jc w:val="center"/>
                    <w:rPr>
                      <w:rFonts w:hint="default"/>
                      <w:color w:val="000000"/>
                      <w:sz w:val="21"/>
                      <w:szCs w:val="21"/>
                      <w:u w:val="none" w:color="auto"/>
                      <w:lang w:val="en-US" w:eastAsia="zh-CN"/>
                    </w:rPr>
                  </w:pPr>
                  <w:r>
                    <w:rPr>
                      <w:rFonts w:hint="eastAsia"/>
                      <w:color w:val="000000"/>
                      <w:sz w:val="21"/>
                      <w:szCs w:val="21"/>
                      <w:u w:val="none" w:color="auto"/>
                      <w:lang w:val="en-US" w:eastAsia="zh-CN"/>
                    </w:rPr>
                    <w:t>检测废液</w:t>
                  </w:r>
                </w:p>
              </w:tc>
              <w:tc>
                <w:tcPr>
                  <w:tcW w:w="839" w:type="dxa"/>
                  <w:tcBorders>
                    <w:tl2br w:val="nil"/>
                    <w:tr2bl w:val="nil"/>
                  </w:tcBorders>
                  <w:noWrap w:val="0"/>
                  <w:vAlign w:val="center"/>
                </w:tcPr>
                <w:p w14:paraId="4E9F775F">
                  <w:pPr>
                    <w:adjustRightInd w:val="0"/>
                    <w:snapToGrid w:val="0"/>
                    <w:jc w:val="center"/>
                    <w:rPr>
                      <w:rFonts w:hint="eastAsia" w:ascii="Times New Roman" w:hAnsi="Times New Roman" w:eastAsia="宋体" w:cs="Times New Roman"/>
                      <w:color w:val="000000"/>
                      <w:sz w:val="21"/>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HW</w:t>
                  </w:r>
                  <w:r>
                    <w:rPr>
                      <w:rFonts w:hint="eastAsia" w:cs="Times New Roman"/>
                      <w:color w:val="000000"/>
                      <w:sz w:val="21"/>
                      <w:szCs w:val="21"/>
                      <w:u w:val="none" w:color="auto"/>
                      <w:lang w:val="en-US" w:eastAsia="zh-CN"/>
                    </w:rPr>
                    <w:t>49</w:t>
                  </w:r>
                </w:p>
              </w:tc>
              <w:tc>
                <w:tcPr>
                  <w:tcW w:w="1250" w:type="dxa"/>
                  <w:tcBorders>
                    <w:tl2br w:val="nil"/>
                    <w:tr2bl w:val="nil"/>
                  </w:tcBorders>
                  <w:noWrap w:val="0"/>
                  <w:vAlign w:val="center"/>
                </w:tcPr>
                <w:p w14:paraId="7EFFF1EF">
                  <w:pPr>
                    <w:adjustRightInd w:val="0"/>
                    <w:snapToGrid w:val="0"/>
                    <w:jc w:val="center"/>
                    <w:rPr>
                      <w:rFonts w:hint="eastAsia" w:cs="Times New Roman"/>
                      <w:color w:val="000000"/>
                      <w:sz w:val="21"/>
                      <w:szCs w:val="21"/>
                      <w:u w:val="none" w:color="auto"/>
                      <w:lang w:val="en-US" w:eastAsia="zh-CN"/>
                    </w:rPr>
                  </w:pPr>
                  <w:r>
                    <w:rPr>
                      <w:rFonts w:hint="eastAsia" w:cs="Times New Roman"/>
                      <w:color w:val="000000"/>
                      <w:sz w:val="21"/>
                      <w:szCs w:val="21"/>
                      <w:u w:val="none" w:color="auto"/>
                      <w:lang w:val="en-US" w:eastAsia="zh-CN"/>
                    </w:rPr>
                    <w:t>900-047-49</w:t>
                  </w:r>
                </w:p>
              </w:tc>
              <w:tc>
                <w:tcPr>
                  <w:tcW w:w="584" w:type="dxa"/>
                  <w:tcBorders>
                    <w:tl2br w:val="nil"/>
                    <w:tr2bl w:val="nil"/>
                  </w:tcBorders>
                  <w:noWrap w:val="0"/>
                  <w:vAlign w:val="center"/>
                </w:tcPr>
                <w:p w14:paraId="70714AC7">
                  <w:pPr>
                    <w:adjustRightInd w:val="0"/>
                    <w:snapToGrid w:val="0"/>
                    <w:jc w:val="center"/>
                    <w:rPr>
                      <w:rFonts w:hint="default"/>
                      <w:bCs/>
                      <w:color w:val="000000"/>
                      <w:sz w:val="21"/>
                      <w:szCs w:val="21"/>
                      <w:u w:val="none" w:color="auto"/>
                      <w:lang w:val="en-US" w:eastAsia="zh-CN"/>
                    </w:rPr>
                  </w:pPr>
                  <w:r>
                    <w:rPr>
                      <w:rFonts w:hint="eastAsia"/>
                      <w:bCs/>
                      <w:color w:val="000000"/>
                      <w:sz w:val="21"/>
                      <w:szCs w:val="21"/>
                      <w:u w:val="none" w:color="auto"/>
                      <w:lang w:val="en-US" w:eastAsia="zh-CN"/>
                    </w:rPr>
                    <w:t>液态</w:t>
                  </w:r>
                </w:p>
              </w:tc>
              <w:tc>
                <w:tcPr>
                  <w:tcW w:w="636" w:type="dxa"/>
                  <w:tcBorders>
                    <w:tl2br w:val="nil"/>
                    <w:tr2bl w:val="nil"/>
                  </w:tcBorders>
                  <w:noWrap w:val="0"/>
                  <w:vAlign w:val="center"/>
                </w:tcPr>
                <w:p w14:paraId="56BFF8C3">
                  <w:pPr>
                    <w:adjustRightInd w:val="0"/>
                    <w:snapToGrid w:val="0"/>
                    <w:jc w:val="center"/>
                    <w:rPr>
                      <w:rFonts w:hint="default"/>
                      <w:color w:val="000000"/>
                      <w:sz w:val="21"/>
                      <w:szCs w:val="21"/>
                      <w:u w:val="none" w:color="auto"/>
                      <w:lang w:val="en-US" w:eastAsia="zh-CN"/>
                    </w:rPr>
                  </w:pPr>
                  <w:r>
                    <w:rPr>
                      <w:rFonts w:hint="eastAsia"/>
                      <w:color w:val="000000"/>
                      <w:sz w:val="21"/>
                      <w:szCs w:val="21"/>
                      <w:u w:val="none" w:color="auto"/>
                      <w:lang w:val="en-US" w:eastAsia="zh-CN"/>
                    </w:rPr>
                    <w:t>0.3t/a</w:t>
                  </w:r>
                </w:p>
              </w:tc>
              <w:tc>
                <w:tcPr>
                  <w:tcW w:w="732" w:type="dxa"/>
                  <w:tcBorders>
                    <w:tl2br w:val="nil"/>
                    <w:tr2bl w:val="nil"/>
                  </w:tcBorders>
                  <w:noWrap w:val="0"/>
                  <w:vAlign w:val="center"/>
                </w:tcPr>
                <w:p w14:paraId="4F191B28">
                  <w:pPr>
                    <w:adjustRightInd w:val="0"/>
                    <w:snapToGrid w:val="0"/>
                    <w:jc w:val="center"/>
                    <w:rPr>
                      <w:rFonts w:hint="default"/>
                      <w:color w:val="000000"/>
                      <w:sz w:val="21"/>
                      <w:szCs w:val="21"/>
                      <w:u w:val="none" w:color="auto"/>
                      <w:lang w:val="en-US" w:eastAsia="zh-CN"/>
                    </w:rPr>
                  </w:pPr>
                  <w:r>
                    <w:rPr>
                      <w:rFonts w:hint="eastAsia"/>
                      <w:color w:val="000000"/>
                      <w:sz w:val="21"/>
                      <w:szCs w:val="21"/>
                      <w:u w:val="none" w:color="auto"/>
                      <w:lang w:val="en-US" w:eastAsia="zh-CN"/>
                    </w:rPr>
                    <w:t>废水在线监测装置</w:t>
                  </w:r>
                </w:p>
              </w:tc>
              <w:tc>
                <w:tcPr>
                  <w:tcW w:w="868" w:type="dxa"/>
                  <w:tcBorders>
                    <w:tl2br w:val="nil"/>
                    <w:tr2bl w:val="nil"/>
                  </w:tcBorders>
                  <w:noWrap w:val="0"/>
                  <w:vAlign w:val="center"/>
                </w:tcPr>
                <w:p w14:paraId="612FC51E">
                  <w:pPr>
                    <w:adjustRightInd w:val="0"/>
                    <w:snapToGrid w:val="0"/>
                    <w:jc w:val="center"/>
                    <w:rPr>
                      <w:rFonts w:hint="default"/>
                      <w:color w:val="000000"/>
                      <w:kern w:val="0"/>
                      <w:sz w:val="21"/>
                      <w:szCs w:val="21"/>
                      <w:highlight w:val="none"/>
                      <w:u w:val="none" w:color="auto"/>
                      <w:lang w:val="en-US" w:eastAsia="zh-CN"/>
                    </w:rPr>
                  </w:pPr>
                  <w:r>
                    <w:rPr>
                      <w:rFonts w:hint="default"/>
                      <w:color w:val="000000"/>
                      <w:kern w:val="0"/>
                      <w:sz w:val="21"/>
                      <w:szCs w:val="21"/>
                      <w:highlight w:val="none"/>
                      <w:u w:val="none" w:color="auto"/>
                      <w:lang w:val="en-US" w:eastAsia="zh-CN"/>
                    </w:rPr>
                    <w:t>重铬酸钾</w:t>
                  </w:r>
                  <w:r>
                    <w:rPr>
                      <w:rFonts w:hint="eastAsia"/>
                      <w:color w:val="000000"/>
                      <w:kern w:val="0"/>
                      <w:sz w:val="21"/>
                      <w:szCs w:val="21"/>
                      <w:highlight w:val="none"/>
                      <w:u w:val="none" w:color="auto"/>
                      <w:lang w:val="en-US" w:eastAsia="zh-CN"/>
                    </w:rPr>
                    <w:t>、酸碱及高浓度氮磷污染物等</w:t>
                  </w:r>
                </w:p>
              </w:tc>
              <w:tc>
                <w:tcPr>
                  <w:tcW w:w="439" w:type="dxa"/>
                  <w:tcBorders>
                    <w:tl2br w:val="nil"/>
                    <w:tr2bl w:val="nil"/>
                  </w:tcBorders>
                  <w:noWrap w:val="0"/>
                  <w:vAlign w:val="center"/>
                </w:tcPr>
                <w:p w14:paraId="70954921">
                  <w:pPr>
                    <w:adjustRightInd w:val="0"/>
                    <w:snapToGrid w:val="0"/>
                    <w:jc w:val="center"/>
                    <w:rPr>
                      <w:rFonts w:hint="eastAsia"/>
                      <w:color w:val="000000"/>
                      <w:kern w:val="0"/>
                      <w:sz w:val="21"/>
                      <w:szCs w:val="21"/>
                      <w:highlight w:val="none"/>
                      <w:u w:val="none" w:color="auto"/>
                      <w:lang w:val="en-US" w:eastAsia="zh-CN"/>
                    </w:rPr>
                  </w:pPr>
                  <w:r>
                    <w:rPr>
                      <w:rFonts w:hint="eastAsia"/>
                      <w:color w:val="000000"/>
                      <w:kern w:val="0"/>
                      <w:sz w:val="21"/>
                      <w:szCs w:val="21"/>
                      <w:highlight w:val="none"/>
                      <w:u w:val="none" w:color="auto"/>
                      <w:lang w:val="en-US" w:eastAsia="zh-CN"/>
                    </w:rPr>
                    <w:t>1年</w:t>
                  </w:r>
                </w:p>
              </w:tc>
              <w:tc>
                <w:tcPr>
                  <w:tcW w:w="601" w:type="dxa"/>
                  <w:tcBorders>
                    <w:tl2br w:val="nil"/>
                    <w:tr2bl w:val="nil"/>
                  </w:tcBorders>
                  <w:noWrap w:val="0"/>
                  <w:vAlign w:val="center"/>
                </w:tcPr>
                <w:p w14:paraId="688D0435">
                  <w:pPr>
                    <w:adjustRightInd w:val="0"/>
                    <w:snapToGrid w:val="0"/>
                    <w:jc w:val="center"/>
                    <w:rPr>
                      <w:rFonts w:hint="default" w:ascii="Times New Roman" w:hAnsi="Times New Roman" w:eastAsia="宋体" w:cs="Times New Roman"/>
                      <w:color w:val="000000"/>
                      <w:kern w:val="0"/>
                      <w:sz w:val="21"/>
                      <w:szCs w:val="21"/>
                      <w:u w:val="none" w:color="auto"/>
                      <w:lang w:val="en-US" w:eastAsia="zh-CN" w:bidi="ar"/>
                    </w:rPr>
                  </w:pPr>
                  <w:r>
                    <w:rPr>
                      <w:rFonts w:hint="default" w:ascii="Times New Roman" w:hAnsi="Times New Roman" w:eastAsia="宋体" w:cs="Times New Roman"/>
                      <w:color w:val="000000"/>
                      <w:kern w:val="0"/>
                      <w:sz w:val="21"/>
                      <w:szCs w:val="21"/>
                      <w:u w:val="none" w:color="auto"/>
                      <w:lang w:val="en-US" w:eastAsia="zh-CN" w:bidi="ar"/>
                    </w:rPr>
                    <w:t>T/C/I/R</w:t>
                  </w:r>
                </w:p>
              </w:tc>
              <w:tc>
                <w:tcPr>
                  <w:tcW w:w="704" w:type="dxa"/>
                  <w:vMerge w:val="continue"/>
                  <w:tcBorders>
                    <w:tl2br w:val="nil"/>
                    <w:tr2bl w:val="nil"/>
                  </w:tcBorders>
                  <w:noWrap w:val="0"/>
                  <w:vAlign w:val="center"/>
                </w:tcPr>
                <w:p w14:paraId="052872F2">
                  <w:pPr>
                    <w:adjustRightInd w:val="0"/>
                    <w:snapToGrid w:val="0"/>
                    <w:jc w:val="center"/>
                    <w:rPr>
                      <w:color w:val="000000"/>
                      <w:sz w:val="21"/>
                      <w:szCs w:val="21"/>
                      <w:u w:val="none" w:color="auto"/>
                    </w:rPr>
                  </w:pPr>
                </w:p>
              </w:tc>
            </w:tr>
          </w:tbl>
          <w:p w14:paraId="17A57FA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sz w:val="24"/>
                <w:u w:val="none" w:color="auto"/>
              </w:rPr>
            </w:pPr>
            <w:r>
              <w:rPr>
                <w:rFonts w:hint="eastAsia"/>
                <w:sz w:val="24"/>
                <w:highlight w:val="none"/>
                <w:u w:val="none" w:color="auto"/>
                <w:lang w:val="en-US" w:eastAsia="zh-CN"/>
              </w:rPr>
              <w:t>企业建设危险废物暂存间1座（建筑面积30m</w:t>
            </w:r>
            <w:r>
              <w:rPr>
                <w:rFonts w:hint="eastAsia"/>
                <w:sz w:val="24"/>
                <w:highlight w:val="none"/>
                <w:u w:val="none" w:color="auto"/>
                <w:vertAlign w:val="superscript"/>
                <w:lang w:val="en-US" w:eastAsia="zh-CN"/>
              </w:rPr>
              <w:t>2</w:t>
            </w:r>
            <w:r>
              <w:rPr>
                <w:rFonts w:hint="eastAsia"/>
                <w:sz w:val="24"/>
                <w:highlight w:val="none"/>
                <w:u w:val="none" w:color="auto"/>
                <w:lang w:val="en-US" w:eastAsia="zh-CN"/>
              </w:rPr>
              <w:t>），危险废物暂存间应满足《危险废物贮存污染控制标准》（GB 18597-2023）要求，</w:t>
            </w:r>
            <w:r>
              <w:rPr>
                <w:rFonts w:hint="eastAsia" w:hAnsi="宋体"/>
                <w:sz w:val="24"/>
                <w:u w:val="none" w:color="auto"/>
              </w:rPr>
              <w:t>危险废物贮存、处置环境管理要求如下</w:t>
            </w:r>
            <w:r>
              <w:rPr>
                <w:rFonts w:hAnsi="宋体"/>
                <w:sz w:val="24"/>
                <w:u w:val="none" w:color="auto"/>
              </w:rPr>
              <w:t>：</w:t>
            </w:r>
          </w:p>
          <w:p w14:paraId="063B55B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color w:val="000000"/>
                <w:kern w:val="2"/>
                <w:sz w:val="24"/>
                <w:u w:val="none" w:color="auto"/>
              </w:rPr>
            </w:pPr>
            <w:r>
              <w:rPr>
                <w:rFonts w:hAnsi="宋体"/>
                <w:kern w:val="2"/>
                <w:sz w:val="24"/>
                <w:u w:val="none" w:color="auto"/>
              </w:rPr>
              <w:t>①危险废物的</w:t>
            </w:r>
            <w:r>
              <w:rPr>
                <w:rFonts w:hint="eastAsia" w:hAnsi="宋体"/>
                <w:kern w:val="2"/>
                <w:sz w:val="24"/>
                <w:u w:val="none" w:color="auto"/>
              </w:rPr>
              <w:t>暂存间</w:t>
            </w:r>
            <w:r>
              <w:rPr>
                <w:rFonts w:hAnsi="宋体"/>
                <w:kern w:val="2"/>
                <w:sz w:val="24"/>
                <w:u w:val="none" w:color="auto"/>
              </w:rPr>
              <w:t>应按照</w:t>
            </w:r>
            <w:r>
              <w:rPr>
                <w:rFonts w:hint="eastAsia" w:hAnsi="宋体"/>
                <w:bCs/>
                <w:color w:val="000000"/>
                <w:kern w:val="36"/>
                <w:sz w:val="24"/>
                <w:u w:val="none" w:color="auto"/>
              </w:rPr>
              <w:t>《危险废物贮存污染控制标准》（</w:t>
            </w:r>
            <w:r>
              <w:rPr>
                <w:rFonts w:hAnsi="宋体"/>
                <w:bCs/>
                <w:color w:val="000000"/>
                <w:kern w:val="36"/>
                <w:sz w:val="24"/>
                <w:u w:val="none" w:color="auto"/>
              </w:rPr>
              <w:t>GB18597—2023</w:t>
            </w:r>
            <w:r>
              <w:rPr>
                <w:rFonts w:hint="eastAsia" w:hAnsi="宋体"/>
                <w:bCs/>
                <w:color w:val="000000"/>
                <w:kern w:val="36"/>
                <w:sz w:val="24"/>
                <w:u w:val="none" w:color="auto"/>
              </w:rPr>
              <w:t>）</w:t>
            </w:r>
            <w:r>
              <w:rPr>
                <w:rFonts w:hAnsi="宋体"/>
                <w:kern w:val="2"/>
                <w:sz w:val="24"/>
                <w:u w:val="none" w:color="auto"/>
              </w:rPr>
              <w:t>的要求，地面应进行硬化</w:t>
            </w:r>
            <w:r>
              <w:rPr>
                <w:rFonts w:hint="eastAsia" w:hAnsi="宋体"/>
                <w:kern w:val="2"/>
                <w:sz w:val="24"/>
                <w:u w:val="none" w:color="auto"/>
              </w:rPr>
              <w:t>，</w:t>
            </w:r>
            <w:r>
              <w:rPr>
                <w:color w:val="000000"/>
                <w:kern w:val="2"/>
                <w:sz w:val="24"/>
                <w:u w:val="none" w:color="auto"/>
              </w:rPr>
              <w:t>并设置防渗层，</w:t>
            </w:r>
            <w:r>
              <w:rPr>
                <w:rFonts w:hint="eastAsia"/>
                <w:color w:val="000000"/>
                <w:kern w:val="2"/>
                <w:sz w:val="24"/>
                <w:u w:val="none" w:color="auto"/>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eastAsia"/>
                <w:color w:val="000000"/>
                <w:kern w:val="2"/>
                <w:sz w:val="24"/>
                <w:u w:val="none" w:color="auto"/>
                <w:vertAlign w:val="superscript"/>
              </w:rPr>
              <w:t>-7</w:t>
            </w:r>
            <w:r>
              <w:rPr>
                <w:rFonts w:hint="eastAsia"/>
                <w:color w:val="000000"/>
                <w:kern w:val="2"/>
                <w:sz w:val="24"/>
                <w:u w:val="none" w:color="auto"/>
              </w:rPr>
              <w:t>cm/s），或至少2mm厚高密度聚乙烯膜等人工防渗材料（渗透系数不大于10</w:t>
            </w:r>
            <w:r>
              <w:rPr>
                <w:rFonts w:hint="eastAsia"/>
                <w:color w:val="000000"/>
                <w:kern w:val="2"/>
                <w:sz w:val="24"/>
                <w:u w:val="none" w:color="auto"/>
                <w:vertAlign w:val="superscript"/>
              </w:rPr>
              <w:t>-10</w:t>
            </w:r>
            <w:r>
              <w:rPr>
                <w:rFonts w:hint="eastAsia"/>
                <w:color w:val="000000"/>
                <w:kern w:val="2"/>
                <w:sz w:val="24"/>
                <w:u w:val="none" w:color="auto"/>
              </w:rPr>
              <w:t>cm/s），或其他防渗性能等效的材料；</w:t>
            </w:r>
          </w:p>
          <w:p w14:paraId="5970685C">
            <w:pPr>
              <w:keepNext w:val="0"/>
              <w:keepLines w:val="0"/>
              <w:pageBreakBefore w:val="0"/>
              <w:widowControl w:val="0"/>
              <w:kinsoku/>
              <w:wordWrap/>
              <w:overflowPunct/>
              <w:topLinePunct w:val="0"/>
              <w:autoSpaceDE/>
              <w:autoSpaceDN/>
              <w:bidi w:val="0"/>
              <w:spacing w:line="440" w:lineRule="exact"/>
              <w:ind w:firstLine="480" w:firstLineChars="200"/>
              <w:textAlignment w:val="auto"/>
              <w:rPr>
                <w:bCs/>
                <w:color w:val="000000"/>
                <w:kern w:val="2"/>
                <w:sz w:val="24"/>
                <w:u w:val="none" w:color="auto"/>
              </w:rPr>
            </w:pPr>
            <w:r>
              <w:rPr>
                <w:rFonts w:hAnsi="宋体"/>
                <w:bCs/>
                <w:color w:val="000000"/>
                <w:kern w:val="2"/>
                <w:sz w:val="24"/>
                <w:u w:val="none" w:color="auto"/>
              </w:rPr>
              <w:t>②</w:t>
            </w:r>
            <w:r>
              <w:rPr>
                <w:rFonts w:hint="eastAsia" w:hAnsi="宋体"/>
                <w:bCs/>
                <w:color w:val="000000"/>
                <w:kern w:val="2"/>
                <w:sz w:val="24"/>
                <w:u w:val="none" w:color="auto"/>
              </w:rPr>
              <w:t>贮存设施应根据危险废物的类别、数量、形态、物理化学性质和污染防治等要求设置必要的贮存分区，避免不相容的危险废物接触、混合</w:t>
            </w:r>
            <w:r>
              <w:rPr>
                <w:rFonts w:hAnsi="宋体"/>
                <w:bCs/>
                <w:color w:val="000000"/>
                <w:kern w:val="2"/>
                <w:sz w:val="24"/>
                <w:u w:val="none" w:color="auto"/>
              </w:rPr>
              <w:t>；</w:t>
            </w:r>
          </w:p>
          <w:p w14:paraId="371B35B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Ansi="宋体"/>
                <w:kern w:val="2"/>
                <w:sz w:val="24"/>
                <w:u w:val="none" w:color="auto"/>
              </w:rPr>
            </w:pPr>
            <w:r>
              <w:rPr>
                <w:rFonts w:hAnsi="宋体"/>
                <w:kern w:val="2"/>
                <w:sz w:val="24"/>
                <w:u w:val="none" w:color="auto"/>
              </w:rPr>
              <w:t>③</w:t>
            </w:r>
            <w:r>
              <w:rPr>
                <w:rFonts w:hint="eastAsia" w:hAnsi="宋体"/>
                <w:kern w:val="2"/>
                <w:sz w:val="24"/>
                <w:u w:val="none" w:color="auto"/>
              </w:rPr>
              <w:t>采取必要的防风、防晒、防雨、防漏、防渗、防腐以及其他环境污染防治措施，不应露天堆放危险废物；</w:t>
            </w:r>
          </w:p>
          <w:p w14:paraId="081EFF1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Ansi="宋体"/>
                <w:kern w:val="2"/>
                <w:sz w:val="24"/>
                <w:u w:val="none" w:color="auto"/>
              </w:rPr>
            </w:pPr>
            <w:r>
              <w:rPr>
                <w:rFonts w:hint="eastAsia" w:ascii="宋体" w:hAnsi="宋体"/>
                <w:color w:val="000000"/>
                <w:kern w:val="2"/>
                <w:sz w:val="24"/>
                <w:u w:val="none" w:color="auto"/>
              </w:rPr>
              <w:t>④</w:t>
            </w:r>
            <w:r>
              <w:rPr>
                <w:rFonts w:hint="eastAsia" w:hAnsi="宋体"/>
                <w:kern w:val="2"/>
                <w:sz w:val="24"/>
                <w:u w:val="none" w:color="auto"/>
              </w:rPr>
              <w:t>贮存设施内地面、墙面裙脚、堵截泄漏的围堰、接触危险废物的隔板和墙体等应采用坚固的材料建造，表面无裂缝；</w:t>
            </w:r>
          </w:p>
          <w:p w14:paraId="1AA1510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color w:val="000000"/>
                <w:kern w:val="2"/>
                <w:sz w:val="24"/>
                <w:u w:val="none" w:color="auto"/>
              </w:rPr>
            </w:pPr>
            <w:r>
              <w:rPr>
                <w:rFonts w:hAnsi="宋体"/>
                <w:kern w:val="2"/>
                <w:sz w:val="24"/>
                <w:u w:val="none" w:color="auto"/>
              </w:rPr>
              <w:t>⑤</w:t>
            </w:r>
            <w:r>
              <w:rPr>
                <w:rFonts w:hint="eastAsia"/>
                <w:color w:val="000000"/>
                <w:kern w:val="2"/>
                <w:sz w:val="24"/>
                <w:u w:val="none" w:color="auto"/>
              </w:rPr>
              <w:t>贮存设施应采取技术和管理措施防止无关人员进入；</w:t>
            </w:r>
          </w:p>
          <w:p w14:paraId="58BA26F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Ansi="宋体"/>
                <w:kern w:val="2"/>
                <w:sz w:val="24"/>
                <w:u w:val="none" w:color="auto"/>
              </w:rPr>
            </w:pPr>
            <w:r>
              <w:rPr>
                <w:rFonts w:hAnsi="宋体"/>
                <w:kern w:val="2"/>
                <w:sz w:val="24"/>
                <w:u w:val="none" w:color="auto"/>
              </w:rPr>
              <w:t>⑥</w:t>
            </w:r>
            <w:r>
              <w:rPr>
                <w:rFonts w:hint="eastAsia" w:hAnsi="宋体"/>
                <w:kern w:val="2"/>
                <w:sz w:val="24"/>
                <w:u w:val="none" w:color="auto"/>
              </w:rPr>
              <w:t>贮存库内不同贮存分区之间应采取隔离措施。隔离措施可根据危险废物特性采用过道、隔板或隔墙等方式；</w:t>
            </w:r>
          </w:p>
          <w:p w14:paraId="6B2D12C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kern w:val="2"/>
                <w:sz w:val="24"/>
                <w:u w:val="none" w:color="auto"/>
              </w:rPr>
            </w:pPr>
            <w:r>
              <w:rPr>
                <w:rFonts w:hint="eastAsia" w:ascii="宋体" w:hAnsi="宋体"/>
                <w:kern w:val="2"/>
                <w:sz w:val="24"/>
                <w:u w:val="none" w:color="auto"/>
              </w:rPr>
              <w:t>⑦</w:t>
            </w:r>
            <w:r>
              <w:rPr>
                <w:rFonts w:hint="eastAsia" w:hAnsi="宋体"/>
                <w:kern w:val="2"/>
                <w:sz w:val="24"/>
                <w:u w:val="none" w:color="auto"/>
                <w:lang w:eastAsia="zh-CN"/>
              </w:rPr>
              <w:t>各类</w:t>
            </w:r>
            <w:r>
              <w:rPr>
                <w:rFonts w:hAnsi="宋体"/>
                <w:kern w:val="2"/>
                <w:sz w:val="24"/>
                <w:u w:val="none" w:color="auto"/>
              </w:rPr>
              <w:t>危险废物在厂区内临时堆存时间不得超过一年，定期送至有相应资质的危废处理单位安全处置；在危废的转移处置过程中，应严格按照《中华人民共和国固体废物污染环境防治法》和《危险废物转移管理办法</w:t>
            </w:r>
            <w:r>
              <w:rPr>
                <w:rFonts w:hint="eastAsia" w:hAnsi="宋体"/>
                <w:kern w:val="2"/>
                <w:sz w:val="24"/>
                <w:u w:val="none" w:color="auto"/>
                <w:lang w:eastAsia="zh-CN"/>
              </w:rPr>
              <w:t>》等</w:t>
            </w:r>
            <w:r>
              <w:rPr>
                <w:rFonts w:hAnsi="宋体"/>
                <w:kern w:val="2"/>
                <w:sz w:val="24"/>
                <w:u w:val="none" w:color="auto"/>
              </w:rPr>
              <w:t>有关规定执行</w:t>
            </w:r>
            <w:r>
              <w:rPr>
                <w:rFonts w:hint="eastAsia" w:hAnsi="宋体"/>
                <w:kern w:val="2"/>
                <w:sz w:val="24"/>
                <w:u w:val="none" w:color="auto"/>
              </w:rPr>
              <w:t>；</w:t>
            </w:r>
          </w:p>
          <w:p w14:paraId="074DEEB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kern w:val="2"/>
                <w:sz w:val="24"/>
                <w:u w:val="none" w:color="auto"/>
              </w:rPr>
            </w:pPr>
            <w:r>
              <w:rPr>
                <w:rFonts w:hint="eastAsia" w:ascii="宋体" w:hAnsi="宋体"/>
                <w:kern w:val="2"/>
                <w:sz w:val="24"/>
                <w:u w:val="none" w:color="auto"/>
              </w:rPr>
              <w:t>⑧</w:t>
            </w:r>
            <w:r>
              <w:rPr>
                <w:rFonts w:hAnsi="宋体"/>
                <w:kern w:val="2"/>
                <w:sz w:val="24"/>
                <w:u w:val="none" w:color="auto"/>
              </w:rPr>
              <w:t>本项目危险废物产生与贮存均在厂区内，且生产区和危废暂存间距离较近，运输距离短，生产车间地面、运输线路和危废暂存间均采取硬化和防腐防渗措施，因此危险废物从产生环节运输到贮存场所的过程中不会对周围环境产生不利影响。</w:t>
            </w:r>
          </w:p>
          <w:p w14:paraId="044F555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kern w:val="2"/>
                <w:sz w:val="24"/>
                <w:u w:val="none" w:color="auto"/>
              </w:rPr>
            </w:pPr>
            <w:r>
              <w:rPr>
                <w:rFonts w:hAnsi="宋体"/>
                <w:kern w:val="2"/>
                <w:sz w:val="24"/>
                <w:u w:val="none" w:color="auto"/>
              </w:rPr>
              <w:t>按照评价指南和《危险废物收集贮存运输技术规范》（</w:t>
            </w:r>
            <w:r>
              <w:rPr>
                <w:kern w:val="2"/>
                <w:sz w:val="24"/>
                <w:u w:val="none" w:color="auto"/>
              </w:rPr>
              <w:t>HJ2025</w:t>
            </w:r>
            <w:r>
              <w:rPr>
                <w:rFonts w:hint="eastAsia"/>
                <w:kern w:val="2"/>
                <w:sz w:val="24"/>
                <w:u w:val="none" w:color="auto"/>
              </w:rPr>
              <w:t>-2012</w:t>
            </w:r>
            <w:r>
              <w:rPr>
                <w:rFonts w:hAnsi="宋体"/>
                <w:kern w:val="2"/>
                <w:sz w:val="24"/>
                <w:u w:val="none" w:color="auto"/>
              </w:rPr>
              <w:t>）要求，分析危险废物内部转运应采取的措施：</w:t>
            </w:r>
          </w:p>
          <w:p w14:paraId="1D5E8D0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kern w:val="2"/>
                <w:sz w:val="24"/>
                <w:u w:val="none" w:color="auto"/>
              </w:rPr>
            </w:pPr>
            <w:r>
              <w:rPr>
                <w:rFonts w:hAnsi="宋体"/>
                <w:kern w:val="2"/>
                <w:sz w:val="24"/>
                <w:u w:val="none" w:color="auto"/>
              </w:rPr>
              <w:t>①危险废物从厂区内产生工艺环节运输到危废暂存间，应有专人负责，专用桶收集、转运，避免可能引起的散落。</w:t>
            </w:r>
          </w:p>
          <w:p w14:paraId="2C91C1E3">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eastAsia="黑体"/>
                <w:kern w:val="2"/>
                <w:sz w:val="24"/>
                <w:u w:val="none" w:color="auto"/>
                <w:lang w:val="pt-BR"/>
              </w:rPr>
            </w:pPr>
            <w:r>
              <w:rPr>
                <w:rFonts w:hAnsi="宋体"/>
                <w:kern w:val="2"/>
                <w:sz w:val="24"/>
                <w:u w:val="none" w:color="auto"/>
              </w:rPr>
              <w:t>②危险废物内部转运作业应采用专用的工具，危险废物内部转运应填写《危险废物厂内转运记录表》，危险废物内部转运结束后，应对转运路线进行检查和清理，确保无危险废物遗失在转运路线上，并对转运工具进行清洗。</w:t>
            </w:r>
          </w:p>
          <w:p w14:paraId="476833CB">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imes New Roman" w:hAnsi="Times New Roman" w:eastAsia="宋体" w:cs="Times New Roman"/>
                <w:b/>
                <w:sz w:val="24"/>
                <w:u w:val="none" w:color="auto"/>
                <w:lang w:val="en-US" w:eastAsia="zh-CN"/>
              </w:rPr>
            </w:pPr>
            <w:r>
              <w:rPr>
                <w:rFonts w:hint="eastAsia" w:ascii="Times New Roman" w:hAnsi="Times New Roman" w:eastAsia="宋体" w:cs="Times New Roman"/>
                <w:b/>
                <w:sz w:val="24"/>
                <w:u w:val="none" w:color="auto"/>
                <w:lang w:val="en-US" w:eastAsia="zh-CN"/>
              </w:rPr>
              <w:t>表4-</w:t>
            </w:r>
            <w:r>
              <w:rPr>
                <w:rFonts w:hint="eastAsia" w:cs="Times New Roman"/>
                <w:b/>
                <w:sz w:val="24"/>
                <w:u w:val="none" w:color="auto"/>
                <w:lang w:val="en-US" w:eastAsia="zh-CN"/>
              </w:rPr>
              <w:t>26</w:t>
            </w:r>
            <w:r>
              <w:rPr>
                <w:rFonts w:hint="eastAsia" w:ascii="Times New Roman" w:hAnsi="Times New Roman" w:eastAsia="宋体" w:cs="Times New Roman"/>
                <w:b/>
                <w:sz w:val="24"/>
                <w:u w:val="none" w:color="auto"/>
                <w:lang w:val="en-US" w:eastAsia="zh-CN"/>
              </w:rPr>
              <w:t xml:space="preserve">    建设项目危险废物贮存场所（设施）基本情况表</w:t>
            </w:r>
          </w:p>
          <w:tbl>
            <w:tblPr>
              <w:tblStyle w:val="32"/>
              <w:tblW w:w="7935"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883"/>
              <w:gridCol w:w="1405"/>
              <w:gridCol w:w="736"/>
              <w:gridCol w:w="788"/>
              <w:gridCol w:w="1099"/>
              <w:gridCol w:w="743"/>
              <w:gridCol w:w="731"/>
            </w:tblGrid>
            <w:tr w14:paraId="27D832F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550" w:type="dxa"/>
                  <w:tcBorders>
                    <w:bottom w:val="single" w:color="000000" w:sz="8" w:space="0"/>
                    <w:tl2br w:val="nil"/>
                    <w:tr2bl w:val="nil"/>
                  </w:tcBorders>
                  <w:noWrap/>
                  <w:vAlign w:val="center"/>
                </w:tcPr>
                <w:p w14:paraId="4A1EE087">
                  <w:pPr>
                    <w:adjustRightInd w:val="0"/>
                    <w:snapToGrid w:val="0"/>
                    <w:jc w:val="center"/>
                    <w:rPr>
                      <w:b/>
                      <w:bCs/>
                      <w:kern w:val="2"/>
                      <w:szCs w:val="21"/>
                      <w:u w:val="none" w:color="auto"/>
                    </w:rPr>
                  </w:pPr>
                  <w:r>
                    <w:rPr>
                      <w:rFonts w:hAnsi="宋体"/>
                      <w:b/>
                      <w:bCs/>
                      <w:kern w:val="2"/>
                      <w:szCs w:val="21"/>
                      <w:u w:val="none" w:color="auto"/>
                    </w:rPr>
                    <w:t>危险废物名称</w:t>
                  </w:r>
                </w:p>
              </w:tc>
              <w:tc>
                <w:tcPr>
                  <w:tcW w:w="883" w:type="dxa"/>
                  <w:tcBorders>
                    <w:bottom w:val="single" w:color="000000" w:sz="8" w:space="0"/>
                    <w:tl2br w:val="nil"/>
                    <w:tr2bl w:val="nil"/>
                  </w:tcBorders>
                  <w:noWrap/>
                  <w:vAlign w:val="center"/>
                </w:tcPr>
                <w:p w14:paraId="0566DF6E">
                  <w:pPr>
                    <w:adjustRightInd w:val="0"/>
                    <w:snapToGrid w:val="0"/>
                    <w:jc w:val="center"/>
                    <w:rPr>
                      <w:b/>
                      <w:bCs/>
                      <w:kern w:val="2"/>
                      <w:szCs w:val="21"/>
                      <w:u w:val="none" w:color="auto"/>
                    </w:rPr>
                  </w:pPr>
                  <w:r>
                    <w:rPr>
                      <w:rFonts w:hAnsi="宋体"/>
                      <w:b/>
                      <w:bCs/>
                      <w:kern w:val="2"/>
                      <w:szCs w:val="21"/>
                      <w:u w:val="none" w:color="auto"/>
                    </w:rPr>
                    <w:t>危险废物类别</w:t>
                  </w:r>
                </w:p>
              </w:tc>
              <w:tc>
                <w:tcPr>
                  <w:tcW w:w="1405" w:type="dxa"/>
                  <w:tcBorders>
                    <w:bottom w:val="single" w:color="000000" w:sz="8" w:space="0"/>
                    <w:tl2br w:val="nil"/>
                    <w:tr2bl w:val="nil"/>
                  </w:tcBorders>
                  <w:noWrap/>
                  <w:vAlign w:val="center"/>
                </w:tcPr>
                <w:p w14:paraId="1F36C331">
                  <w:pPr>
                    <w:adjustRightInd w:val="0"/>
                    <w:snapToGrid w:val="0"/>
                    <w:jc w:val="center"/>
                    <w:rPr>
                      <w:b/>
                      <w:bCs/>
                      <w:kern w:val="2"/>
                      <w:szCs w:val="21"/>
                      <w:u w:val="none" w:color="auto"/>
                    </w:rPr>
                  </w:pPr>
                  <w:r>
                    <w:rPr>
                      <w:rFonts w:hAnsi="宋体"/>
                      <w:b/>
                      <w:bCs/>
                      <w:kern w:val="2"/>
                      <w:szCs w:val="21"/>
                      <w:u w:val="none" w:color="auto"/>
                    </w:rPr>
                    <w:t>危废代码</w:t>
                  </w:r>
                </w:p>
              </w:tc>
              <w:tc>
                <w:tcPr>
                  <w:tcW w:w="736" w:type="dxa"/>
                  <w:tcBorders>
                    <w:bottom w:val="single" w:color="000000" w:sz="8" w:space="0"/>
                    <w:tl2br w:val="nil"/>
                    <w:tr2bl w:val="nil"/>
                  </w:tcBorders>
                  <w:noWrap/>
                  <w:vAlign w:val="center"/>
                </w:tcPr>
                <w:p w14:paraId="5602692D">
                  <w:pPr>
                    <w:adjustRightInd w:val="0"/>
                    <w:snapToGrid w:val="0"/>
                    <w:jc w:val="center"/>
                    <w:rPr>
                      <w:b/>
                      <w:bCs/>
                      <w:kern w:val="2"/>
                      <w:szCs w:val="21"/>
                      <w:u w:val="none" w:color="auto"/>
                    </w:rPr>
                  </w:pPr>
                  <w:r>
                    <w:rPr>
                      <w:rFonts w:hAnsi="宋体"/>
                      <w:b/>
                      <w:bCs/>
                      <w:kern w:val="2"/>
                      <w:szCs w:val="21"/>
                      <w:u w:val="none" w:color="auto"/>
                    </w:rPr>
                    <w:t>位置</w:t>
                  </w:r>
                </w:p>
              </w:tc>
              <w:tc>
                <w:tcPr>
                  <w:tcW w:w="788" w:type="dxa"/>
                  <w:tcBorders>
                    <w:bottom w:val="single" w:color="000000" w:sz="8" w:space="0"/>
                    <w:tl2br w:val="nil"/>
                    <w:tr2bl w:val="nil"/>
                  </w:tcBorders>
                  <w:noWrap/>
                  <w:vAlign w:val="center"/>
                </w:tcPr>
                <w:p w14:paraId="50BAD4C7">
                  <w:pPr>
                    <w:adjustRightInd w:val="0"/>
                    <w:snapToGrid w:val="0"/>
                    <w:jc w:val="center"/>
                    <w:rPr>
                      <w:b/>
                      <w:bCs/>
                      <w:kern w:val="2"/>
                      <w:szCs w:val="21"/>
                      <w:u w:val="none" w:color="auto"/>
                    </w:rPr>
                  </w:pPr>
                  <w:r>
                    <w:rPr>
                      <w:rFonts w:hAnsi="宋体"/>
                      <w:b/>
                      <w:bCs/>
                      <w:kern w:val="2"/>
                      <w:szCs w:val="21"/>
                      <w:u w:val="none" w:color="auto"/>
                    </w:rPr>
                    <w:t>占地面积</w:t>
                  </w:r>
                </w:p>
              </w:tc>
              <w:tc>
                <w:tcPr>
                  <w:tcW w:w="1099" w:type="dxa"/>
                  <w:tcBorders>
                    <w:bottom w:val="single" w:color="000000" w:sz="8" w:space="0"/>
                    <w:tl2br w:val="nil"/>
                    <w:tr2bl w:val="nil"/>
                  </w:tcBorders>
                  <w:noWrap/>
                  <w:vAlign w:val="center"/>
                </w:tcPr>
                <w:p w14:paraId="11ED7E66">
                  <w:pPr>
                    <w:adjustRightInd w:val="0"/>
                    <w:snapToGrid w:val="0"/>
                    <w:jc w:val="center"/>
                    <w:rPr>
                      <w:b/>
                      <w:bCs/>
                      <w:kern w:val="2"/>
                      <w:szCs w:val="21"/>
                      <w:u w:val="none" w:color="auto"/>
                    </w:rPr>
                  </w:pPr>
                  <w:r>
                    <w:rPr>
                      <w:rFonts w:hAnsi="宋体"/>
                      <w:b/>
                      <w:bCs/>
                      <w:kern w:val="2"/>
                      <w:szCs w:val="21"/>
                      <w:u w:val="none" w:color="auto"/>
                    </w:rPr>
                    <w:t>贮存</w:t>
                  </w:r>
                </w:p>
                <w:p w14:paraId="5BB9424D">
                  <w:pPr>
                    <w:adjustRightInd w:val="0"/>
                    <w:snapToGrid w:val="0"/>
                    <w:jc w:val="center"/>
                    <w:rPr>
                      <w:b/>
                      <w:bCs/>
                      <w:kern w:val="2"/>
                      <w:szCs w:val="21"/>
                      <w:u w:val="none" w:color="auto"/>
                    </w:rPr>
                  </w:pPr>
                  <w:r>
                    <w:rPr>
                      <w:rFonts w:hAnsi="宋体"/>
                      <w:b/>
                      <w:bCs/>
                      <w:kern w:val="2"/>
                      <w:szCs w:val="21"/>
                      <w:u w:val="none" w:color="auto"/>
                    </w:rPr>
                    <w:t>方式</w:t>
                  </w:r>
                </w:p>
              </w:tc>
              <w:tc>
                <w:tcPr>
                  <w:tcW w:w="743" w:type="dxa"/>
                  <w:tcBorders>
                    <w:bottom w:val="single" w:color="000000" w:sz="8" w:space="0"/>
                    <w:tl2br w:val="nil"/>
                    <w:tr2bl w:val="nil"/>
                  </w:tcBorders>
                  <w:noWrap/>
                  <w:vAlign w:val="center"/>
                </w:tcPr>
                <w:p w14:paraId="01A37123">
                  <w:pPr>
                    <w:adjustRightInd w:val="0"/>
                    <w:snapToGrid w:val="0"/>
                    <w:jc w:val="center"/>
                    <w:rPr>
                      <w:b/>
                      <w:bCs/>
                      <w:kern w:val="2"/>
                      <w:szCs w:val="21"/>
                      <w:u w:val="none" w:color="auto"/>
                    </w:rPr>
                  </w:pPr>
                  <w:r>
                    <w:rPr>
                      <w:rFonts w:hAnsi="宋体"/>
                      <w:b/>
                      <w:bCs/>
                      <w:kern w:val="2"/>
                      <w:szCs w:val="21"/>
                      <w:u w:val="none" w:color="auto"/>
                    </w:rPr>
                    <w:t>贮存</w:t>
                  </w:r>
                </w:p>
                <w:p w14:paraId="5CDB101A">
                  <w:pPr>
                    <w:adjustRightInd w:val="0"/>
                    <w:snapToGrid w:val="0"/>
                    <w:jc w:val="center"/>
                    <w:rPr>
                      <w:b/>
                      <w:bCs/>
                      <w:kern w:val="2"/>
                      <w:szCs w:val="21"/>
                      <w:u w:val="none" w:color="auto"/>
                    </w:rPr>
                  </w:pPr>
                  <w:r>
                    <w:rPr>
                      <w:rFonts w:hAnsi="宋体"/>
                      <w:b/>
                      <w:bCs/>
                      <w:kern w:val="2"/>
                      <w:szCs w:val="21"/>
                      <w:u w:val="none" w:color="auto"/>
                    </w:rPr>
                    <w:t>能力</w:t>
                  </w:r>
                </w:p>
              </w:tc>
              <w:tc>
                <w:tcPr>
                  <w:tcW w:w="731" w:type="dxa"/>
                  <w:tcBorders>
                    <w:bottom w:val="single" w:color="000000" w:sz="8" w:space="0"/>
                    <w:tl2br w:val="nil"/>
                    <w:tr2bl w:val="nil"/>
                  </w:tcBorders>
                  <w:noWrap/>
                  <w:vAlign w:val="center"/>
                </w:tcPr>
                <w:p w14:paraId="6BA324E2">
                  <w:pPr>
                    <w:adjustRightInd w:val="0"/>
                    <w:snapToGrid w:val="0"/>
                    <w:jc w:val="center"/>
                    <w:rPr>
                      <w:b/>
                      <w:bCs/>
                      <w:kern w:val="2"/>
                      <w:szCs w:val="21"/>
                      <w:u w:val="none" w:color="auto"/>
                    </w:rPr>
                  </w:pPr>
                  <w:r>
                    <w:rPr>
                      <w:rFonts w:hAnsi="宋体"/>
                      <w:b/>
                      <w:bCs/>
                      <w:kern w:val="2"/>
                      <w:szCs w:val="21"/>
                      <w:u w:val="none" w:color="auto"/>
                    </w:rPr>
                    <w:t>贮存</w:t>
                  </w:r>
                </w:p>
                <w:p w14:paraId="380411A1">
                  <w:pPr>
                    <w:adjustRightInd w:val="0"/>
                    <w:snapToGrid w:val="0"/>
                    <w:jc w:val="center"/>
                    <w:rPr>
                      <w:b/>
                      <w:bCs/>
                      <w:kern w:val="2"/>
                      <w:szCs w:val="21"/>
                      <w:u w:val="none" w:color="auto"/>
                    </w:rPr>
                  </w:pPr>
                  <w:r>
                    <w:rPr>
                      <w:rFonts w:hAnsi="宋体"/>
                      <w:b/>
                      <w:bCs/>
                      <w:kern w:val="2"/>
                      <w:szCs w:val="21"/>
                      <w:u w:val="none" w:color="auto"/>
                    </w:rPr>
                    <w:t>周期</w:t>
                  </w:r>
                </w:p>
              </w:tc>
            </w:tr>
            <w:tr w14:paraId="0181EC0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550" w:type="dxa"/>
                  <w:tcBorders>
                    <w:top w:val="single" w:color="000000" w:sz="8" w:space="0"/>
                    <w:tl2br w:val="nil"/>
                    <w:tr2bl w:val="nil"/>
                  </w:tcBorders>
                  <w:noWrap/>
                  <w:vAlign w:val="center"/>
                </w:tcPr>
                <w:p w14:paraId="4DE4FCA3">
                  <w:pPr>
                    <w:adjustRightInd w:val="0"/>
                    <w:snapToGrid w:val="0"/>
                    <w:jc w:val="center"/>
                    <w:rPr>
                      <w:rFonts w:hint="eastAsia" w:eastAsia="宋体"/>
                      <w:szCs w:val="21"/>
                      <w:u w:val="none" w:color="auto"/>
                      <w:lang w:val="en-US" w:eastAsia="zh-CN"/>
                    </w:rPr>
                  </w:pPr>
                  <w:r>
                    <w:rPr>
                      <w:rFonts w:hint="eastAsia" w:hAnsi="宋体"/>
                      <w:szCs w:val="21"/>
                      <w:u w:val="none" w:color="auto"/>
                    </w:rPr>
                    <w:t>废</w:t>
                  </w:r>
                  <w:r>
                    <w:rPr>
                      <w:rFonts w:hint="eastAsia" w:hAnsi="宋体"/>
                      <w:szCs w:val="21"/>
                      <w:u w:val="none" w:color="auto"/>
                      <w:lang w:val="en-US" w:eastAsia="zh-CN"/>
                    </w:rPr>
                    <w:t>机油</w:t>
                  </w:r>
                </w:p>
              </w:tc>
              <w:tc>
                <w:tcPr>
                  <w:tcW w:w="883" w:type="dxa"/>
                  <w:tcBorders>
                    <w:top w:val="single" w:color="000000" w:sz="8" w:space="0"/>
                    <w:tl2br w:val="nil"/>
                    <w:tr2bl w:val="nil"/>
                  </w:tcBorders>
                  <w:noWrap/>
                  <w:vAlign w:val="center"/>
                </w:tcPr>
                <w:p w14:paraId="207A3589">
                  <w:pPr>
                    <w:adjustRightInd w:val="0"/>
                    <w:snapToGrid w:val="0"/>
                    <w:jc w:val="center"/>
                    <w:rPr>
                      <w:szCs w:val="21"/>
                      <w:u w:val="none" w:color="auto"/>
                    </w:rPr>
                  </w:pPr>
                  <w:r>
                    <w:rPr>
                      <w:szCs w:val="21"/>
                      <w:u w:val="none" w:color="auto"/>
                    </w:rPr>
                    <w:t>HW</w:t>
                  </w:r>
                  <w:r>
                    <w:rPr>
                      <w:rFonts w:hint="eastAsia"/>
                      <w:szCs w:val="21"/>
                      <w:u w:val="none" w:color="auto"/>
                    </w:rPr>
                    <w:t>08</w:t>
                  </w:r>
                </w:p>
              </w:tc>
              <w:tc>
                <w:tcPr>
                  <w:tcW w:w="1405" w:type="dxa"/>
                  <w:tcBorders>
                    <w:top w:val="single" w:color="000000" w:sz="8" w:space="0"/>
                    <w:tl2br w:val="nil"/>
                    <w:tr2bl w:val="nil"/>
                  </w:tcBorders>
                  <w:noWrap/>
                  <w:vAlign w:val="center"/>
                </w:tcPr>
                <w:p w14:paraId="3A67BE6E">
                  <w:pPr>
                    <w:adjustRightInd w:val="0"/>
                    <w:snapToGrid w:val="0"/>
                    <w:jc w:val="center"/>
                    <w:rPr>
                      <w:szCs w:val="21"/>
                      <w:u w:val="none" w:color="auto"/>
                    </w:rPr>
                  </w:pPr>
                  <w:r>
                    <w:rPr>
                      <w:rFonts w:hint="eastAsia"/>
                      <w:szCs w:val="21"/>
                      <w:u w:val="none" w:color="auto"/>
                    </w:rPr>
                    <w:t>900-214-08</w:t>
                  </w:r>
                </w:p>
              </w:tc>
              <w:tc>
                <w:tcPr>
                  <w:tcW w:w="736" w:type="dxa"/>
                  <w:vMerge w:val="restart"/>
                  <w:tcBorders>
                    <w:top w:val="single" w:color="000000" w:sz="8" w:space="0"/>
                    <w:tl2br w:val="nil"/>
                    <w:tr2bl w:val="nil"/>
                  </w:tcBorders>
                  <w:noWrap/>
                  <w:vAlign w:val="center"/>
                </w:tcPr>
                <w:p w14:paraId="76734F48">
                  <w:pPr>
                    <w:adjustRightInd w:val="0"/>
                    <w:snapToGrid w:val="0"/>
                    <w:jc w:val="center"/>
                    <w:rPr>
                      <w:b/>
                      <w:bCs/>
                      <w:kern w:val="2"/>
                      <w:szCs w:val="21"/>
                      <w:u w:val="none" w:color="auto"/>
                    </w:rPr>
                  </w:pPr>
                  <w:r>
                    <w:rPr>
                      <w:rFonts w:hAnsi="宋体"/>
                      <w:bCs/>
                      <w:kern w:val="2"/>
                      <w:szCs w:val="21"/>
                      <w:u w:val="none" w:color="auto"/>
                    </w:rPr>
                    <w:t>危废暂存间</w:t>
                  </w:r>
                </w:p>
              </w:tc>
              <w:tc>
                <w:tcPr>
                  <w:tcW w:w="788" w:type="dxa"/>
                  <w:vMerge w:val="restart"/>
                  <w:tcBorders>
                    <w:top w:val="single" w:color="000000" w:sz="8" w:space="0"/>
                    <w:tl2br w:val="nil"/>
                    <w:tr2bl w:val="nil"/>
                  </w:tcBorders>
                  <w:noWrap/>
                  <w:vAlign w:val="center"/>
                </w:tcPr>
                <w:p w14:paraId="73920C37">
                  <w:pPr>
                    <w:adjustRightInd w:val="0"/>
                    <w:snapToGrid w:val="0"/>
                    <w:jc w:val="center"/>
                    <w:rPr>
                      <w:bCs/>
                      <w:kern w:val="2"/>
                      <w:szCs w:val="21"/>
                      <w:u w:val="none" w:color="auto"/>
                    </w:rPr>
                  </w:pPr>
                  <w:r>
                    <w:rPr>
                      <w:rFonts w:hint="eastAsia"/>
                      <w:bCs/>
                      <w:kern w:val="2"/>
                      <w:szCs w:val="21"/>
                      <w:u w:val="none" w:color="auto"/>
                      <w:lang w:val="en-US" w:eastAsia="zh-CN"/>
                    </w:rPr>
                    <w:t>30</w:t>
                  </w:r>
                  <w:r>
                    <w:rPr>
                      <w:bCs/>
                      <w:kern w:val="2"/>
                      <w:szCs w:val="21"/>
                      <w:u w:val="none" w:color="auto"/>
                    </w:rPr>
                    <w:t>m</w:t>
                  </w:r>
                  <w:r>
                    <w:rPr>
                      <w:bCs/>
                      <w:kern w:val="2"/>
                      <w:szCs w:val="21"/>
                      <w:u w:val="none" w:color="auto"/>
                      <w:vertAlign w:val="superscript"/>
                    </w:rPr>
                    <w:t>2</w:t>
                  </w:r>
                </w:p>
              </w:tc>
              <w:tc>
                <w:tcPr>
                  <w:tcW w:w="1099" w:type="dxa"/>
                  <w:tcBorders>
                    <w:top w:val="single" w:color="000000" w:sz="8" w:space="0"/>
                    <w:tl2br w:val="nil"/>
                    <w:tr2bl w:val="nil"/>
                  </w:tcBorders>
                  <w:noWrap/>
                  <w:vAlign w:val="center"/>
                </w:tcPr>
                <w:p w14:paraId="57087615">
                  <w:pPr>
                    <w:adjustRightInd w:val="0"/>
                    <w:snapToGrid w:val="0"/>
                    <w:jc w:val="center"/>
                    <w:rPr>
                      <w:bCs/>
                      <w:kern w:val="2"/>
                      <w:szCs w:val="21"/>
                      <w:u w:val="none" w:color="auto"/>
                    </w:rPr>
                  </w:pPr>
                  <w:r>
                    <w:rPr>
                      <w:rFonts w:hint="eastAsia" w:hAnsi="宋体"/>
                      <w:bCs/>
                      <w:kern w:val="2"/>
                      <w:szCs w:val="21"/>
                      <w:u w:val="none" w:color="auto"/>
                    </w:rPr>
                    <w:t>桶装</w:t>
                  </w:r>
                </w:p>
              </w:tc>
              <w:tc>
                <w:tcPr>
                  <w:tcW w:w="743" w:type="dxa"/>
                  <w:vMerge w:val="restart"/>
                  <w:tcBorders>
                    <w:top w:val="single" w:color="000000" w:sz="8" w:space="0"/>
                    <w:tl2br w:val="nil"/>
                    <w:tr2bl w:val="nil"/>
                  </w:tcBorders>
                  <w:noWrap/>
                  <w:vAlign w:val="center"/>
                </w:tcPr>
                <w:p w14:paraId="6B8755B5">
                  <w:pPr>
                    <w:adjustRightInd w:val="0"/>
                    <w:snapToGrid w:val="0"/>
                    <w:jc w:val="center"/>
                    <w:rPr>
                      <w:bCs/>
                      <w:kern w:val="2"/>
                      <w:szCs w:val="21"/>
                      <w:u w:val="none" w:color="auto"/>
                    </w:rPr>
                  </w:pPr>
                  <w:r>
                    <w:rPr>
                      <w:rFonts w:hint="eastAsia"/>
                      <w:bCs/>
                      <w:kern w:val="2"/>
                      <w:szCs w:val="21"/>
                      <w:u w:val="none" w:color="auto"/>
                    </w:rPr>
                    <w:t>10t</w:t>
                  </w:r>
                </w:p>
              </w:tc>
              <w:tc>
                <w:tcPr>
                  <w:tcW w:w="731" w:type="dxa"/>
                  <w:vMerge w:val="restart"/>
                  <w:tcBorders>
                    <w:top w:val="single" w:color="000000" w:sz="8" w:space="0"/>
                    <w:tl2br w:val="nil"/>
                    <w:tr2bl w:val="nil"/>
                  </w:tcBorders>
                  <w:noWrap/>
                  <w:vAlign w:val="center"/>
                </w:tcPr>
                <w:p w14:paraId="5D1E9FF3">
                  <w:pPr>
                    <w:adjustRightInd w:val="0"/>
                    <w:snapToGrid w:val="0"/>
                    <w:jc w:val="center"/>
                    <w:rPr>
                      <w:bCs/>
                      <w:kern w:val="2"/>
                      <w:szCs w:val="21"/>
                      <w:u w:val="none" w:color="auto"/>
                    </w:rPr>
                  </w:pPr>
                  <w:r>
                    <w:rPr>
                      <w:bCs/>
                      <w:kern w:val="2"/>
                      <w:szCs w:val="21"/>
                      <w:u w:val="none" w:color="auto"/>
                    </w:rPr>
                    <w:t>≤1</w:t>
                  </w:r>
                  <w:r>
                    <w:rPr>
                      <w:rFonts w:hAnsi="宋体"/>
                      <w:bCs/>
                      <w:kern w:val="2"/>
                      <w:szCs w:val="21"/>
                      <w:u w:val="none" w:color="auto"/>
                    </w:rPr>
                    <w:t>年</w:t>
                  </w:r>
                </w:p>
              </w:tc>
            </w:tr>
            <w:tr w14:paraId="27464F8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50" w:type="dxa"/>
                  <w:tcBorders>
                    <w:tl2br w:val="nil"/>
                    <w:tr2bl w:val="nil"/>
                  </w:tcBorders>
                  <w:noWrap/>
                  <w:vAlign w:val="center"/>
                </w:tcPr>
                <w:p w14:paraId="0F766E8F">
                  <w:pPr>
                    <w:adjustRightInd w:val="0"/>
                    <w:snapToGrid w:val="0"/>
                    <w:jc w:val="center"/>
                    <w:rPr>
                      <w:rFonts w:hAnsi="宋体"/>
                      <w:szCs w:val="21"/>
                      <w:u w:val="none" w:color="auto"/>
                    </w:rPr>
                  </w:pPr>
                  <w:r>
                    <w:rPr>
                      <w:rFonts w:hint="eastAsia" w:hAnsi="宋体"/>
                      <w:szCs w:val="21"/>
                      <w:u w:val="none" w:color="auto"/>
                    </w:rPr>
                    <w:t>废活性炭</w:t>
                  </w:r>
                </w:p>
              </w:tc>
              <w:tc>
                <w:tcPr>
                  <w:tcW w:w="883" w:type="dxa"/>
                  <w:tcBorders>
                    <w:tl2br w:val="nil"/>
                    <w:tr2bl w:val="nil"/>
                  </w:tcBorders>
                  <w:noWrap/>
                  <w:vAlign w:val="center"/>
                </w:tcPr>
                <w:p w14:paraId="548EA617">
                  <w:pPr>
                    <w:adjustRightInd w:val="0"/>
                    <w:snapToGrid w:val="0"/>
                    <w:jc w:val="center"/>
                    <w:rPr>
                      <w:szCs w:val="21"/>
                      <w:u w:val="none" w:color="auto"/>
                    </w:rPr>
                  </w:pPr>
                  <w:r>
                    <w:rPr>
                      <w:szCs w:val="21"/>
                      <w:u w:val="none" w:color="auto"/>
                    </w:rPr>
                    <w:t>HW</w:t>
                  </w:r>
                  <w:r>
                    <w:rPr>
                      <w:rFonts w:hint="eastAsia"/>
                      <w:szCs w:val="21"/>
                      <w:u w:val="none" w:color="auto"/>
                    </w:rPr>
                    <w:t>49</w:t>
                  </w:r>
                </w:p>
              </w:tc>
              <w:tc>
                <w:tcPr>
                  <w:tcW w:w="1405" w:type="dxa"/>
                  <w:tcBorders>
                    <w:tl2br w:val="nil"/>
                    <w:tr2bl w:val="nil"/>
                  </w:tcBorders>
                  <w:noWrap/>
                  <w:vAlign w:val="center"/>
                </w:tcPr>
                <w:p w14:paraId="5680AC01">
                  <w:pPr>
                    <w:adjustRightInd w:val="0"/>
                    <w:snapToGrid w:val="0"/>
                    <w:jc w:val="center"/>
                    <w:rPr>
                      <w:szCs w:val="21"/>
                      <w:u w:val="none" w:color="auto"/>
                    </w:rPr>
                  </w:pPr>
                  <w:r>
                    <w:rPr>
                      <w:szCs w:val="21"/>
                      <w:u w:val="none" w:color="auto"/>
                    </w:rPr>
                    <w:t>900-0</w:t>
                  </w:r>
                  <w:r>
                    <w:rPr>
                      <w:rFonts w:hint="eastAsia"/>
                      <w:szCs w:val="21"/>
                      <w:u w:val="none" w:color="auto"/>
                    </w:rPr>
                    <w:t>39</w:t>
                  </w:r>
                  <w:r>
                    <w:rPr>
                      <w:szCs w:val="21"/>
                      <w:u w:val="none" w:color="auto"/>
                    </w:rPr>
                    <w:t>-49</w:t>
                  </w:r>
                </w:p>
              </w:tc>
              <w:tc>
                <w:tcPr>
                  <w:tcW w:w="736" w:type="dxa"/>
                  <w:vMerge w:val="continue"/>
                  <w:tcBorders>
                    <w:tl2br w:val="nil"/>
                    <w:tr2bl w:val="nil"/>
                  </w:tcBorders>
                  <w:noWrap/>
                  <w:vAlign w:val="center"/>
                </w:tcPr>
                <w:p w14:paraId="1BE2880E">
                  <w:pPr>
                    <w:adjustRightInd w:val="0"/>
                    <w:snapToGrid w:val="0"/>
                    <w:jc w:val="center"/>
                    <w:rPr>
                      <w:rFonts w:hAnsi="宋体"/>
                      <w:bCs/>
                      <w:kern w:val="2"/>
                      <w:szCs w:val="21"/>
                      <w:u w:val="none" w:color="auto"/>
                    </w:rPr>
                  </w:pPr>
                </w:p>
              </w:tc>
              <w:tc>
                <w:tcPr>
                  <w:tcW w:w="788" w:type="dxa"/>
                  <w:vMerge w:val="continue"/>
                  <w:tcBorders>
                    <w:tl2br w:val="nil"/>
                    <w:tr2bl w:val="nil"/>
                  </w:tcBorders>
                  <w:noWrap/>
                  <w:vAlign w:val="center"/>
                </w:tcPr>
                <w:p w14:paraId="69B74327">
                  <w:pPr>
                    <w:adjustRightInd w:val="0"/>
                    <w:snapToGrid w:val="0"/>
                    <w:jc w:val="center"/>
                    <w:rPr>
                      <w:bCs/>
                      <w:kern w:val="2"/>
                      <w:szCs w:val="21"/>
                      <w:u w:val="none" w:color="auto"/>
                    </w:rPr>
                  </w:pPr>
                </w:p>
              </w:tc>
              <w:tc>
                <w:tcPr>
                  <w:tcW w:w="1099" w:type="dxa"/>
                  <w:tcBorders>
                    <w:tl2br w:val="nil"/>
                    <w:tr2bl w:val="nil"/>
                  </w:tcBorders>
                  <w:noWrap/>
                  <w:vAlign w:val="center"/>
                </w:tcPr>
                <w:p w14:paraId="75FC582C">
                  <w:pPr>
                    <w:adjustRightInd w:val="0"/>
                    <w:snapToGrid w:val="0"/>
                    <w:jc w:val="center"/>
                    <w:rPr>
                      <w:rFonts w:hint="eastAsia" w:hAnsi="宋体" w:eastAsia="宋体"/>
                      <w:bCs/>
                      <w:kern w:val="2"/>
                      <w:szCs w:val="21"/>
                      <w:u w:val="none" w:color="auto"/>
                      <w:lang w:val="en-US" w:eastAsia="zh-CN"/>
                    </w:rPr>
                  </w:pPr>
                  <w:r>
                    <w:rPr>
                      <w:rFonts w:hint="eastAsia" w:hAnsi="宋体"/>
                      <w:bCs/>
                      <w:kern w:val="2"/>
                      <w:szCs w:val="21"/>
                      <w:u w:val="none" w:color="auto"/>
                      <w:lang w:val="en-US" w:eastAsia="zh-CN"/>
                    </w:rPr>
                    <w:t>袋装</w:t>
                  </w:r>
                </w:p>
              </w:tc>
              <w:tc>
                <w:tcPr>
                  <w:tcW w:w="743" w:type="dxa"/>
                  <w:vMerge w:val="continue"/>
                  <w:tcBorders>
                    <w:tl2br w:val="nil"/>
                    <w:tr2bl w:val="nil"/>
                  </w:tcBorders>
                  <w:noWrap/>
                  <w:vAlign w:val="center"/>
                </w:tcPr>
                <w:p w14:paraId="0B024848">
                  <w:pPr>
                    <w:adjustRightInd w:val="0"/>
                    <w:snapToGrid w:val="0"/>
                    <w:jc w:val="center"/>
                    <w:rPr>
                      <w:bCs/>
                      <w:kern w:val="2"/>
                      <w:szCs w:val="21"/>
                      <w:u w:val="none" w:color="auto"/>
                    </w:rPr>
                  </w:pPr>
                </w:p>
              </w:tc>
              <w:tc>
                <w:tcPr>
                  <w:tcW w:w="731" w:type="dxa"/>
                  <w:vMerge w:val="continue"/>
                  <w:tcBorders>
                    <w:tl2br w:val="nil"/>
                    <w:tr2bl w:val="nil"/>
                  </w:tcBorders>
                  <w:noWrap/>
                  <w:vAlign w:val="center"/>
                </w:tcPr>
                <w:p w14:paraId="4EAD7372">
                  <w:pPr>
                    <w:adjustRightInd w:val="0"/>
                    <w:snapToGrid w:val="0"/>
                    <w:jc w:val="center"/>
                    <w:rPr>
                      <w:bCs/>
                      <w:kern w:val="2"/>
                      <w:szCs w:val="21"/>
                      <w:u w:val="none" w:color="auto"/>
                    </w:rPr>
                  </w:pPr>
                </w:p>
              </w:tc>
            </w:tr>
            <w:tr w14:paraId="249C40B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50" w:type="dxa"/>
                  <w:tcBorders>
                    <w:tl2br w:val="nil"/>
                    <w:tr2bl w:val="nil"/>
                  </w:tcBorders>
                  <w:noWrap/>
                  <w:vAlign w:val="center"/>
                </w:tcPr>
                <w:p w14:paraId="110EA047">
                  <w:pPr>
                    <w:adjustRightInd w:val="0"/>
                    <w:snapToGrid w:val="0"/>
                    <w:jc w:val="center"/>
                    <w:rPr>
                      <w:rFonts w:hAnsi="宋体"/>
                      <w:szCs w:val="21"/>
                      <w:u w:val="none" w:color="auto"/>
                    </w:rPr>
                  </w:pPr>
                  <w:r>
                    <w:rPr>
                      <w:rFonts w:hint="eastAsia" w:hAnsi="宋体"/>
                      <w:szCs w:val="21"/>
                      <w:u w:val="none" w:color="auto"/>
                    </w:rPr>
                    <w:t>废催化剂</w:t>
                  </w:r>
                </w:p>
              </w:tc>
              <w:tc>
                <w:tcPr>
                  <w:tcW w:w="883" w:type="dxa"/>
                  <w:tcBorders>
                    <w:tl2br w:val="nil"/>
                    <w:tr2bl w:val="nil"/>
                  </w:tcBorders>
                  <w:noWrap/>
                  <w:vAlign w:val="center"/>
                </w:tcPr>
                <w:p w14:paraId="56993F2F">
                  <w:pPr>
                    <w:adjustRightInd w:val="0"/>
                    <w:snapToGrid w:val="0"/>
                    <w:jc w:val="center"/>
                    <w:rPr>
                      <w:color w:val="000000"/>
                      <w:szCs w:val="21"/>
                      <w:u w:val="none" w:color="auto"/>
                    </w:rPr>
                  </w:pPr>
                  <w:r>
                    <w:rPr>
                      <w:color w:val="000000"/>
                      <w:szCs w:val="21"/>
                      <w:u w:val="none" w:color="auto"/>
                    </w:rPr>
                    <w:t>HW</w:t>
                  </w:r>
                  <w:r>
                    <w:rPr>
                      <w:rFonts w:hint="eastAsia"/>
                      <w:color w:val="000000"/>
                      <w:szCs w:val="21"/>
                      <w:u w:val="none" w:color="auto"/>
                    </w:rPr>
                    <w:t>50</w:t>
                  </w:r>
                </w:p>
              </w:tc>
              <w:tc>
                <w:tcPr>
                  <w:tcW w:w="1405" w:type="dxa"/>
                  <w:tcBorders>
                    <w:tl2br w:val="nil"/>
                    <w:tr2bl w:val="nil"/>
                  </w:tcBorders>
                  <w:noWrap/>
                  <w:vAlign w:val="center"/>
                </w:tcPr>
                <w:p w14:paraId="51E87961">
                  <w:pPr>
                    <w:adjustRightInd w:val="0"/>
                    <w:snapToGrid w:val="0"/>
                    <w:jc w:val="center"/>
                    <w:rPr>
                      <w:color w:val="000000"/>
                      <w:szCs w:val="21"/>
                      <w:u w:val="none" w:color="auto"/>
                    </w:rPr>
                  </w:pPr>
                  <w:r>
                    <w:rPr>
                      <w:rFonts w:hint="eastAsia"/>
                      <w:color w:val="000000"/>
                      <w:szCs w:val="21"/>
                      <w:u w:val="none" w:color="auto"/>
                    </w:rPr>
                    <w:t>772-007-50</w:t>
                  </w:r>
                </w:p>
              </w:tc>
              <w:tc>
                <w:tcPr>
                  <w:tcW w:w="736" w:type="dxa"/>
                  <w:vMerge w:val="continue"/>
                  <w:tcBorders>
                    <w:tl2br w:val="nil"/>
                    <w:tr2bl w:val="nil"/>
                  </w:tcBorders>
                  <w:noWrap/>
                  <w:vAlign w:val="center"/>
                </w:tcPr>
                <w:p w14:paraId="361CDB1E">
                  <w:pPr>
                    <w:adjustRightInd w:val="0"/>
                    <w:snapToGrid w:val="0"/>
                    <w:jc w:val="center"/>
                    <w:rPr>
                      <w:rFonts w:hAnsi="宋体"/>
                      <w:bCs/>
                      <w:kern w:val="2"/>
                      <w:szCs w:val="21"/>
                      <w:u w:val="none" w:color="auto"/>
                    </w:rPr>
                  </w:pPr>
                </w:p>
              </w:tc>
              <w:tc>
                <w:tcPr>
                  <w:tcW w:w="788" w:type="dxa"/>
                  <w:vMerge w:val="continue"/>
                  <w:tcBorders>
                    <w:tl2br w:val="nil"/>
                    <w:tr2bl w:val="nil"/>
                  </w:tcBorders>
                  <w:noWrap/>
                  <w:vAlign w:val="center"/>
                </w:tcPr>
                <w:p w14:paraId="563BDAF7">
                  <w:pPr>
                    <w:adjustRightInd w:val="0"/>
                    <w:snapToGrid w:val="0"/>
                    <w:jc w:val="center"/>
                    <w:rPr>
                      <w:bCs/>
                      <w:kern w:val="2"/>
                      <w:szCs w:val="21"/>
                      <w:u w:val="none" w:color="auto"/>
                    </w:rPr>
                  </w:pPr>
                </w:p>
              </w:tc>
              <w:tc>
                <w:tcPr>
                  <w:tcW w:w="1099" w:type="dxa"/>
                  <w:tcBorders>
                    <w:tl2br w:val="nil"/>
                    <w:tr2bl w:val="nil"/>
                  </w:tcBorders>
                  <w:noWrap/>
                  <w:vAlign w:val="center"/>
                </w:tcPr>
                <w:p w14:paraId="4C6C9F08">
                  <w:pPr>
                    <w:adjustRightInd w:val="0"/>
                    <w:snapToGrid w:val="0"/>
                    <w:jc w:val="center"/>
                    <w:rPr>
                      <w:rFonts w:hint="eastAsia" w:hAnsi="宋体" w:eastAsia="宋体"/>
                      <w:bCs/>
                      <w:kern w:val="2"/>
                      <w:szCs w:val="21"/>
                      <w:u w:val="none" w:color="auto"/>
                      <w:lang w:val="en-US" w:eastAsia="zh-CN"/>
                    </w:rPr>
                  </w:pPr>
                  <w:r>
                    <w:rPr>
                      <w:rFonts w:hint="eastAsia" w:hAnsi="宋体"/>
                      <w:bCs/>
                      <w:kern w:val="2"/>
                      <w:szCs w:val="21"/>
                      <w:u w:val="none" w:color="auto"/>
                      <w:lang w:val="en-US" w:eastAsia="zh-CN"/>
                    </w:rPr>
                    <w:t>桶装</w:t>
                  </w:r>
                </w:p>
              </w:tc>
              <w:tc>
                <w:tcPr>
                  <w:tcW w:w="743" w:type="dxa"/>
                  <w:vMerge w:val="continue"/>
                  <w:tcBorders>
                    <w:tl2br w:val="nil"/>
                    <w:tr2bl w:val="nil"/>
                  </w:tcBorders>
                  <w:noWrap/>
                  <w:vAlign w:val="center"/>
                </w:tcPr>
                <w:p w14:paraId="43B558A1">
                  <w:pPr>
                    <w:adjustRightInd w:val="0"/>
                    <w:snapToGrid w:val="0"/>
                    <w:jc w:val="center"/>
                    <w:rPr>
                      <w:bCs/>
                      <w:kern w:val="2"/>
                      <w:szCs w:val="21"/>
                      <w:u w:val="none" w:color="auto"/>
                    </w:rPr>
                  </w:pPr>
                </w:p>
              </w:tc>
              <w:tc>
                <w:tcPr>
                  <w:tcW w:w="731" w:type="dxa"/>
                  <w:vMerge w:val="continue"/>
                  <w:tcBorders>
                    <w:tl2br w:val="nil"/>
                    <w:tr2bl w:val="nil"/>
                  </w:tcBorders>
                  <w:noWrap/>
                  <w:vAlign w:val="center"/>
                </w:tcPr>
                <w:p w14:paraId="56E1705C">
                  <w:pPr>
                    <w:adjustRightInd w:val="0"/>
                    <w:snapToGrid w:val="0"/>
                    <w:jc w:val="center"/>
                    <w:rPr>
                      <w:bCs/>
                      <w:kern w:val="2"/>
                      <w:szCs w:val="21"/>
                      <w:u w:val="none" w:color="auto"/>
                    </w:rPr>
                  </w:pPr>
                </w:p>
              </w:tc>
            </w:tr>
            <w:tr w14:paraId="6E5DC27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550" w:type="dxa"/>
                  <w:tcBorders>
                    <w:tl2br w:val="nil"/>
                    <w:tr2bl w:val="nil"/>
                  </w:tcBorders>
                  <w:noWrap/>
                  <w:vAlign w:val="center"/>
                </w:tcPr>
                <w:p w14:paraId="6750D892">
                  <w:pPr>
                    <w:adjustRightInd w:val="0"/>
                    <w:snapToGrid w:val="0"/>
                    <w:jc w:val="center"/>
                    <w:rPr>
                      <w:rFonts w:hint="eastAsia" w:hAnsi="宋体"/>
                      <w:szCs w:val="21"/>
                      <w:u w:val="none" w:color="auto"/>
                    </w:rPr>
                  </w:pPr>
                  <w:r>
                    <w:rPr>
                      <w:rFonts w:hint="eastAsia"/>
                      <w:color w:val="000000"/>
                      <w:sz w:val="21"/>
                      <w:szCs w:val="21"/>
                      <w:u w:val="none" w:color="auto"/>
                      <w:lang w:val="en-US" w:eastAsia="zh-CN"/>
                    </w:rPr>
                    <w:t>沉淀污泥</w:t>
                  </w:r>
                </w:p>
              </w:tc>
              <w:tc>
                <w:tcPr>
                  <w:tcW w:w="883" w:type="dxa"/>
                  <w:tcBorders>
                    <w:tl2br w:val="nil"/>
                    <w:tr2bl w:val="nil"/>
                  </w:tcBorders>
                  <w:noWrap/>
                  <w:vAlign w:val="center"/>
                </w:tcPr>
                <w:p w14:paraId="5FFB6B64">
                  <w:pPr>
                    <w:adjustRightInd w:val="0"/>
                    <w:snapToGrid w:val="0"/>
                    <w:jc w:val="center"/>
                    <w:rPr>
                      <w:color w:val="000000"/>
                      <w:szCs w:val="21"/>
                      <w:u w:val="none" w:color="auto"/>
                    </w:rPr>
                  </w:pPr>
                  <w:r>
                    <w:rPr>
                      <w:rFonts w:hint="eastAsia" w:ascii="Times New Roman" w:hAnsi="Times New Roman" w:eastAsia="宋体" w:cs="Times New Roman"/>
                      <w:color w:val="000000"/>
                      <w:sz w:val="21"/>
                      <w:szCs w:val="21"/>
                      <w:u w:val="none" w:color="auto"/>
                      <w:lang w:val="en-US" w:eastAsia="zh-CN"/>
                    </w:rPr>
                    <w:t>HW</w:t>
                  </w:r>
                  <w:r>
                    <w:rPr>
                      <w:rFonts w:hint="eastAsia" w:cs="Times New Roman"/>
                      <w:color w:val="000000"/>
                      <w:sz w:val="21"/>
                      <w:szCs w:val="21"/>
                      <w:u w:val="none" w:color="auto"/>
                      <w:lang w:val="en-US" w:eastAsia="zh-CN"/>
                    </w:rPr>
                    <w:t>49</w:t>
                  </w:r>
                </w:p>
              </w:tc>
              <w:tc>
                <w:tcPr>
                  <w:tcW w:w="1405" w:type="dxa"/>
                  <w:tcBorders>
                    <w:tl2br w:val="nil"/>
                    <w:tr2bl w:val="nil"/>
                  </w:tcBorders>
                  <w:noWrap/>
                  <w:vAlign w:val="center"/>
                </w:tcPr>
                <w:p w14:paraId="5B46E0BC">
                  <w:pPr>
                    <w:adjustRightInd w:val="0"/>
                    <w:snapToGrid w:val="0"/>
                    <w:jc w:val="center"/>
                    <w:rPr>
                      <w:rFonts w:hint="eastAsia"/>
                      <w:color w:val="000000"/>
                      <w:szCs w:val="21"/>
                      <w:u w:val="none" w:color="auto"/>
                    </w:rPr>
                  </w:pP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772-006-49</w:t>
                  </w:r>
                </w:p>
              </w:tc>
              <w:tc>
                <w:tcPr>
                  <w:tcW w:w="736" w:type="dxa"/>
                  <w:vMerge w:val="continue"/>
                  <w:tcBorders>
                    <w:tl2br w:val="nil"/>
                    <w:tr2bl w:val="nil"/>
                  </w:tcBorders>
                  <w:noWrap/>
                  <w:vAlign w:val="center"/>
                </w:tcPr>
                <w:p w14:paraId="26893B0A">
                  <w:pPr>
                    <w:adjustRightInd w:val="0"/>
                    <w:snapToGrid w:val="0"/>
                    <w:jc w:val="center"/>
                    <w:rPr>
                      <w:rFonts w:hAnsi="宋体"/>
                      <w:bCs/>
                      <w:kern w:val="2"/>
                      <w:szCs w:val="21"/>
                      <w:u w:val="none" w:color="auto"/>
                    </w:rPr>
                  </w:pPr>
                </w:p>
              </w:tc>
              <w:tc>
                <w:tcPr>
                  <w:tcW w:w="788" w:type="dxa"/>
                  <w:vMerge w:val="continue"/>
                  <w:tcBorders>
                    <w:tl2br w:val="nil"/>
                    <w:tr2bl w:val="nil"/>
                  </w:tcBorders>
                  <w:noWrap/>
                  <w:vAlign w:val="center"/>
                </w:tcPr>
                <w:p w14:paraId="796292CC">
                  <w:pPr>
                    <w:adjustRightInd w:val="0"/>
                    <w:snapToGrid w:val="0"/>
                    <w:jc w:val="center"/>
                    <w:rPr>
                      <w:bCs/>
                      <w:kern w:val="2"/>
                      <w:szCs w:val="21"/>
                      <w:u w:val="none" w:color="auto"/>
                    </w:rPr>
                  </w:pPr>
                </w:p>
              </w:tc>
              <w:tc>
                <w:tcPr>
                  <w:tcW w:w="1099" w:type="dxa"/>
                  <w:tcBorders>
                    <w:tl2br w:val="nil"/>
                    <w:tr2bl w:val="nil"/>
                  </w:tcBorders>
                  <w:noWrap/>
                  <w:vAlign w:val="center"/>
                </w:tcPr>
                <w:p w14:paraId="281E300A">
                  <w:pPr>
                    <w:adjustRightInd w:val="0"/>
                    <w:snapToGrid w:val="0"/>
                    <w:jc w:val="center"/>
                    <w:rPr>
                      <w:rFonts w:hAnsi="宋体"/>
                      <w:bCs/>
                      <w:kern w:val="2"/>
                      <w:szCs w:val="21"/>
                      <w:u w:val="none" w:color="auto"/>
                    </w:rPr>
                  </w:pPr>
                  <w:r>
                    <w:rPr>
                      <w:rFonts w:hint="eastAsia" w:hAnsi="宋体"/>
                      <w:bCs/>
                      <w:kern w:val="2"/>
                      <w:szCs w:val="21"/>
                      <w:u w:val="none" w:color="auto"/>
                    </w:rPr>
                    <w:t>内层PE</w:t>
                  </w:r>
                  <w:r>
                    <w:rPr>
                      <w:rFonts w:hint="eastAsia" w:hAnsi="宋体"/>
                      <w:bCs/>
                      <w:kern w:val="2"/>
                      <w:szCs w:val="21"/>
                      <w:u w:val="none" w:color="auto"/>
                      <w:lang w:val="en-US" w:eastAsia="zh-CN"/>
                    </w:rPr>
                    <w:t>吨</w:t>
                  </w:r>
                  <w:r>
                    <w:rPr>
                      <w:rFonts w:hint="eastAsia" w:hAnsi="宋体"/>
                      <w:bCs/>
                      <w:kern w:val="2"/>
                      <w:szCs w:val="21"/>
                      <w:u w:val="none" w:color="auto"/>
                    </w:rPr>
                    <w:t>袋</w:t>
                  </w:r>
                </w:p>
              </w:tc>
              <w:tc>
                <w:tcPr>
                  <w:tcW w:w="743" w:type="dxa"/>
                  <w:vMerge w:val="continue"/>
                  <w:tcBorders>
                    <w:tl2br w:val="nil"/>
                    <w:tr2bl w:val="nil"/>
                  </w:tcBorders>
                  <w:noWrap/>
                  <w:vAlign w:val="center"/>
                </w:tcPr>
                <w:p w14:paraId="5CF33A83">
                  <w:pPr>
                    <w:adjustRightInd w:val="0"/>
                    <w:snapToGrid w:val="0"/>
                    <w:jc w:val="center"/>
                    <w:rPr>
                      <w:bCs/>
                      <w:kern w:val="2"/>
                      <w:szCs w:val="21"/>
                      <w:u w:val="none" w:color="auto"/>
                    </w:rPr>
                  </w:pPr>
                </w:p>
              </w:tc>
              <w:tc>
                <w:tcPr>
                  <w:tcW w:w="731" w:type="dxa"/>
                  <w:vMerge w:val="continue"/>
                  <w:tcBorders>
                    <w:tl2br w:val="nil"/>
                    <w:tr2bl w:val="nil"/>
                  </w:tcBorders>
                  <w:noWrap/>
                  <w:vAlign w:val="center"/>
                </w:tcPr>
                <w:p w14:paraId="3433D630">
                  <w:pPr>
                    <w:adjustRightInd w:val="0"/>
                    <w:snapToGrid w:val="0"/>
                    <w:jc w:val="center"/>
                    <w:rPr>
                      <w:bCs/>
                      <w:kern w:val="2"/>
                      <w:szCs w:val="21"/>
                      <w:u w:val="none" w:color="auto"/>
                    </w:rPr>
                  </w:pPr>
                </w:p>
              </w:tc>
            </w:tr>
            <w:tr w14:paraId="354D7BA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50" w:type="dxa"/>
                  <w:tcBorders>
                    <w:tl2br w:val="nil"/>
                    <w:tr2bl w:val="nil"/>
                  </w:tcBorders>
                  <w:noWrap/>
                  <w:vAlign w:val="center"/>
                </w:tcPr>
                <w:p w14:paraId="1EE7DBE5">
                  <w:pPr>
                    <w:adjustRightInd w:val="0"/>
                    <w:snapToGrid w:val="0"/>
                    <w:jc w:val="center"/>
                    <w:rPr>
                      <w:rFonts w:hint="default"/>
                      <w:color w:val="000000"/>
                      <w:sz w:val="21"/>
                      <w:szCs w:val="21"/>
                      <w:u w:val="none" w:color="auto"/>
                      <w:lang w:val="en-US" w:eastAsia="zh-CN"/>
                    </w:rPr>
                  </w:pPr>
                  <w:r>
                    <w:rPr>
                      <w:rFonts w:hint="eastAsia"/>
                      <w:color w:val="000000"/>
                      <w:sz w:val="21"/>
                      <w:szCs w:val="21"/>
                      <w:u w:val="none" w:color="auto"/>
                      <w:lang w:val="en-US" w:eastAsia="zh-CN"/>
                    </w:rPr>
                    <w:t>检测废液</w:t>
                  </w:r>
                </w:p>
              </w:tc>
              <w:tc>
                <w:tcPr>
                  <w:tcW w:w="883" w:type="dxa"/>
                  <w:tcBorders>
                    <w:tl2br w:val="nil"/>
                    <w:tr2bl w:val="nil"/>
                  </w:tcBorders>
                  <w:shd w:val="clear" w:color="auto" w:fill="auto"/>
                  <w:noWrap/>
                  <w:vAlign w:val="center"/>
                </w:tcPr>
                <w:p w14:paraId="1E535F0F">
                  <w:pPr>
                    <w:adjustRightInd w:val="0"/>
                    <w:snapToGrid w:val="0"/>
                    <w:jc w:val="center"/>
                    <w:rPr>
                      <w:rFonts w:hint="eastAsia" w:ascii="Times New Roman" w:hAnsi="宋体" w:eastAsia="宋体" w:cs="Times New Roman"/>
                      <w:kern w:val="2"/>
                      <w:sz w:val="21"/>
                      <w:szCs w:val="21"/>
                      <w:u w:val="none" w:color="auto"/>
                      <w:lang w:val="en-US" w:eastAsia="zh-CN" w:bidi="ar-SA"/>
                    </w:rPr>
                  </w:pPr>
                  <w:r>
                    <w:rPr>
                      <w:rFonts w:hint="eastAsia" w:ascii="Times New Roman" w:hAnsi="Times New Roman" w:eastAsia="宋体" w:cs="Times New Roman"/>
                      <w:color w:val="000000"/>
                      <w:sz w:val="21"/>
                      <w:szCs w:val="21"/>
                      <w:u w:val="none" w:color="auto"/>
                      <w:lang w:val="en-US" w:eastAsia="zh-CN"/>
                    </w:rPr>
                    <w:t>HW</w:t>
                  </w:r>
                  <w:r>
                    <w:rPr>
                      <w:rFonts w:hint="eastAsia" w:cs="Times New Roman"/>
                      <w:color w:val="000000"/>
                      <w:sz w:val="21"/>
                      <w:szCs w:val="21"/>
                      <w:u w:val="none" w:color="auto"/>
                      <w:lang w:val="en-US" w:eastAsia="zh-CN"/>
                    </w:rPr>
                    <w:t>49</w:t>
                  </w:r>
                </w:p>
              </w:tc>
              <w:tc>
                <w:tcPr>
                  <w:tcW w:w="1405" w:type="dxa"/>
                  <w:tcBorders>
                    <w:tl2br w:val="nil"/>
                    <w:tr2bl w:val="nil"/>
                  </w:tcBorders>
                  <w:shd w:val="clear" w:color="auto" w:fill="auto"/>
                  <w:noWrap/>
                  <w:vAlign w:val="center"/>
                </w:tcPr>
                <w:p w14:paraId="53D7CFCF">
                  <w:pPr>
                    <w:adjustRightInd w:val="0"/>
                    <w:snapToGrid w:val="0"/>
                    <w:jc w:val="center"/>
                    <w:rPr>
                      <w:rFonts w:hint="eastAsia" w:ascii="Times New Roman" w:hAnsi="Times New Roman" w:eastAsia="宋体" w:cs="Times New Roman"/>
                      <w:color w:val="000000"/>
                      <w:kern w:val="2"/>
                      <w:sz w:val="21"/>
                      <w:szCs w:val="21"/>
                      <w:u w:val="none" w:color="auto"/>
                      <w:lang w:val="en-US" w:eastAsia="zh-CN" w:bidi="ar-SA"/>
                    </w:rPr>
                  </w:pPr>
                  <w:r>
                    <w:rPr>
                      <w:rFonts w:hint="eastAsia" w:cs="Times New Roman"/>
                      <w:color w:val="000000"/>
                      <w:sz w:val="21"/>
                      <w:szCs w:val="21"/>
                      <w:u w:val="none" w:color="auto"/>
                      <w:lang w:val="en-US" w:eastAsia="zh-CN"/>
                    </w:rPr>
                    <w:t>900-047-49</w:t>
                  </w:r>
                </w:p>
              </w:tc>
              <w:tc>
                <w:tcPr>
                  <w:tcW w:w="736" w:type="dxa"/>
                  <w:vMerge w:val="continue"/>
                  <w:tcBorders>
                    <w:tl2br w:val="nil"/>
                    <w:tr2bl w:val="nil"/>
                  </w:tcBorders>
                  <w:noWrap/>
                  <w:vAlign w:val="center"/>
                </w:tcPr>
                <w:p w14:paraId="6F72A5A9">
                  <w:pPr>
                    <w:adjustRightInd w:val="0"/>
                    <w:snapToGrid w:val="0"/>
                    <w:jc w:val="center"/>
                    <w:rPr>
                      <w:rFonts w:hAnsi="宋体"/>
                      <w:bCs/>
                      <w:kern w:val="2"/>
                      <w:szCs w:val="21"/>
                      <w:u w:val="none" w:color="auto"/>
                    </w:rPr>
                  </w:pPr>
                </w:p>
              </w:tc>
              <w:tc>
                <w:tcPr>
                  <w:tcW w:w="788" w:type="dxa"/>
                  <w:vMerge w:val="continue"/>
                  <w:tcBorders>
                    <w:tl2br w:val="nil"/>
                    <w:tr2bl w:val="nil"/>
                  </w:tcBorders>
                  <w:noWrap/>
                  <w:vAlign w:val="center"/>
                </w:tcPr>
                <w:p w14:paraId="2BDB3241">
                  <w:pPr>
                    <w:adjustRightInd w:val="0"/>
                    <w:snapToGrid w:val="0"/>
                    <w:jc w:val="center"/>
                    <w:rPr>
                      <w:bCs/>
                      <w:kern w:val="2"/>
                      <w:szCs w:val="21"/>
                      <w:u w:val="none" w:color="auto"/>
                    </w:rPr>
                  </w:pPr>
                </w:p>
              </w:tc>
              <w:tc>
                <w:tcPr>
                  <w:tcW w:w="1099" w:type="dxa"/>
                  <w:tcBorders>
                    <w:tl2br w:val="nil"/>
                    <w:tr2bl w:val="nil"/>
                  </w:tcBorders>
                  <w:noWrap/>
                  <w:vAlign w:val="center"/>
                </w:tcPr>
                <w:p w14:paraId="66286638">
                  <w:pPr>
                    <w:adjustRightInd w:val="0"/>
                    <w:snapToGrid w:val="0"/>
                    <w:jc w:val="center"/>
                    <w:rPr>
                      <w:rFonts w:hint="eastAsia" w:hAnsi="宋体" w:eastAsia="宋体"/>
                      <w:bCs/>
                      <w:kern w:val="2"/>
                      <w:szCs w:val="21"/>
                      <w:u w:val="none" w:color="auto"/>
                      <w:lang w:val="en-US" w:eastAsia="zh-CN"/>
                    </w:rPr>
                  </w:pPr>
                  <w:r>
                    <w:rPr>
                      <w:rFonts w:hint="eastAsia" w:hAnsi="宋体"/>
                      <w:bCs/>
                      <w:kern w:val="2"/>
                      <w:szCs w:val="21"/>
                      <w:u w:val="none" w:color="auto"/>
                      <w:lang w:val="en-US" w:eastAsia="zh-CN"/>
                    </w:rPr>
                    <w:t>桶装</w:t>
                  </w:r>
                </w:p>
              </w:tc>
              <w:tc>
                <w:tcPr>
                  <w:tcW w:w="743" w:type="dxa"/>
                  <w:vMerge w:val="continue"/>
                  <w:tcBorders>
                    <w:tl2br w:val="nil"/>
                    <w:tr2bl w:val="nil"/>
                  </w:tcBorders>
                  <w:noWrap/>
                  <w:vAlign w:val="center"/>
                </w:tcPr>
                <w:p w14:paraId="502FE27E">
                  <w:pPr>
                    <w:adjustRightInd w:val="0"/>
                    <w:snapToGrid w:val="0"/>
                    <w:jc w:val="center"/>
                    <w:rPr>
                      <w:bCs/>
                      <w:kern w:val="2"/>
                      <w:szCs w:val="21"/>
                      <w:u w:val="none" w:color="auto"/>
                    </w:rPr>
                  </w:pPr>
                </w:p>
              </w:tc>
              <w:tc>
                <w:tcPr>
                  <w:tcW w:w="731" w:type="dxa"/>
                  <w:vMerge w:val="continue"/>
                  <w:tcBorders>
                    <w:tl2br w:val="nil"/>
                    <w:tr2bl w:val="nil"/>
                  </w:tcBorders>
                  <w:noWrap/>
                  <w:vAlign w:val="center"/>
                </w:tcPr>
                <w:p w14:paraId="2AD600C4">
                  <w:pPr>
                    <w:adjustRightInd w:val="0"/>
                    <w:snapToGrid w:val="0"/>
                    <w:jc w:val="center"/>
                    <w:rPr>
                      <w:bCs/>
                      <w:kern w:val="2"/>
                      <w:szCs w:val="21"/>
                      <w:u w:val="none" w:color="auto"/>
                    </w:rPr>
                  </w:pPr>
                </w:p>
              </w:tc>
            </w:tr>
          </w:tbl>
          <w:p w14:paraId="0BAB3164">
            <w:pPr>
              <w:keepNext w:val="0"/>
              <w:keepLines w:val="0"/>
              <w:pageBreakBefore w:val="0"/>
              <w:widowControl w:val="0"/>
              <w:kinsoku/>
              <w:wordWrap/>
              <w:overflowPunct/>
              <w:topLinePunct w:val="0"/>
              <w:autoSpaceDE/>
              <w:autoSpaceDN/>
              <w:bidi w:val="0"/>
              <w:adjustRightInd w:val="0"/>
              <w:snapToGrid w:val="0"/>
              <w:spacing w:line="440" w:lineRule="exact"/>
              <w:ind w:firstLine="442" w:firstLineChars="200"/>
              <w:textAlignment w:val="auto"/>
              <w:rPr>
                <w:b/>
                <w:spacing w:val="-10"/>
                <w:sz w:val="24"/>
                <w:u w:val="none" w:color="auto"/>
              </w:rPr>
            </w:pPr>
            <w:r>
              <w:rPr>
                <w:b/>
                <w:spacing w:val="-10"/>
                <w:sz w:val="24"/>
                <w:u w:val="none" w:color="auto"/>
              </w:rPr>
              <w:t>（</w:t>
            </w:r>
            <w:r>
              <w:rPr>
                <w:rFonts w:hint="eastAsia"/>
                <w:b/>
                <w:spacing w:val="-10"/>
                <w:sz w:val="24"/>
                <w:u w:val="none" w:color="auto"/>
              </w:rPr>
              <w:t>二</w:t>
            </w:r>
            <w:r>
              <w:rPr>
                <w:b/>
                <w:spacing w:val="-10"/>
                <w:sz w:val="24"/>
                <w:u w:val="none" w:color="auto"/>
              </w:rPr>
              <w:t>）固废环境影响结论</w:t>
            </w:r>
          </w:p>
          <w:p w14:paraId="654F075D">
            <w:pPr>
              <w:keepNext w:val="0"/>
              <w:keepLines w:val="0"/>
              <w:pageBreakBefore w:val="0"/>
              <w:widowControl w:val="0"/>
              <w:tabs>
                <w:tab w:val="left" w:pos="720"/>
              </w:tabs>
              <w:kinsoku/>
              <w:wordWrap/>
              <w:overflowPunct/>
              <w:topLinePunct w:val="0"/>
              <w:autoSpaceDE/>
              <w:autoSpaceDN/>
              <w:bidi w:val="0"/>
              <w:adjustRightInd w:val="0"/>
              <w:snapToGrid w:val="0"/>
              <w:spacing w:line="440" w:lineRule="exact"/>
              <w:ind w:firstLine="480" w:firstLineChars="200"/>
              <w:textAlignment w:val="auto"/>
              <w:rPr>
                <w:sz w:val="24"/>
                <w:highlight w:val="yellow"/>
                <w:u w:val="none" w:color="auto"/>
              </w:rPr>
            </w:pPr>
            <w:r>
              <w:rPr>
                <w:bCs/>
                <w:sz w:val="24"/>
                <w:u w:val="none" w:color="auto"/>
              </w:rPr>
              <w:t>本项目固体废物全部得到综合利用和安全处置，措施可行。项目产生的固废经妥善处理后，不会对当地环境造成明显的影响。</w:t>
            </w:r>
          </w:p>
          <w:p w14:paraId="7555014F">
            <w:pPr>
              <w:keepNext w:val="0"/>
              <w:keepLines w:val="0"/>
              <w:pageBreakBefore w:val="0"/>
              <w:widowControl w:val="0"/>
              <w:tabs>
                <w:tab w:val="left" w:pos="720"/>
              </w:tabs>
              <w:kinsoku/>
              <w:wordWrap/>
              <w:overflowPunct/>
              <w:topLinePunct w:val="0"/>
              <w:autoSpaceDE/>
              <w:autoSpaceDN/>
              <w:bidi w:val="0"/>
              <w:adjustRightInd w:val="0"/>
              <w:snapToGrid w:val="0"/>
              <w:spacing w:line="440" w:lineRule="exact"/>
              <w:ind w:firstLine="482" w:firstLineChars="200"/>
              <w:textAlignment w:val="auto"/>
              <w:rPr>
                <w:rFonts w:hint="default" w:eastAsia="宋体"/>
                <w:sz w:val="24"/>
                <w:u w:val="none" w:color="auto"/>
                <w:lang w:val="en-US" w:eastAsia="zh-CN"/>
              </w:rPr>
            </w:pPr>
            <w:r>
              <w:rPr>
                <w:b/>
                <w:bCs/>
                <w:sz w:val="24"/>
                <w:u w:val="none" w:color="auto"/>
              </w:rPr>
              <w:t>五、</w:t>
            </w:r>
            <w:r>
              <w:rPr>
                <w:rFonts w:hint="eastAsia"/>
                <w:b/>
                <w:bCs/>
                <w:sz w:val="24"/>
                <w:u w:val="none" w:color="auto"/>
                <w:lang w:val="en-US" w:eastAsia="zh-CN"/>
              </w:rPr>
              <w:t>地下水、土壤</w:t>
            </w:r>
          </w:p>
          <w:p w14:paraId="20B4207C">
            <w:pPr>
              <w:pStyle w:val="8"/>
              <w:numPr>
                <w:ilvl w:val="255"/>
                <w:numId w:val="0"/>
              </w:numPr>
              <w:adjustRightInd w:val="0"/>
              <w:snapToGrid w:val="0"/>
              <w:spacing w:before="0" w:after="0" w:line="440" w:lineRule="exact"/>
              <w:ind w:firstLine="480" w:firstLineChars="200"/>
              <w:jc w:val="left"/>
              <w:textAlignment w:val="baseline"/>
              <w:outlineLvl w:val="3"/>
              <w:rPr>
                <w:rFonts w:hint="eastAsia" w:ascii="Times New Roman" w:hAnsi="Times New Roman" w:eastAsia="宋体" w:cs="Times New Roman"/>
                <w:b w:val="0"/>
                <w:bCs/>
                <w:sz w:val="24"/>
                <w:u w:val="none" w:color="auto"/>
              </w:rPr>
            </w:pPr>
            <w:r>
              <w:rPr>
                <w:rFonts w:hint="eastAsia" w:ascii="Times New Roman" w:hAnsi="Times New Roman" w:eastAsia="宋体" w:cs="Times New Roman"/>
                <w:b w:val="0"/>
                <w:bCs/>
                <w:sz w:val="24"/>
                <w:u w:val="none" w:color="auto"/>
              </w:rPr>
              <w:t>本项目不涉及地下水、土壤污染。厂区内地面已进行了水泥硬化及植被绿化，无大片裸露土地，对地下水、土壤造成影响较小。</w:t>
            </w:r>
          </w:p>
          <w:p w14:paraId="1E4EB87F">
            <w:pPr>
              <w:pStyle w:val="8"/>
              <w:numPr>
                <w:ilvl w:val="255"/>
                <w:numId w:val="0"/>
              </w:numPr>
              <w:adjustRightInd w:val="0"/>
              <w:snapToGrid w:val="0"/>
              <w:spacing w:before="0" w:after="0" w:line="440" w:lineRule="exact"/>
              <w:ind w:firstLine="480" w:firstLineChars="200"/>
              <w:jc w:val="left"/>
              <w:textAlignment w:val="baseline"/>
              <w:outlineLvl w:val="3"/>
              <w:rPr>
                <w:rFonts w:hint="eastAsia" w:ascii="Times New Roman" w:hAnsi="Times New Roman" w:eastAsia="宋体" w:cs="Times New Roman"/>
                <w:b w:val="0"/>
                <w:bCs/>
                <w:sz w:val="24"/>
                <w:u w:val="none" w:color="auto"/>
              </w:rPr>
            </w:pPr>
            <w:r>
              <w:rPr>
                <w:rFonts w:hint="eastAsia" w:ascii="Times New Roman" w:hAnsi="Times New Roman" w:eastAsia="宋体" w:cs="Times New Roman"/>
                <w:b w:val="0"/>
                <w:bCs/>
                <w:sz w:val="24"/>
                <w:u w:val="none" w:color="auto"/>
              </w:rPr>
              <w:t>为减轻或避免对土壤造成不利影响，对项目建设提出相应的控制措施，具体如下：</w:t>
            </w:r>
          </w:p>
          <w:p w14:paraId="4B9E8DD0">
            <w:pPr>
              <w:pStyle w:val="8"/>
              <w:numPr>
                <w:ilvl w:val="255"/>
                <w:numId w:val="0"/>
              </w:numPr>
              <w:adjustRightInd w:val="0"/>
              <w:snapToGrid w:val="0"/>
              <w:spacing w:before="0" w:after="0" w:line="440" w:lineRule="exact"/>
              <w:ind w:firstLine="480" w:firstLineChars="200"/>
              <w:jc w:val="left"/>
              <w:textAlignment w:val="baseline"/>
              <w:outlineLvl w:val="3"/>
              <w:rPr>
                <w:rFonts w:hint="eastAsia" w:ascii="Times New Roman" w:hAnsi="Times New Roman" w:eastAsia="宋体" w:cs="Times New Roman"/>
                <w:b w:val="0"/>
                <w:bCs/>
                <w:sz w:val="24"/>
                <w:u w:val="none" w:color="auto"/>
              </w:rPr>
            </w:pPr>
            <w:r>
              <w:rPr>
                <w:rFonts w:hint="eastAsia" w:ascii="Times New Roman" w:hAnsi="Times New Roman" w:eastAsia="宋体" w:cs="Times New Roman"/>
                <w:b w:val="0"/>
                <w:bCs/>
                <w:sz w:val="24"/>
                <w:u w:val="none" w:color="auto"/>
              </w:rPr>
              <w:t>（1）源头控制</w:t>
            </w:r>
          </w:p>
          <w:p w14:paraId="7BA633E6">
            <w:pPr>
              <w:pStyle w:val="8"/>
              <w:numPr>
                <w:ilvl w:val="255"/>
                <w:numId w:val="0"/>
              </w:numPr>
              <w:adjustRightInd w:val="0"/>
              <w:snapToGrid w:val="0"/>
              <w:spacing w:before="0" w:after="0" w:line="440" w:lineRule="exact"/>
              <w:ind w:firstLine="480" w:firstLineChars="200"/>
              <w:jc w:val="left"/>
              <w:textAlignment w:val="baseline"/>
              <w:outlineLvl w:val="3"/>
              <w:rPr>
                <w:rFonts w:hint="eastAsia" w:ascii="Times New Roman" w:hAnsi="Times New Roman" w:eastAsia="宋体" w:cs="Times New Roman"/>
                <w:b w:val="0"/>
                <w:bCs/>
                <w:kern w:val="2"/>
                <w:sz w:val="24"/>
                <w:szCs w:val="24"/>
                <w:u w:val="none" w:color="auto"/>
                <w:lang w:val="en-US" w:eastAsia="zh-CN" w:bidi="ar-SA"/>
              </w:rPr>
            </w:pPr>
            <w:r>
              <w:rPr>
                <w:rFonts w:hint="eastAsia" w:ascii="Times New Roman" w:hAnsi="Times New Roman" w:eastAsia="宋体" w:cs="Times New Roman"/>
                <w:b w:val="0"/>
                <w:bCs/>
                <w:sz w:val="24"/>
                <w:u w:val="none" w:color="auto"/>
              </w:rPr>
              <w:t>企业应加强管理，安排专职人员管理，定期检查生产车间地面状况，预防地面破损、</w:t>
            </w:r>
            <w:r>
              <w:rPr>
                <w:rFonts w:hint="eastAsia" w:ascii="Times New Roman" w:hAnsi="Times New Roman" w:eastAsia="宋体" w:cs="Times New Roman"/>
                <w:b w:val="0"/>
                <w:bCs/>
                <w:kern w:val="2"/>
                <w:sz w:val="24"/>
                <w:szCs w:val="24"/>
                <w:u w:val="none" w:color="auto"/>
                <w:lang w:val="en-US" w:eastAsia="zh-CN" w:bidi="ar-SA"/>
              </w:rPr>
              <w:t>开裂；生产设备定期检查维护，从而预防泄漏的发生。</w:t>
            </w:r>
          </w:p>
          <w:p w14:paraId="26EC9116">
            <w:pPr>
              <w:pStyle w:val="8"/>
              <w:numPr>
                <w:ilvl w:val="255"/>
                <w:numId w:val="0"/>
              </w:numPr>
              <w:adjustRightInd w:val="0"/>
              <w:snapToGrid w:val="0"/>
              <w:spacing w:before="0" w:after="0" w:line="440" w:lineRule="exact"/>
              <w:ind w:firstLine="480" w:firstLineChars="200"/>
              <w:jc w:val="left"/>
              <w:textAlignment w:val="baseline"/>
              <w:outlineLvl w:val="3"/>
              <w:rPr>
                <w:rFonts w:hint="eastAsia" w:ascii="Times New Roman" w:hAnsi="Times New Roman" w:eastAsia="宋体" w:cs="Times New Roman"/>
                <w:b w:val="0"/>
                <w:bCs/>
                <w:kern w:val="2"/>
                <w:sz w:val="24"/>
                <w:szCs w:val="24"/>
                <w:u w:val="none" w:color="auto"/>
                <w:lang w:val="en-US" w:eastAsia="zh-CN" w:bidi="ar-SA"/>
              </w:rPr>
            </w:pPr>
            <w:r>
              <w:rPr>
                <w:rFonts w:hint="eastAsia" w:ascii="Times New Roman" w:hAnsi="Times New Roman" w:eastAsia="宋体" w:cs="Times New Roman"/>
                <w:b w:val="0"/>
                <w:bCs/>
                <w:kern w:val="2"/>
                <w:sz w:val="24"/>
                <w:szCs w:val="24"/>
                <w:u w:val="none" w:color="auto"/>
                <w:lang w:val="en-US" w:eastAsia="zh-CN" w:bidi="ar-SA"/>
              </w:rPr>
              <w:t>（2）过程防控措施</w:t>
            </w:r>
          </w:p>
          <w:p w14:paraId="6702A4FB">
            <w:pPr>
              <w:pStyle w:val="8"/>
              <w:numPr>
                <w:ilvl w:val="255"/>
                <w:numId w:val="0"/>
              </w:numPr>
              <w:adjustRightInd w:val="0"/>
              <w:snapToGrid w:val="0"/>
              <w:spacing w:before="0" w:after="0" w:line="440" w:lineRule="exact"/>
              <w:ind w:firstLine="480" w:firstLineChars="200"/>
              <w:jc w:val="left"/>
              <w:textAlignment w:val="baseline"/>
              <w:outlineLvl w:val="3"/>
              <w:rPr>
                <w:rFonts w:hint="eastAsia" w:ascii="Times New Roman" w:hAnsi="Times New Roman" w:eastAsia="宋体" w:cs="Times New Roman"/>
                <w:b w:val="0"/>
                <w:bCs/>
                <w:kern w:val="2"/>
                <w:sz w:val="24"/>
                <w:szCs w:val="24"/>
                <w:u w:val="none" w:color="auto"/>
                <w:lang w:val="en-US" w:eastAsia="zh-CN" w:bidi="ar-SA"/>
              </w:rPr>
            </w:pPr>
            <w:r>
              <w:rPr>
                <w:rFonts w:hint="eastAsia" w:ascii="Times New Roman" w:hAnsi="Times New Roman" w:eastAsia="宋体" w:cs="Times New Roman"/>
                <w:b w:val="0"/>
                <w:bCs/>
                <w:kern w:val="2"/>
                <w:sz w:val="24"/>
                <w:szCs w:val="24"/>
                <w:u w:val="none" w:color="auto"/>
                <w:lang w:val="en-US" w:eastAsia="zh-CN" w:bidi="ar-SA"/>
              </w:rPr>
              <w:t>生产车间地面应按照相关要求做好防渗工作，避免出现</w:t>
            </w:r>
            <w:r>
              <w:rPr>
                <w:rFonts w:hint="eastAsia" w:cs="Times New Roman"/>
                <w:b w:val="0"/>
                <w:bCs/>
                <w:kern w:val="2"/>
                <w:sz w:val="24"/>
                <w:szCs w:val="24"/>
                <w:u w:val="none" w:color="auto"/>
                <w:lang w:val="en-US" w:eastAsia="zh-CN" w:bidi="ar-SA"/>
              </w:rPr>
              <w:t>泄漏</w:t>
            </w:r>
            <w:r>
              <w:rPr>
                <w:rFonts w:hint="eastAsia" w:ascii="Times New Roman" w:hAnsi="Times New Roman" w:eastAsia="宋体" w:cs="Times New Roman"/>
                <w:b w:val="0"/>
                <w:bCs/>
                <w:kern w:val="2"/>
                <w:sz w:val="24"/>
                <w:szCs w:val="24"/>
                <w:u w:val="none" w:color="auto"/>
                <w:lang w:val="en-US" w:eastAsia="zh-CN" w:bidi="ar-SA"/>
              </w:rPr>
              <w:t>等现象的发生。在发现地面破损、开裂、设备故障等情况下，应立即切断电源，禁止设备故障运行，对地面进行修补，将地面开裂处受污染的土壤移出，避免进一步入渗引起下层土壤及地下水污染。</w:t>
            </w:r>
          </w:p>
          <w:p w14:paraId="0A66C255">
            <w:pPr>
              <w:pStyle w:val="8"/>
              <w:numPr>
                <w:ilvl w:val="255"/>
                <w:numId w:val="0"/>
              </w:numPr>
              <w:adjustRightInd w:val="0"/>
              <w:snapToGrid w:val="0"/>
              <w:spacing w:before="0" w:after="0" w:line="440" w:lineRule="exact"/>
              <w:ind w:firstLine="482" w:firstLineChars="200"/>
              <w:jc w:val="left"/>
              <w:textAlignment w:val="baseline"/>
              <w:outlineLvl w:val="3"/>
              <w:rPr>
                <w:rFonts w:hint="eastAsia" w:ascii="Times New Roman" w:hAnsi="Times New Roman" w:eastAsia="宋体" w:cs="Times New Roman"/>
                <w:b/>
                <w:bCs w:val="0"/>
                <w:kern w:val="2"/>
                <w:sz w:val="24"/>
                <w:szCs w:val="24"/>
                <w:u w:val="none" w:color="auto"/>
                <w:lang w:val="en-US" w:eastAsia="zh-CN" w:bidi="ar-SA"/>
              </w:rPr>
            </w:pPr>
            <w:r>
              <w:rPr>
                <w:rFonts w:hint="eastAsia" w:ascii="Times New Roman" w:hAnsi="Times New Roman" w:eastAsia="宋体" w:cs="Times New Roman"/>
                <w:b/>
                <w:bCs w:val="0"/>
                <w:kern w:val="2"/>
                <w:sz w:val="24"/>
                <w:szCs w:val="24"/>
                <w:u w:val="none" w:color="auto"/>
                <w:lang w:val="en-US" w:eastAsia="zh-CN" w:bidi="ar-SA"/>
              </w:rPr>
              <w:t>六、生态环境</w:t>
            </w:r>
          </w:p>
          <w:p w14:paraId="04120C79">
            <w:pPr>
              <w:pStyle w:val="8"/>
              <w:numPr>
                <w:ilvl w:val="255"/>
                <w:numId w:val="0"/>
              </w:numPr>
              <w:adjustRightInd w:val="0"/>
              <w:snapToGrid w:val="0"/>
              <w:spacing w:before="0" w:after="0" w:line="440" w:lineRule="exact"/>
              <w:ind w:firstLine="480" w:firstLineChars="200"/>
              <w:jc w:val="left"/>
              <w:textAlignment w:val="baseline"/>
              <w:outlineLvl w:val="3"/>
              <w:rPr>
                <w:rFonts w:ascii="Times New Roman" w:hAnsi="Times New Roman" w:eastAsia="宋体" w:cs="Times New Roman"/>
                <w:b w:val="0"/>
                <w:sz w:val="24"/>
                <w:u w:val="none" w:color="auto"/>
              </w:rPr>
            </w:pPr>
            <w:r>
              <w:rPr>
                <w:rFonts w:hint="eastAsia" w:ascii="Times New Roman" w:hAnsi="Times New Roman" w:eastAsia="宋体" w:cs="Times New Roman"/>
                <w:b w:val="0"/>
                <w:sz w:val="24"/>
                <w:u w:val="none" w:color="auto"/>
              </w:rPr>
              <w:t>本项目利用已建成车间进行建设，无新增用地，同时根据调查，目前项目用地范围内无生态环境保护目标，项目建设不会对周边生态环境产生较大影响。</w:t>
            </w:r>
          </w:p>
          <w:p w14:paraId="245AA528">
            <w:pPr>
              <w:pStyle w:val="8"/>
              <w:numPr>
                <w:ilvl w:val="255"/>
                <w:numId w:val="0"/>
              </w:numPr>
              <w:adjustRightInd w:val="0"/>
              <w:snapToGrid w:val="0"/>
              <w:spacing w:before="0" w:after="0" w:line="440" w:lineRule="exact"/>
              <w:ind w:firstLine="482" w:firstLineChars="200"/>
              <w:jc w:val="left"/>
              <w:textAlignment w:val="baseline"/>
              <w:outlineLvl w:val="3"/>
              <w:rPr>
                <w:rFonts w:hint="eastAsia" w:ascii="Times New Roman" w:hAnsi="Times New Roman" w:eastAsia="宋体" w:cs="Times New Roman"/>
                <w:b/>
                <w:bCs w:val="0"/>
                <w:sz w:val="24"/>
                <w:u w:val="none" w:color="auto"/>
              </w:rPr>
            </w:pPr>
            <w:r>
              <w:rPr>
                <w:rFonts w:hint="eastAsia" w:ascii="Times New Roman" w:hAnsi="Times New Roman" w:eastAsia="宋体" w:cs="Times New Roman"/>
                <w:b/>
                <w:bCs w:val="0"/>
                <w:sz w:val="24"/>
                <w:u w:val="none" w:color="auto"/>
              </w:rPr>
              <w:t xml:space="preserve">七、环境风险分析 </w:t>
            </w:r>
          </w:p>
          <w:p w14:paraId="4D558D73">
            <w:pPr>
              <w:pStyle w:val="8"/>
              <w:numPr>
                <w:ilvl w:val="255"/>
                <w:numId w:val="0"/>
              </w:numPr>
              <w:adjustRightInd w:val="0"/>
              <w:snapToGrid w:val="0"/>
              <w:spacing w:before="0" w:after="0" w:line="440" w:lineRule="exact"/>
              <w:ind w:firstLine="480" w:firstLineChars="200"/>
              <w:jc w:val="both"/>
              <w:textAlignment w:val="baseline"/>
              <w:outlineLvl w:val="3"/>
              <w:rPr>
                <w:rFonts w:hint="default" w:ascii="Times New Roman" w:hAnsi="Times New Roman" w:eastAsia="宋体" w:cs="Times New Roman"/>
                <w:b w:val="0"/>
                <w:sz w:val="24"/>
                <w:u w:val="none" w:color="auto"/>
              </w:rPr>
            </w:pPr>
            <w:r>
              <w:rPr>
                <w:rFonts w:hint="default" w:ascii="Times New Roman" w:hAnsi="Times New Roman" w:eastAsia="宋体" w:cs="Times New Roman"/>
                <w:b w:val="0"/>
                <w:sz w:val="24"/>
                <w:u w:val="none" w:color="auto"/>
              </w:rPr>
              <w:t>详见项目环境风险评价专项，在此引用其评价结论如下：评价依据《建设项目环境风险评价技术导则》（HJ169-2018）进行全面分析，本项目 Q=</w:t>
            </w:r>
            <w:r>
              <w:rPr>
                <w:rFonts w:hint="eastAsia" w:cs="Times New Roman"/>
                <w:b w:val="0"/>
                <w:sz w:val="24"/>
                <w:u w:val="none" w:color="auto"/>
                <w:lang w:val="en-US" w:eastAsia="zh-CN"/>
              </w:rPr>
              <w:t>146.18</w:t>
            </w:r>
            <w:r>
              <w:rPr>
                <w:rFonts w:hint="default" w:ascii="Times New Roman" w:hAnsi="Times New Roman" w:eastAsia="宋体" w:cs="Times New Roman"/>
                <w:b w:val="0"/>
                <w:sz w:val="24"/>
                <w:u w:val="none" w:color="auto"/>
              </w:rPr>
              <w:t>，</w:t>
            </w:r>
            <w:r>
              <w:rPr>
                <w:rFonts w:hint="default" w:ascii="Times New Roman" w:hAnsi="Times New Roman" w:eastAsia="宋体" w:cs="Times New Roman"/>
                <w:spacing w:val="0"/>
                <w:w w:val="100"/>
                <w:kern w:val="21"/>
                <w:position w:val="0"/>
                <w:sz w:val="24"/>
                <w:szCs w:val="24"/>
                <w:u w:val="none" w:color="auto"/>
              </w:rPr>
              <w:t>Q</w:t>
            </w:r>
            <w:r>
              <w:rPr>
                <w:rFonts w:hint="default" w:ascii="Times New Roman" w:hAnsi="Times New Roman" w:eastAsia="宋体" w:cs="Times New Roman"/>
                <w:spacing w:val="0"/>
                <w:w w:val="100"/>
                <w:kern w:val="21"/>
                <w:position w:val="0"/>
                <w:sz w:val="24"/>
                <w:szCs w:val="24"/>
                <w:u w:val="none" w:color="auto"/>
                <w:lang w:val="en-US" w:eastAsia="zh-CN"/>
              </w:rPr>
              <w:t>＞</w:t>
            </w:r>
            <w:r>
              <w:rPr>
                <w:rFonts w:hint="default" w:ascii="Times New Roman" w:hAnsi="Times New Roman" w:eastAsia="宋体" w:cs="Times New Roman"/>
                <w:spacing w:val="0"/>
                <w:w w:val="100"/>
                <w:kern w:val="21"/>
                <w:position w:val="0"/>
                <w:sz w:val="24"/>
                <w:szCs w:val="24"/>
                <w:u w:val="none" w:color="auto"/>
              </w:rPr>
              <w:t>100</w:t>
            </w:r>
            <w:r>
              <w:rPr>
                <w:rFonts w:hint="default" w:ascii="Times New Roman" w:hAnsi="Times New Roman" w:eastAsia="宋体" w:cs="Times New Roman"/>
                <w:b w:val="0"/>
                <w:sz w:val="24"/>
                <w:u w:val="none" w:color="auto"/>
              </w:rPr>
              <w:t>；M分值为5分，分类为M4类；综合判定本项目危险物质及工艺系统危险性 P 为P</w:t>
            </w:r>
            <w:r>
              <w:rPr>
                <w:rFonts w:hint="default" w:ascii="Times New Roman" w:hAnsi="Times New Roman" w:eastAsia="宋体" w:cs="Times New Roman"/>
                <w:b w:val="0"/>
                <w:sz w:val="24"/>
                <w:u w:val="none" w:color="auto"/>
                <w:lang w:val="en-US" w:eastAsia="zh-CN"/>
              </w:rPr>
              <w:t>3</w:t>
            </w:r>
            <w:r>
              <w:rPr>
                <w:rFonts w:hint="default" w:ascii="Times New Roman" w:hAnsi="Times New Roman" w:eastAsia="宋体" w:cs="Times New Roman"/>
                <w:b w:val="0"/>
                <w:sz w:val="24"/>
                <w:u w:val="none" w:color="auto"/>
              </w:rPr>
              <w:t>级，项目环境风险评价等级为</w:t>
            </w:r>
            <w:r>
              <w:rPr>
                <w:rFonts w:hint="default" w:ascii="Times New Roman" w:hAnsi="Times New Roman" w:eastAsia="宋体" w:cs="Times New Roman"/>
                <w:b w:val="0"/>
                <w:sz w:val="24"/>
                <w:u w:val="none" w:color="auto"/>
                <w:lang w:val="en-US" w:eastAsia="zh-CN"/>
              </w:rPr>
              <w:t>二</w:t>
            </w:r>
            <w:r>
              <w:rPr>
                <w:rFonts w:hint="default" w:ascii="Times New Roman" w:hAnsi="Times New Roman" w:eastAsia="宋体" w:cs="Times New Roman"/>
                <w:b w:val="0"/>
                <w:sz w:val="24"/>
                <w:u w:val="none" w:color="auto"/>
              </w:rPr>
              <w:t>级，环境风险评价范围5km。大气环境敏感程度为 E1，地表水环境敏感程度为 E3，地下水环境敏感程度分级为 E</w:t>
            </w:r>
            <w:r>
              <w:rPr>
                <w:rFonts w:hint="default" w:ascii="Times New Roman" w:hAnsi="Times New Roman" w:eastAsia="宋体" w:cs="Times New Roman"/>
                <w:b w:val="0"/>
                <w:sz w:val="24"/>
                <w:u w:val="none" w:color="auto"/>
                <w:lang w:val="en-US" w:eastAsia="zh-CN"/>
              </w:rPr>
              <w:t>3</w:t>
            </w:r>
            <w:r>
              <w:rPr>
                <w:rFonts w:hint="default" w:ascii="Times New Roman" w:hAnsi="Times New Roman" w:eastAsia="宋体" w:cs="Times New Roman"/>
                <w:b w:val="0"/>
                <w:sz w:val="24"/>
                <w:u w:val="none" w:color="auto"/>
              </w:rPr>
              <w:t>，危险物质及工艺系统危险性为 P</w:t>
            </w:r>
            <w:r>
              <w:rPr>
                <w:rFonts w:hint="default" w:ascii="Times New Roman" w:hAnsi="Times New Roman" w:eastAsia="宋体" w:cs="Times New Roman"/>
                <w:b w:val="0"/>
                <w:sz w:val="24"/>
                <w:u w:val="none" w:color="auto"/>
                <w:lang w:val="en-US" w:eastAsia="zh-CN"/>
              </w:rPr>
              <w:t>3</w:t>
            </w:r>
            <w:r>
              <w:rPr>
                <w:rFonts w:hint="default" w:ascii="Times New Roman" w:hAnsi="Times New Roman" w:eastAsia="宋体" w:cs="Times New Roman"/>
                <w:b w:val="0"/>
                <w:sz w:val="24"/>
                <w:u w:val="none" w:color="auto"/>
              </w:rPr>
              <w:t>，本项目环境空气的环境风险潜势为Ⅲ，地下水的环境风险潜势为Ⅱ，地表水的的环境风险潜势为Ⅱ。</w:t>
            </w:r>
          </w:p>
          <w:p w14:paraId="44CB0403">
            <w:pPr>
              <w:pStyle w:val="8"/>
              <w:numPr>
                <w:ilvl w:val="255"/>
                <w:numId w:val="0"/>
              </w:numPr>
              <w:adjustRightInd w:val="0"/>
              <w:snapToGrid w:val="0"/>
              <w:spacing w:before="0" w:after="0" w:line="440" w:lineRule="exact"/>
              <w:ind w:firstLine="480" w:firstLineChars="200"/>
              <w:jc w:val="both"/>
              <w:textAlignment w:val="baseline"/>
              <w:outlineLvl w:val="3"/>
              <w:rPr>
                <w:rFonts w:hint="eastAsia" w:ascii="Times New Roman" w:hAnsi="Times New Roman" w:eastAsia="宋体" w:cs="Times New Roman"/>
                <w:color w:val="000000"/>
                <w:sz w:val="24"/>
                <w:szCs w:val="24"/>
                <w:u w:val="none" w:color="auto"/>
              </w:rPr>
            </w:pPr>
            <w:r>
              <w:rPr>
                <w:rFonts w:hint="eastAsia" w:ascii="Times New Roman" w:hAnsi="Times New Roman" w:eastAsia="宋体" w:cs="Times New Roman"/>
                <w:b w:val="0"/>
                <w:sz w:val="24"/>
                <w:u w:val="none" w:color="auto"/>
              </w:rPr>
              <w:t>项目最大可信事故为</w:t>
            </w:r>
            <w:r>
              <w:rPr>
                <w:rFonts w:hint="eastAsia" w:ascii="Times New Roman" w:hAnsi="Times New Roman" w:eastAsia="宋体" w:cs="Times New Roman"/>
                <w:color w:val="000000"/>
                <w:sz w:val="24"/>
                <w:szCs w:val="24"/>
                <w:u w:val="none" w:color="auto"/>
                <w:lang w:val="en-US" w:eastAsia="zh-CN"/>
              </w:rPr>
              <w:t>电解液</w:t>
            </w:r>
            <w:r>
              <w:rPr>
                <w:rFonts w:hint="default" w:ascii="Times New Roman" w:hAnsi="Times New Roman" w:eastAsia="宋体" w:cs="Times New Roman"/>
                <w:color w:val="000000"/>
                <w:sz w:val="24"/>
                <w:szCs w:val="24"/>
                <w:u w:val="none" w:color="auto"/>
                <w:lang w:val="en-US" w:eastAsia="zh-CN"/>
              </w:rPr>
              <w:t>泄漏后，</w:t>
            </w:r>
            <w:r>
              <w:rPr>
                <w:rFonts w:hint="eastAsia" w:ascii="Times New Roman" w:hAnsi="Times New Roman" w:eastAsia="宋体" w:cs="Times New Roman"/>
                <w:color w:val="000000"/>
                <w:sz w:val="24"/>
                <w:szCs w:val="24"/>
                <w:u w:val="none" w:color="auto"/>
                <w:lang w:val="en-US" w:eastAsia="zh-CN"/>
              </w:rPr>
              <w:t>电解液</w:t>
            </w:r>
            <w:r>
              <w:rPr>
                <w:rFonts w:hint="default" w:ascii="Times New Roman" w:hAnsi="Times New Roman" w:eastAsia="宋体" w:cs="Times New Roman"/>
                <w:color w:val="000000"/>
                <w:sz w:val="24"/>
                <w:szCs w:val="24"/>
                <w:u w:val="none" w:color="auto"/>
                <w:lang w:val="en-US" w:eastAsia="zh-CN"/>
              </w:rPr>
              <w:t>遇明火或电火花等发生火灾或爆炸，不完全燃烧伴生CO，排入大气环境造成环境风险事故。</w:t>
            </w:r>
            <w:r>
              <w:rPr>
                <w:rFonts w:hint="eastAsia" w:ascii="Times New Roman" w:hAnsi="Times New Roman" w:eastAsia="宋体" w:cs="Times New Roman"/>
                <w:color w:val="000000"/>
                <w:sz w:val="24"/>
                <w:szCs w:val="24"/>
                <w:u w:val="none" w:color="auto"/>
                <w:lang w:val="en-US" w:eastAsia="zh-CN"/>
              </w:rPr>
              <w:t>电解液泄漏遇明火燃烧</w:t>
            </w:r>
            <w:r>
              <w:rPr>
                <w:rFonts w:hint="default" w:ascii="Times New Roman" w:hAnsi="Times New Roman" w:eastAsia="宋体" w:cs="Times New Roman"/>
                <w:color w:val="000000"/>
                <w:sz w:val="24"/>
                <w:szCs w:val="24"/>
                <w:u w:val="none" w:color="auto"/>
                <w:lang w:val="en-US" w:eastAsia="zh-CN"/>
              </w:rPr>
              <w:t>，属于典型的不完全燃烧，燃烧过程中伴生的CO</w:t>
            </w:r>
            <w:r>
              <w:rPr>
                <w:rFonts w:hint="eastAsia" w:ascii="Times New Roman" w:hAnsi="Times New Roman" w:eastAsia="宋体" w:cs="Times New Roman"/>
                <w:color w:val="000000"/>
                <w:sz w:val="24"/>
                <w:szCs w:val="24"/>
                <w:u w:val="none" w:color="auto"/>
                <w:lang w:val="en-US" w:eastAsia="zh-CN"/>
              </w:rPr>
              <w:t>以及HF</w:t>
            </w:r>
            <w:r>
              <w:rPr>
                <w:rFonts w:hint="default" w:ascii="Times New Roman" w:hAnsi="Times New Roman" w:eastAsia="宋体" w:cs="Times New Roman"/>
                <w:color w:val="000000"/>
                <w:sz w:val="24"/>
                <w:szCs w:val="24"/>
                <w:u w:val="none" w:color="auto"/>
                <w:lang w:val="en-US" w:eastAsia="zh-CN"/>
              </w:rPr>
              <w:t>，对周围环境可能产生影响</w:t>
            </w:r>
            <w:r>
              <w:rPr>
                <w:rFonts w:hint="eastAsia" w:ascii="Times New Roman" w:hAnsi="Times New Roman" w:eastAsia="宋体" w:cs="Times New Roman"/>
                <w:color w:val="000000"/>
                <w:sz w:val="24"/>
                <w:szCs w:val="24"/>
                <w:u w:val="none" w:color="auto"/>
              </w:rPr>
              <w:t>。</w:t>
            </w:r>
          </w:p>
          <w:p w14:paraId="3909432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bCs/>
                <w:color w:val="000000"/>
                <w:kern w:val="2"/>
                <w:sz w:val="24"/>
                <w:szCs w:val="24"/>
                <w:u w:val="none" w:color="auto"/>
                <w:lang w:val="en-US" w:eastAsia="zh-CN" w:bidi="ar-SA"/>
              </w:rPr>
            </w:pPr>
            <w:r>
              <w:rPr>
                <w:rFonts w:hint="eastAsia" w:ascii="Times New Roman" w:hAnsi="Times New Roman" w:eastAsia="宋体" w:cs="Times New Roman"/>
                <w:bCs/>
                <w:color w:val="000000"/>
                <w:kern w:val="2"/>
                <w:sz w:val="24"/>
                <w:szCs w:val="24"/>
                <w:u w:val="none" w:color="auto"/>
                <w:lang w:val="en-US" w:eastAsia="zh-CN" w:bidi="ar-SA"/>
              </w:rPr>
              <w:t>发生火灾后，次生伴生污染物 CO 的最大落地浓度出现在距离泄漏位置 60m 处，最大落地浓度为50.76mg/m</w:t>
            </w:r>
            <w:r>
              <w:rPr>
                <w:rFonts w:hint="eastAsia" w:ascii="Times New Roman" w:hAnsi="Times New Roman" w:eastAsia="宋体" w:cs="Times New Roman"/>
                <w:bCs/>
                <w:color w:val="000000"/>
                <w:kern w:val="2"/>
                <w:sz w:val="24"/>
                <w:szCs w:val="24"/>
                <w:u w:val="none" w:color="auto"/>
                <w:vertAlign w:val="superscript"/>
                <w:lang w:val="en-US" w:eastAsia="zh-CN" w:bidi="ar-SA"/>
              </w:rPr>
              <w:t>3</w:t>
            </w:r>
            <w:r>
              <w:rPr>
                <w:rFonts w:hint="eastAsia" w:ascii="Times New Roman" w:hAnsi="Times New Roman" w:eastAsia="宋体" w:cs="Times New Roman"/>
                <w:bCs/>
                <w:color w:val="000000"/>
                <w:kern w:val="2"/>
                <w:sz w:val="24"/>
                <w:szCs w:val="24"/>
                <w:u w:val="none" w:color="auto"/>
                <w:lang w:val="en-US" w:eastAsia="zh-CN" w:bidi="ar-SA"/>
              </w:rPr>
              <w:t>，距离厂界南侧280m处的刘堤村CO最大落地浓度为20.779mg/m</w:t>
            </w:r>
            <w:r>
              <w:rPr>
                <w:rFonts w:hint="eastAsia" w:ascii="Times New Roman" w:hAnsi="Times New Roman" w:eastAsia="宋体" w:cs="Times New Roman"/>
                <w:bCs/>
                <w:color w:val="000000"/>
                <w:kern w:val="2"/>
                <w:sz w:val="24"/>
                <w:szCs w:val="24"/>
                <w:u w:val="none" w:color="auto"/>
                <w:vertAlign w:val="superscript"/>
                <w:lang w:val="en-US" w:eastAsia="zh-CN" w:bidi="ar-SA"/>
              </w:rPr>
              <w:t>3</w:t>
            </w:r>
            <w:r>
              <w:rPr>
                <w:rFonts w:hint="eastAsia" w:ascii="Times New Roman" w:hAnsi="Times New Roman" w:eastAsia="宋体" w:cs="Times New Roman"/>
                <w:bCs/>
                <w:color w:val="000000"/>
                <w:kern w:val="2"/>
                <w:sz w:val="24"/>
                <w:szCs w:val="24"/>
                <w:u w:val="none" w:color="auto"/>
                <w:lang w:val="en-US" w:eastAsia="zh-CN" w:bidi="ar-SA"/>
              </w:rPr>
              <w:t>；次生伴生污染物氟化氢最大落地浓度出现在距离泄漏位置310m 处，最大落地浓度为0.000349mg/m</w:t>
            </w:r>
            <w:r>
              <w:rPr>
                <w:rFonts w:hint="eastAsia" w:ascii="Times New Roman" w:hAnsi="Times New Roman" w:eastAsia="宋体" w:cs="Times New Roman"/>
                <w:bCs/>
                <w:color w:val="000000"/>
                <w:kern w:val="2"/>
                <w:sz w:val="24"/>
                <w:szCs w:val="24"/>
                <w:u w:val="none" w:color="auto"/>
                <w:vertAlign w:val="superscript"/>
                <w:lang w:val="en-US" w:eastAsia="zh-CN" w:bidi="ar-SA"/>
              </w:rPr>
              <w:t>3</w:t>
            </w:r>
            <w:r>
              <w:rPr>
                <w:rFonts w:hint="eastAsia" w:ascii="Times New Roman" w:hAnsi="Times New Roman" w:eastAsia="宋体" w:cs="Times New Roman"/>
                <w:bCs/>
                <w:color w:val="000000"/>
                <w:kern w:val="2"/>
                <w:sz w:val="24"/>
                <w:szCs w:val="24"/>
                <w:u w:val="none" w:color="auto"/>
                <w:lang w:val="en-US" w:eastAsia="zh-CN" w:bidi="ar-SA"/>
              </w:rPr>
              <w:t>，距离厂界</w:t>
            </w:r>
            <w:r>
              <w:rPr>
                <w:rFonts w:hint="eastAsia" w:cs="Times New Roman"/>
                <w:bCs/>
                <w:color w:val="000000"/>
                <w:kern w:val="2"/>
                <w:sz w:val="24"/>
                <w:szCs w:val="24"/>
                <w:u w:val="none" w:color="auto"/>
                <w:lang w:val="en-US" w:eastAsia="zh-CN" w:bidi="ar-SA"/>
              </w:rPr>
              <w:t>东</w:t>
            </w:r>
            <w:r>
              <w:rPr>
                <w:rFonts w:hint="eastAsia" w:ascii="Times New Roman" w:hAnsi="Times New Roman" w:eastAsia="宋体" w:cs="Times New Roman"/>
                <w:bCs/>
                <w:color w:val="000000"/>
                <w:kern w:val="2"/>
                <w:sz w:val="24"/>
                <w:szCs w:val="24"/>
                <w:u w:val="none" w:color="auto"/>
                <w:lang w:val="en-US" w:eastAsia="zh-CN" w:bidi="ar-SA"/>
              </w:rPr>
              <w:t>南侧280m处的刘堤村氟化氢最大落地浓度为3.5065E-04mg/m</w:t>
            </w:r>
            <w:r>
              <w:rPr>
                <w:rFonts w:hint="eastAsia" w:ascii="Times New Roman" w:hAnsi="Times New Roman" w:eastAsia="宋体" w:cs="Times New Roman"/>
                <w:bCs/>
                <w:color w:val="000000"/>
                <w:kern w:val="2"/>
                <w:sz w:val="24"/>
                <w:szCs w:val="24"/>
                <w:u w:val="none" w:color="auto"/>
                <w:vertAlign w:val="superscript"/>
                <w:lang w:val="en-US" w:eastAsia="zh-CN" w:bidi="ar-SA"/>
              </w:rPr>
              <w:t>3</w:t>
            </w:r>
            <w:r>
              <w:rPr>
                <w:rFonts w:hint="eastAsia" w:ascii="Times New Roman" w:hAnsi="Times New Roman" w:eastAsia="宋体" w:cs="Times New Roman"/>
                <w:bCs/>
                <w:color w:val="000000"/>
                <w:kern w:val="2"/>
                <w:sz w:val="24"/>
                <w:szCs w:val="24"/>
                <w:u w:val="none" w:color="auto"/>
                <w:lang w:val="en-US" w:eastAsia="zh-CN" w:bidi="ar-SA"/>
              </w:rPr>
              <w:t>，均未出现毒性终点浓度。但火灾事件发生时，企业员工短期内吸入较高浓度者有毒气体将造成一定影响。因此，在发生大规模火灾事件时应在最短时间内及时通知厂区内的人群疏散，以免产生人员中毒现象。在此前提下，事件风险处于可接受水平。</w:t>
            </w:r>
          </w:p>
          <w:p w14:paraId="033DCEDF">
            <w:pPr>
              <w:pStyle w:val="8"/>
              <w:numPr>
                <w:ilvl w:val="255"/>
                <w:numId w:val="0"/>
              </w:numPr>
              <w:adjustRightInd w:val="0"/>
              <w:snapToGrid w:val="0"/>
              <w:spacing w:before="0" w:after="0" w:line="440" w:lineRule="exact"/>
              <w:ind w:firstLine="480" w:firstLineChars="200"/>
              <w:jc w:val="both"/>
              <w:textAlignment w:val="baseline"/>
              <w:outlineLvl w:val="3"/>
              <w:rPr>
                <w:rFonts w:hint="eastAsia" w:ascii="Times New Roman" w:hAnsi="Times New Roman" w:eastAsia="宋体" w:cs="Times New Roman"/>
                <w:b w:val="0"/>
                <w:sz w:val="24"/>
                <w:u w:val="none" w:color="auto"/>
              </w:rPr>
            </w:pPr>
            <w:r>
              <w:rPr>
                <w:rFonts w:hint="eastAsia" w:ascii="Times New Roman" w:hAnsi="Times New Roman" w:eastAsia="宋体" w:cs="Times New Roman"/>
                <w:b w:val="0"/>
                <w:sz w:val="24"/>
                <w:u w:val="none" w:color="auto"/>
              </w:rPr>
              <w:t>本次项目废水经处理后</w:t>
            </w:r>
            <w:r>
              <w:rPr>
                <w:rFonts w:hint="eastAsia" w:cs="Times New Roman"/>
                <w:b w:val="0"/>
                <w:sz w:val="24"/>
                <w:u w:val="none" w:color="auto"/>
                <w:lang w:val="en-US" w:eastAsia="zh-CN"/>
              </w:rPr>
              <w:t>通过</w:t>
            </w:r>
            <w:r>
              <w:rPr>
                <w:rFonts w:hint="eastAsia" w:ascii="Times New Roman" w:hAnsi="Times New Roman" w:eastAsia="宋体" w:cs="Times New Roman"/>
                <w:b w:val="0"/>
                <w:sz w:val="24"/>
                <w:u w:val="none" w:color="auto"/>
              </w:rPr>
              <w:t>市政管网排入</w:t>
            </w:r>
            <w:r>
              <w:rPr>
                <w:rFonts w:hint="eastAsia" w:ascii="Times New Roman" w:hAnsi="Times New Roman" w:eastAsia="宋体" w:cs="Times New Roman"/>
                <w:b w:val="0"/>
                <w:sz w:val="24"/>
                <w:u w:val="none" w:color="auto"/>
                <w:lang w:val="en-US" w:eastAsia="zh-CN"/>
              </w:rPr>
              <w:t>新乡市贾屯污水处理厂</w:t>
            </w:r>
            <w:r>
              <w:rPr>
                <w:rFonts w:hint="eastAsia" w:ascii="Times New Roman" w:hAnsi="Times New Roman" w:eastAsia="宋体" w:cs="Times New Roman"/>
                <w:b w:val="0"/>
                <w:sz w:val="24"/>
                <w:u w:val="none" w:color="auto"/>
              </w:rPr>
              <w:t>进一步处理达标后，</w:t>
            </w:r>
            <w:r>
              <w:rPr>
                <w:rFonts w:hint="eastAsia" w:cs="Times New Roman"/>
                <w:b w:val="0"/>
                <w:sz w:val="24"/>
                <w:u w:val="none" w:color="auto"/>
                <w:lang w:val="en-US" w:eastAsia="zh-CN"/>
              </w:rPr>
              <w:t>最终</w:t>
            </w:r>
            <w:r>
              <w:rPr>
                <w:rFonts w:hint="eastAsia" w:ascii="Times New Roman" w:hAnsi="Times New Roman" w:eastAsia="宋体" w:cs="Times New Roman"/>
                <w:b w:val="0"/>
                <w:sz w:val="24"/>
                <w:u w:val="none" w:color="auto"/>
              </w:rPr>
              <w:t>排入东孟姜女河，根据内部废水三级防控系统设置情况，结合废水事故水防控体系建设情况，在单元-企业-区域事故废水防控体系完善情况下，项目地表水环境风险可控。</w:t>
            </w:r>
          </w:p>
          <w:p w14:paraId="5FE71A9E">
            <w:pPr>
              <w:pStyle w:val="8"/>
              <w:numPr>
                <w:ilvl w:val="255"/>
                <w:numId w:val="0"/>
              </w:numPr>
              <w:adjustRightInd w:val="0"/>
              <w:snapToGrid w:val="0"/>
              <w:spacing w:before="0" w:after="0" w:line="440" w:lineRule="exact"/>
              <w:ind w:firstLine="480" w:firstLineChars="200"/>
              <w:jc w:val="left"/>
              <w:textAlignment w:val="baseline"/>
              <w:outlineLvl w:val="3"/>
              <w:rPr>
                <w:rFonts w:hint="eastAsia" w:ascii="Times New Roman" w:hAnsi="Times New Roman" w:eastAsia="宋体" w:cs="Times New Roman"/>
                <w:b w:val="0"/>
                <w:sz w:val="24"/>
                <w:u w:val="none" w:color="auto"/>
              </w:rPr>
            </w:pPr>
            <w:r>
              <w:rPr>
                <w:rFonts w:hint="eastAsia" w:ascii="Times New Roman" w:hAnsi="Times New Roman" w:eastAsia="宋体" w:cs="Times New Roman"/>
                <w:b w:val="0"/>
                <w:sz w:val="24"/>
                <w:u w:val="none" w:color="auto"/>
              </w:rPr>
              <w:t>项目地下水环境风险防空主要从源头控制、分区防控两个方面预防地下水环境风险，在严格按照环评制定的防渗分区施工基础上，可有效控制项目厂区地下水渗漏风险，在上述措施实施基础上地下水环境风险可控。</w:t>
            </w:r>
          </w:p>
          <w:p w14:paraId="2D45B24E">
            <w:pPr>
              <w:pStyle w:val="8"/>
              <w:numPr>
                <w:ilvl w:val="255"/>
                <w:numId w:val="0"/>
              </w:numPr>
              <w:adjustRightInd w:val="0"/>
              <w:snapToGrid w:val="0"/>
              <w:spacing w:before="0" w:after="0" w:line="440" w:lineRule="exact"/>
              <w:ind w:firstLine="482" w:firstLineChars="200"/>
              <w:jc w:val="left"/>
              <w:textAlignment w:val="baseline"/>
              <w:outlineLvl w:val="3"/>
              <w:rPr>
                <w:rFonts w:hint="eastAsia" w:ascii="Times New Roman" w:hAnsi="Times New Roman" w:eastAsia="宋体" w:cs="Times New Roman"/>
                <w:b/>
                <w:bCs w:val="0"/>
                <w:sz w:val="24"/>
                <w:u w:val="none" w:color="auto"/>
              </w:rPr>
            </w:pPr>
            <w:r>
              <w:rPr>
                <w:rFonts w:hint="eastAsia" w:ascii="Times New Roman" w:hAnsi="Times New Roman" w:eastAsia="宋体" w:cs="Times New Roman"/>
                <w:b/>
                <w:bCs w:val="0"/>
                <w:sz w:val="24"/>
                <w:u w:val="none" w:color="auto"/>
              </w:rPr>
              <w:t>八、电磁辐射</w:t>
            </w:r>
          </w:p>
          <w:p w14:paraId="4AE4F8A8">
            <w:pPr>
              <w:wordWrap w:val="0"/>
              <w:topLinePunct/>
              <w:autoSpaceDE w:val="0"/>
              <w:adjustRightInd w:val="0"/>
              <w:snapToGrid w:val="0"/>
              <w:spacing w:line="440" w:lineRule="exact"/>
              <w:ind w:firstLine="480"/>
              <w:textAlignment w:val="center"/>
              <w:rPr>
                <w:rFonts w:hint="eastAsia" w:ascii="Times New Roman" w:hAnsi="Times New Roman" w:eastAsia="宋体" w:cs="Times New Roman"/>
                <w:b w:val="0"/>
                <w:bCs/>
                <w:kern w:val="2"/>
                <w:sz w:val="24"/>
                <w:szCs w:val="26"/>
                <w:u w:val="none" w:color="auto"/>
                <w:lang w:val="en-US" w:eastAsia="zh-CN" w:bidi="ar-SA"/>
              </w:rPr>
            </w:pPr>
            <w:r>
              <w:rPr>
                <w:rFonts w:hint="eastAsia" w:ascii="Times New Roman" w:hAnsi="Times New Roman" w:eastAsia="宋体" w:cs="Times New Roman"/>
                <w:b w:val="0"/>
                <w:bCs/>
                <w:kern w:val="2"/>
                <w:sz w:val="24"/>
                <w:szCs w:val="26"/>
                <w:u w:val="none" w:color="auto"/>
                <w:lang w:val="en-US" w:eastAsia="zh-CN" w:bidi="ar-SA"/>
              </w:rPr>
              <w:t>本项目不涉及辐射源，故不对电磁辐射做评价分析。</w:t>
            </w:r>
          </w:p>
          <w:p w14:paraId="20BB5C3D">
            <w:pPr>
              <w:pStyle w:val="3"/>
              <w:adjustRightInd w:val="0"/>
              <w:snapToGrid w:val="0"/>
              <w:spacing w:after="0" w:line="360" w:lineRule="auto"/>
              <w:ind w:left="0" w:leftChars="0" w:firstLine="0" w:firstLineChars="0"/>
              <w:rPr>
                <w:sz w:val="24"/>
                <w:u w:val="none" w:color="auto"/>
              </w:rPr>
            </w:pPr>
          </w:p>
          <w:p w14:paraId="4E197323">
            <w:pPr>
              <w:pStyle w:val="3"/>
              <w:adjustRightInd w:val="0"/>
              <w:snapToGrid w:val="0"/>
              <w:spacing w:after="0" w:line="360" w:lineRule="auto"/>
              <w:ind w:left="0" w:leftChars="0" w:firstLine="0" w:firstLineChars="0"/>
              <w:rPr>
                <w:sz w:val="24"/>
                <w:u w:val="none" w:color="auto"/>
              </w:rPr>
            </w:pPr>
          </w:p>
          <w:p w14:paraId="0F813EDC">
            <w:pPr>
              <w:pStyle w:val="3"/>
              <w:adjustRightInd w:val="0"/>
              <w:snapToGrid w:val="0"/>
              <w:spacing w:after="0" w:line="360" w:lineRule="auto"/>
              <w:ind w:left="0" w:leftChars="0" w:firstLine="0" w:firstLineChars="0"/>
              <w:rPr>
                <w:sz w:val="24"/>
                <w:u w:val="none" w:color="auto"/>
              </w:rPr>
            </w:pPr>
          </w:p>
          <w:p w14:paraId="691D6E18">
            <w:pPr>
              <w:pStyle w:val="3"/>
              <w:adjustRightInd w:val="0"/>
              <w:snapToGrid w:val="0"/>
              <w:spacing w:after="0" w:line="360" w:lineRule="auto"/>
              <w:ind w:left="0" w:leftChars="0" w:firstLine="0" w:firstLineChars="0"/>
              <w:rPr>
                <w:sz w:val="24"/>
                <w:u w:val="none" w:color="auto"/>
              </w:rPr>
            </w:pPr>
          </w:p>
          <w:p w14:paraId="48BC9FD0">
            <w:pPr>
              <w:pStyle w:val="3"/>
              <w:adjustRightInd w:val="0"/>
              <w:snapToGrid w:val="0"/>
              <w:spacing w:after="0" w:line="360" w:lineRule="auto"/>
              <w:ind w:left="0" w:leftChars="0" w:firstLine="0" w:firstLineChars="0"/>
              <w:rPr>
                <w:sz w:val="24"/>
                <w:u w:val="none" w:color="auto"/>
              </w:rPr>
            </w:pPr>
          </w:p>
          <w:p w14:paraId="54750B9D">
            <w:pPr>
              <w:pStyle w:val="3"/>
              <w:adjustRightInd w:val="0"/>
              <w:snapToGrid w:val="0"/>
              <w:spacing w:after="0" w:line="360" w:lineRule="auto"/>
              <w:ind w:left="0" w:leftChars="0" w:firstLine="0" w:firstLineChars="0"/>
              <w:rPr>
                <w:sz w:val="24"/>
                <w:u w:val="none" w:color="auto"/>
              </w:rPr>
            </w:pPr>
          </w:p>
          <w:p w14:paraId="786B7F83">
            <w:pPr>
              <w:pStyle w:val="3"/>
              <w:adjustRightInd w:val="0"/>
              <w:snapToGrid w:val="0"/>
              <w:spacing w:after="0" w:line="360" w:lineRule="auto"/>
              <w:ind w:left="0" w:leftChars="0" w:firstLine="0" w:firstLineChars="0"/>
              <w:rPr>
                <w:sz w:val="24"/>
                <w:u w:val="none" w:color="auto"/>
              </w:rPr>
            </w:pPr>
          </w:p>
          <w:p w14:paraId="4883B253">
            <w:pPr>
              <w:pStyle w:val="3"/>
              <w:adjustRightInd w:val="0"/>
              <w:snapToGrid w:val="0"/>
              <w:spacing w:after="0" w:line="360" w:lineRule="auto"/>
              <w:ind w:left="0" w:leftChars="0" w:firstLine="0" w:firstLineChars="0"/>
              <w:rPr>
                <w:sz w:val="24"/>
                <w:u w:val="none" w:color="auto"/>
              </w:rPr>
            </w:pPr>
          </w:p>
          <w:p w14:paraId="063821AB">
            <w:pPr>
              <w:pStyle w:val="3"/>
              <w:adjustRightInd w:val="0"/>
              <w:snapToGrid w:val="0"/>
              <w:spacing w:after="0" w:line="360" w:lineRule="auto"/>
              <w:ind w:left="0" w:leftChars="0" w:firstLine="0" w:firstLineChars="0"/>
              <w:rPr>
                <w:sz w:val="24"/>
                <w:u w:val="none" w:color="auto"/>
              </w:rPr>
            </w:pPr>
          </w:p>
          <w:p w14:paraId="467D5876">
            <w:pPr>
              <w:pStyle w:val="3"/>
              <w:adjustRightInd w:val="0"/>
              <w:snapToGrid w:val="0"/>
              <w:spacing w:after="0" w:line="360" w:lineRule="auto"/>
              <w:ind w:left="0" w:leftChars="0" w:firstLine="0" w:firstLineChars="0"/>
              <w:rPr>
                <w:sz w:val="24"/>
                <w:u w:val="none" w:color="auto"/>
              </w:rPr>
            </w:pPr>
          </w:p>
          <w:p w14:paraId="087176DA">
            <w:pPr>
              <w:pStyle w:val="3"/>
              <w:adjustRightInd w:val="0"/>
              <w:snapToGrid w:val="0"/>
              <w:spacing w:after="0" w:line="360" w:lineRule="auto"/>
              <w:ind w:left="0" w:leftChars="0" w:firstLine="0" w:firstLineChars="0"/>
              <w:rPr>
                <w:sz w:val="24"/>
                <w:u w:val="none" w:color="auto"/>
              </w:rPr>
            </w:pPr>
          </w:p>
          <w:p w14:paraId="5A2D9BC4">
            <w:pPr>
              <w:pStyle w:val="3"/>
              <w:adjustRightInd w:val="0"/>
              <w:snapToGrid w:val="0"/>
              <w:spacing w:after="0" w:line="360" w:lineRule="auto"/>
              <w:ind w:left="0" w:leftChars="0" w:firstLine="0" w:firstLineChars="0"/>
              <w:rPr>
                <w:sz w:val="24"/>
                <w:u w:val="none" w:color="auto"/>
              </w:rPr>
            </w:pPr>
          </w:p>
          <w:p w14:paraId="4E654D81">
            <w:pPr>
              <w:pStyle w:val="3"/>
              <w:adjustRightInd w:val="0"/>
              <w:snapToGrid w:val="0"/>
              <w:spacing w:after="0" w:line="360" w:lineRule="auto"/>
              <w:ind w:left="0" w:leftChars="0" w:firstLine="0" w:firstLineChars="0"/>
              <w:rPr>
                <w:sz w:val="24"/>
                <w:u w:val="none" w:color="auto"/>
              </w:rPr>
            </w:pPr>
          </w:p>
          <w:p w14:paraId="258C8407">
            <w:pPr>
              <w:pStyle w:val="3"/>
              <w:adjustRightInd w:val="0"/>
              <w:snapToGrid w:val="0"/>
              <w:spacing w:after="0" w:line="360" w:lineRule="auto"/>
              <w:ind w:left="0" w:leftChars="0" w:firstLine="0" w:firstLineChars="0"/>
              <w:rPr>
                <w:sz w:val="24"/>
                <w:u w:val="none" w:color="auto"/>
              </w:rPr>
            </w:pPr>
          </w:p>
        </w:tc>
      </w:tr>
    </w:tbl>
    <w:p w14:paraId="0CDD9725">
      <w:pPr>
        <w:adjustRightInd w:val="0"/>
        <w:snapToGrid w:val="0"/>
        <w:spacing w:line="360" w:lineRule="auto"/>
        <w:rPr>
          <w:b/>
          <w:kern w:val="0"/>
          <w:sz w:val="28"/>
          <w:szCs w:val="28"/>
          <w:highlight w:val="yellow"/>
          <w:u w:val="none" w:color="auto"/>
        </w:rPr>
        <w:sectPr>
          <w:pgSz w:w="11907" w:h="16840"/>
          <w:pgMar w:top="1440" w:right="1803" w:bottom="1440" w:left="1803" w:header="851" w:footer="851" w:gutter="0"/>
          <w:pgBorders>
            <w:top w:val="none" w:sz="0" w:space="0"/>
            <w:left w:val="none" w:sz="0" w:space="0"/>
            <w:bottom w:val="none" w:sz="0" w:space="0"/>
            <w:right w:val="none" w:sz="0" w:space="0"/>
          </w:pgBorders>
          <w:pgNumType w:fmt="decimal"/>
          <w:cols w:space="720" w:num="1"/>
          <w:docGrid w:linePitch="312" w:charSpace="0"/>
        </w:sectPr>
      </w:pPr>
    </w:p>
    <w:p w14:paraId="10EBFDAC">
      <w:pPr>
        <w:pStyle w:val="29"/>
        <w:jc w:val="center"/>
        <w:outlineLvl w:val="0"/>
        <w:rPr>
          <w:rFonts w:ascii="Times New Roman" w:hAnsi="Times New Roman" w:eastAsia="黑体"/>
          <w:b/>
          <w:bCs/>
          <w:kern w:val="2"/>
          <w:sz w:val="30"/>
          <w:szCs w:val="30"/>
          <w:u w:val="none" w:color="auto"/>
        </w:rPr>
      </w:pPr>
      <w:r>
        <w:rPr>
          <w:sz w:val="30"/>
          <w:u w:val="none" w:color="auto"/>
        </w:rPr>
        <mc:AlternateContent>
          <mc:Choice Requires="wps">
            <w:drawing>
              <wp:anchor distT="0" distB="0" distL="114300" distR="114300" simplePos="0" relativeHeight="251660288" behindDoc="0" locked="0" layoutInCell="1" allowOverlap="1">
                <wp:simplePos x="0" y="0"/>
                <wp:positionH relativeFrom="column">
                  <wp:posOffset>-149860</wp:posOffset>
                </wp:positionH>
                <wp:positionV relativeFrom="paragraph">
                  <wp:posOffset>610235</wp:posOffset>
                </wp:positionV>
                <wp:extent cx="750570" cy="784225"/>
                <wp:effectExtent l="3175" t="3175" r="8255" b="12700"/>
                <wp:wrapNone/>
                <wp:docPr id="2" name="直接连接符 2"/>
                <wp:cNvGraphicFramePr/>
                <a:graphic xmlns:a="http://schemas.openxmlformats.org/drawingml/2006/main">
                  <a:graphicData uri="http://schemas.microsoft.com/office/word/2010/wordprocessingShape">
                    <wps:wsp>
                      <wps:cNvCnPr/>
                      <wps:spPr>
                        <a:xfrm>
                          <a:off x="995045" y="1511935"/>
                          <a:ext cx="750570" cy="78422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1.8pt;margin-top:48.05pt;height:61.75pt;width:59.1pt;z-index:251660288;mso-width-relative:page;mso-height-relative:page;" filled="f" stroked="t" coordsize="21600,21600" o:gfxdata="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UTZCS&#10;1gAAAAkBAAAPAAAAAAAAAAEAIAAAACIAAABkcnMvZG93bnJldi54bWxQSwECFAAUAAAACACHTuJA&#10;jAX39eoBAACpAwAADgAAAAAAAAABACAAAAAlAQAAZHJzL2Uyb0RvYy54bWxQSwUGAAAAAAYABgBZ&#10;AQAAgQUAAAAA&#10;">
                <v:fill on="f" focussize="0,0"/>
                <v:stroke weight="0.5pt" color="#000000 [3213]" joinstyle="round"/>
                <v:imagedata o:title=""/>
                <o:lock v:ext="edit" aspectratio="f"/>
              </v:line>
            </w:pict>
          </mc:Fallback>
        </mc:AlternateContent>
      </w:r>
      <w:r>
        <w:rPr>
          <w:rFonts w:ascii="Times New Roman" w:hAnsi="Times New Roman" w:eastAsia="黑体"/>
          <w:b/>
          <w:bCs/>
          <w:kern w:val="2"/>
          <w:sz w:val="30"/>
          <w:szCs w:val="30"/>
          <w:u w:val="none" w:color="auto"/>
        </w:rPr>
        <w:t>五、</w:t>
      </w:r>
      <w:bookmarkStart w:id="44" w:name="_Hlk54167917"/>
      <w:r>
        <w:rPr>
          <w:rFonts w:ascii="Times New Roman" w:hAnsi="Times New Roman" w:eastAsia="黑体"/>
          <w:b/>
          <w:bCs/>
          <w:kern w:val="2"/>
          <w:sz w:val="30"/>
          <w:szCs w:val="30"/>
          <w:u w:val="none" w:color="auto"/>
        </w:rPr>
        <w:t>环境保护措施监督检查清单</w:t>
      </w:r>
      <w:bookmarkEnd w:id="40"/>
      <w:bookmarkEnd w:id="41"/>
      <w:bookmarkEnd w:id="42"/>
      <w:bookmarkEnd w:id="44"/>
    </w:p>
    <w:tbl>
      <w:tblPr>
        <w:tblStyle w:val="32"/>
        <w:tblW w:w="881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19"/>
        <w:gridCol w:w="897"/>
        <w:gridCol w:w="1307"/>
        <w:gridCol w:w="1480"/>
        <w:gridCol w:w="1221"/>
        <w:gridCol w:w="2692"/>
      </w:tblGrid>
      <w:tr w14:paraId="23379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219" w:type="dxa"/>
            <w:tcBorders>
              <w:tl2br w:val="nil"/>
              <w:tr2bl w:val="nil"/>
            </w:tcBorders>
            <w:noWrap w:val="0"/>
            <w:vAlign w:val="top"/>
          </w:tcPr>
          <w:p w14:paraId="0D849BFE">
            <w:pPr>
              <w:adjustRightInd w:val="0"/>
              <w:snapToGrid w:val="0"/>
              <w:ind w:firstLine="480" w:firstLineChars="200"/>
              <w:rPr>
                <w:sz w:val="24"/>
                <w:szCs w:val="24"/>
                <w:u w:val="none" w:color="auto"/>
              </w:rPr>
            </w:pPr>
            <w:r>
              <w:rPr>
                <w:sz w:val="24"/>
                <w:szCs w:val="24"/>
                <w:u w:val="none" w:color="auto"/>
              </w:rPr>
              <w:t>内容</w:t>
            </w:r>
          </w:p>
          <w:p w14:paraId="61485354">
            <w:pPr>
              <w:adjustRightInd w:val="0"/>
              <w:snapToGrid w:val="0"/>
              <w:rPr>
                <w:sz w:val="24"/>
                <w:szCs w:val="24"/>
                <w:u w:val="none" w:color="auto"/>
              </w:rPr>
            </w:pPr>
          </w:p>
          <w:p w14:paraId="3DEC2614">
            <w:pPr>
              <w:adjustRightInd w:val="0"/>
              <w:snapToGrid w:val="0"/>
              <w:rPr>
                <w:sz w:val="24"/>
                <w:szCs w:val="24"/>
                <w:u w:val="none" w:color="auto"/>
              </w:rPr>
            </w:pPr>
            <w:r>
              <w:rPr>
                <w:sz w:val="24"/>
                <w:szCs w:val="24"/>
                <w:u w:val="none" w:color="auto"/>
              </w:rPr>
              <w:t>要素</w:t>
            </w:r>
          </w:p>
        </w:tc>
        <w:tc>
          <w:tcPr>
            <w:tcW w:w="897" w:type="dxa"/>
            <w:tcBorders>
              <w:tl2br w:val="nil"/>
              <w:tr2bl w:val="nil"/>
            </w:tcBorders>
            <w:noWrap w:val="0"/>
            <w:vAlign w:val="center"/>
          </w:tcPr>
          <w:p w14:paraId="42A2C1E9">
            <w:pPr>
              <w:adjustRightInd w:val="0"/>
              <w:snapToGrid w:val="0"/>
              <w:jc w:val="center"/>
              <w:rPr>
                <w:sz w:val="24"/>
                <w:szCs w:val="24"/>
                <w:u w:val="none" w:color="auto"/>
              </w:rPr>
            </w:pPr>
            <w:r>
              <w:rPr>
                <w:sz w:val="24"/>
                <w:szCs w:val="24"/>
                <w:u w:val="none" w:color="auto"/>
              </w:rPr>
              <w:t>排放口(编号、名称)/污染源</w:t>
            </w:r>
          </w:p>
        </w:tc>
        <w:tc>
          <w:tcPr>
            <w:tcW w:w="1307" w:type="dxa"/>
            <w:tcBorders>
              <w:tl2br w:val="nil"/>
              <w:tr2bl w:val="nil"/>
            </w:tcBorders>
            <w:noWrap w:val="0"/>
            <w:vAlign w:val="center"/>
          </w:tcPr>
          <w:p w14:paraId="4FC56925">
            <w:pPr>
              <w:adjustRightInd w:val="0"/>
              <w:snapToGrid w:val="0"/>
              <w:jc w:val="center"/>
              <w:rPr>
                <w:sz w:val="24"/>
                <w:szCs w:val="24"/>
                <w:u w:val="none" w:color="auto"/>
              </w:rPr>
            </w:pPr>
            <w:r>
              <w:rPr>
                <w:sz w:val="24"/>
                <w:szCs w:val="24"/>
                <w:u w:val="none" w:color="auto"/>
              </w:rPr>
              <w:t>污染物项目</w:t>
            </w:r>
          </w:p>
        </w:tc>
        <w:tc>
          <w:tcPr>
            <w:tcW w:w="2701" w:type="dxa"/>
            <w:gridSpan w:val="2"/>
            <w:tcBorders>
              <w:tl2br w:val="nil"/>
              <w:tr2bl w:val="nil"/>
            </w:tcBorders>
            <w:noWrap w:val="0"/>
            <w:vAlign w:val="center"/>
          </w:tcPr>
          <w:p w14:paraId="32E197A2">
            <w:pPr>
              <w:adjustRightInd w:val="0"/>
              <w:snapToGrid w:val="0"/>
              <w:jc w:val="center"/>
              <w:rPr>
                <w:sz w:val="24"/>
                <w:szCs w:val="24"/>
                <w:u w:val="none" w:color="auto"/>
              </w:rPr>
            </w:pPr>
            <w:r>
              <w:rPr>
                <w:sz w:val="24"/>
                <w:szCs w:val="24"/>
                <w:u w:val="none" w:color="auto"/>
              </w:rPr>
              <w:t>环境保护措施</w:t>
            </w:r>
          </w:p>
        </w:tc>
        <w:tc>
          <w:tcPr>
            <w:tcW w:w="2692" w:type="dxa"/>
            <w:tcBorders>
              <w:tl2br w:val="nil"/>
              <w:tr2bl w:val="nil"/>
            </w:tcBorders>
            <w:noWrap w:val="0"/>
            <w:vAlign w:val="center"/>
          </w:tcPr>
          <w:p w14:paraId="2088E8D5">
            <w:pPr>
              <w:adjustRightInd w:val="0"/>
              <w:snapToGrid w:val="0"/>
              <w:jc w:val="center"/>
              <w:rPr>
                <w:sz w:val="24"/>
                <w:szCs w:val="24"/>
                <w:u w:val="none" w:color="auto"/>
              </w:rPr>
            </w:pPr>
            <w:r>
              <w:rPr>
                <w:sz w:val="24"/>
                <w:szCs w:val="24"/>
                <w:u w:val="none" w:color="auto"/>
              </w:rPr>
              <w:t>执行标准</w:t>
            </w:r>
          </w:p>
        </w:tc>
      </w:tr>
      <w:tr w14:paraId="43CACB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55" w:hRule="atLeast"/>
          <w:jc w:val="center"/>
        </w:trPr>
        <w:tc>
          <w:tcPr>
            <w:tcW w:w="1219" w:type="dxa"/>
            <w:vMerge w:val="restart"/>
            <w:tcBorders>
              <w:tl2br w:val="nil"/>
              <w:tr2bl w:val="nil"/>
            </w:tcBorders>
            <w:noWrap w:val="0"/>
            <w:vAlign w:val="center"/>
          </w:tcPr>
          <w:p w14:paraId="5FD32A75">
            <w:pPr>
              <w:adjustRightInd w:val="0"/>
              <w:snapToGrid w:val="0"/>
              <w:jc w:val="center"/>
              <w:rPr>
                <w:rFonts w:hint="eastAsia"/>
                <w:sz w:val="24"/>
                <w:szCs w:val="24"/>
                <w:highlight w:val="yellow"/>
                <w:u w:val="none" w:color="auto"/>
              </w:rPr>
            </w:pPr>
            <w:r>
              <w:rPr>
                <w:rFonts w:hint="eastAsia"/>
                <w:sz w:val="24"/>
                <w:szCs w:val="24"/>
                <w:u w:val="none" w:color="auto"/>
              </w:rPr>
              <w:t>大气环境</w:t>
            </w:r>
          </w:p>
        </w:tc>
        <w:tc>
          <w:tcPr>
            <w:tcW w:w="897" w:type="dxa"/>
            <w:tcBorders>
              <w:tl2br w:val="nil"/>
              <w:tr2bl w:val="nil"/>
            </w:tcBorders>
            <w:noWrap w:val="0"/>
            <w:vAlign w:val="center"/>
          </w:tcPr>
          <w:p w14:paraId="2D7A738E">
            <w:pPr>
              <w:keepNext w:val="0"/>
              <w:keepLines w:val="0"/>
              <w:pageBreakBefore w:val="0"/>
              <w:widowControl w:val="0"/>
              <w:suppressLineNumbers w:val="0"/>
              <w:kinsoku/>
              <w:wordWrap w:val="0"/>
              <w:overflowPunct/>
              <w:topLinePunct w:val="0"/>
              <w:autoSpaceDE w:val="0"/>
              <w:autoSpaceDN w:val="0"/>
              <w:bidi w:val="0"/>
              <w:adjustRightInd w:val="0"/>
              <w:snapToGrid/>
              <w:spacing w:before="0" w:beforeAutospacing="0" w:after="0" w:afterAutospacing="0" w:line="240" w:lineRule="auto"/>
              <w:ind w:left="0" w:leftChars="0" w:right="0" w:rightChars="0"/>
              <w:jc w:val="center"/>
              <w:textAlignment w:val="auto"/>
              <w:rPr>
                <w:rFonts w:hint="eastAsia"/>
                <w:sz w:val="24"/>
                <w:szCs w:val="24"/>
                <w:u w:val="none" w:color="auto"/>
                <w:lang w:val="en-US" w:eastAsia="zh-CN"/>
              </w:rPr>
            </w:pPr>
            <w:r>
              <w:rPr>
                <w:rFonts w:hint="eastAsia"/>
                <w:sz w:val="24"/>
                <w:szCs w:val="24"/>
                <w:u w:val="none" w:color="auto"/>
              </w:rPr>
              <w:t>排气</w:t>
            </w:r>
            <w:r>
              <w:rPr>
                <w:rFonts w:hint="eastAsia"/>
                <w:sz w:val="24"/>
                <w:szCs w:val="24"/>
                <w:u w:val="none" w:color="auto"/>
                <w:lang w:val="en-US" w:eastAsia="zh-CN"/>
              </w:rPr>
              <w:t>筒</w:t>
            </w:r>
          </w:p>
          <w:p w14:paraId="3AD2D249">
            <w:pPr>
              <w:widowControl/>
              <w:adjustRightInd w:val="0"/>
              <w:snapToGrid w:val="0"/>
              <w:spacing w:line="240" w:lineRule="auto"/>
              <w:jc w:val="center"/>
              <w:textAlignment w:val="center"/>
              <w:rPr>
                <w:rFonts w:hint="default" w:hAnsi="宋体" w:eastAsia="宋体"/>
                <w:bCs/>
                <w:color w:val="000000"/>
                <w:sz w:val="24"/>
                <w:szCs w:val="24"/>
                <w:u w:val="none" w:color="auto"/>
                <w:lang w:val="en-US" w:eastAsia="zh-CN"/>
              </w:rPr>
            </w:pPr>
            <w:r>
              <w:rPr>
                <w:rFonts w:hint="eastAsia"/>
                <w:sz w:val="24"/>
                <w:szCs w:val="24"/>
                <w:u w:val="none" w:color="auto"/>
              </w:rPr>
              <w:t>（DA001）</w:t>
            </w:r>
          </w:p>
        </w:tc>
        <w:tc>
          <w:tcPr>
            <w:tcW w:w="1307" w:type="dxa"/>
            <w:tcBorders>
              <w:tl2br w:val="nil"/>
              <w:tr2bl w:val="nil"/>
            </w:tcBorders>
            <w:noWrap w:val="0"/>
            <w:vAlign w:val="center"/>
          </w:tcPr>
          <w:p w14:paraId="539E6984">
            <w:pPr>
              <w:adjustRightInd w:val="0"/>
              <w:snapToGrid w:val="0"/>
              <w:jc w:val="center"/>
              <w:rPr>
                <w:rFonts w:hint="default"/>
                <w:color w:val="000000"/>
                <w:sz w:val="24"/>
                <w:szCs w:val="24"/>
                <w:u w:val="none" w:color="auto"/>
                <w:lang w:val="en-US"/>
              </w:rPr>
            </w:pPr>
            <w:r>
              <w:rPr>
                <w:rFonts w:hint="eastAsia"/>
                <w:bCs/>
                <w:color w:val="000000"/>
                <w:sz w:val="24"/>
                <w:szCs w:val="24"/>
                <w:u w:val="none" w:color="auto"/>
                <w:lang w:val="en-US" w:eastAsia="zh-CN"/>
              </w:rPr>
              <w:t>非甲烷总烃</w:t>
            </w:r>
          </w:p>
        </w:tc>
        <w:tc>
          <w:tcPr>
            <w:tcW w:w="2701" w:type="dxa"/>
            <w:gridSpan w:val="2"/>
            <w:tcBorders>
              <w:tl2br w:val="nil"/>
              <w:tr2bl w:val="nil"/>
            </w:tcBorders>
            <w:noWrap w:val="0"/>
            <w:vAlign w:val="center"/>
          </w:tcPr>
          <w:p w14:paraId="7393C961">
            <w:pPr>
              <w:adjustRightInd w:val="0"/>
              <w:snapToGrid w:val="0"/>
              <w:jc w:val="both"/>
              <w:rPr>
                <w:rFonts w:hint="default"/>
                <w:sz w:val="24"/>
                <w:szCs w:val="24"/>
                <w:u w:val="none" w:color="auto"/>
                <w:lang w:val="en-US" w:eastAsia="zh-CN"/>
              </w:rPr>
            </w:pPr>
            <w:r>
              <w:rPr>
                <w:rFonts w:hint="eastAsia"/>
                <w:sz w:val="24"/>
                <w:szCs w:val="24"/>
                <w:u w:val="none" w:color="auto"/>
                <w:lang w:val="en-US" w:eastAsia="zh-CN"/>
              </w:rPr>
              <w:t>正极配料，涂布烘干废气经NMP回收（余热回收冷凝+高塔式三级水喷淋）系统处理后，经密闭管道通至一根25m高排气筒（DA001）排放。注液工序产生的非甲烷总烃经管道收集后引入活性炭吸附脱附+催化燃烧装置处理后经一根25m高排气筒（DA001）排放</w:t>
            </w:r>
          </w:p>
        </w:tc>
        <w:tc>
          <w:tcPr>
            <w:tcW w:w="2692" w:type="dxa"/>
            <w:tcBorders>
              <w:tl2br w:val="nil"/>
              <w:tr2bl w:val="nil"/>
            </w:tcBorders>
            <w:noWrap w:val="0"/>
            <w:vAlign w:val="center"/>
          </w:tcPr>
          <w:p w14:paraId="170A8E62">
            <w:pPr>
              <w:spacing w:line="240" w:lineRule="auto"/>
              <w:ind w:firstLine="0" w:firstLineChars="0"/>
              <w:jc w:val="center"/>
              <w:rPr>
                <w:sz w:val="24"/>
                <w:szCs w:val="24"/>
                <w:u w:val="none" w:color="auto"/>
              </w:rPr>
            </w:pPr>
            <w:r>
              <w:rPr>
                <w:sz w:val="24"/>
                <w:szCs w:val="24"/>
                <w:u w:val="none" w:color="auto"/>
              </w:rPr>
              <w:t>《电池工业污染物排放标准》（GB30484 -2013）中表5非甲烷总烃50mg/m</w:t>
            </w:r>
            <w:r>
              <w:rPr>
                <w:sz w:val="24"/>
                <w:szCs w:val="24"/>
                <w:u w:val="none" w:color="auto"/>
                <w:vertAlign w:val="superscript"/>
              </w:rPr>
              <w:t>3</w:t>
            </w:r>
            <w:r>
              <w:rPr>
                <w:sz w:val="24"/>
                <w:szCs w:val="24"/>
                <w:u w:val="none" w:color="auto"/>
              </w:rPr>
              <w:t>的</w:t>
            </w:r>
            <w:r>
              <w:rPr>
                <w:rFonts w:hint="eastAsia"/>
                <w:sz w:val="24"/>
                <w:szCs w:val="24"/>
                <w:u w:val="none" w:color="auto"/>
              </w:rPr>
              <w:t>要求；《河南省重污染天气重点行业应急减排措施制定技术指南》（202</w:t>
            </w:r>
            <w:r>
              <w:rPr>
                <w:rFonts w:hint="eastAsia"/>
                <w:sz w:val="24"/>
                <w:szCs w:val="24"/>
                <w:u w:val="none" w:color="auto"/>
                <w:lang w:val="en-US" w:eastAsia="zh-CN"/>
              </w:rPr>
              <w:t>4</w:t>
            </w:r>
            <w:r>
              <w:rPr>
                <w:rFonts w:hint="eastAsia"/>
                <w:sz w:val="24"/>
                <w:szCs w:val="24"/>
                <w:u w:val="none" w:color="auto"/>
              </w:rPr>
              <w:t>年修订版）</w:t>
            </w:r>
          </w:p>
          <w:p w14:paraId="1BE4BC01">
            <w:pPr>
              <w:jc w:val="both"/>
              <w:rPr>
                <w:rFonts w:hint="eastAsia" w:eastAsia="宋体"/>
                <w:color w:val="000000"/>
                <w:sz w:val="24"/>
                <w:szCs w:val="24"/>
                <w:u w:val="none" w:color="auto"/>
                <w:lang w:val="en-US" w:eastAsia="zh-CN"/>
              </w:rPr>
            </w:pPr>
            <w:r>
              <w:rPr>
                <w:rFonts w:hint="eastAsia"/>
                <w:sz w:val="24"/>
                <w:szCs w:val="24"/>
                <w:u w:val="none" w:color="auto"/>
              </w:rPr>
              <w:t>电池制造行业A级标准非甲烷总烃</w:t>
            </w:r>
            <w:r>
              <w:rPr>
                <w:sz w:val="24"/>
                <w:szCs w:val="24"/>
                <w:u w:val="none" w:color="auto"/>
              </w:rPr>
              <w:t>不高于</w:t>
            </w:r>
            <w:r>
              <w:rPr>
                <w:rFonts w:hint="eastAsia"/>
                <w:sz w:val="24"/>
                <w:szCs w:val="24"/>
                <w:u w:val="none" w:color="auto"/>
                <w:lang w:val="en-US" w:eastAsia="zh-CN"/>
              </w:rPr>
              <w:t>30</w:t>
            </w:r>
            <w:r>
              <w:rPr>
                <w:sz w:val="24"/>
                <w:szCs w:val="24"/>
                <w:u w:val="none" w:color="auto"/>
              </w:rPr>
              <w:t xml:space="preserve"> mg/m</w:t>
            </w:r>
            <w:r>
              <w:rPr>
                <w:sz w:val="24"/>
                <w:szCs w:val="24"/>
                <w:u w:val="none" w:color="auto"/>
                <w:vertAlign w:val="superscript"/>
              </w:rPr>
              <w:t>3</w:t>
            </w:r>
            <w:r>
              <w:rPr>
                <w:rFonts w:hint="eastAsia"/>
                <w:sz w:val="24"/>
                <w:szCs w:val="24"/>
                <w:u w:val="none" w:color="auto"/>
              </w:rPr>
              <w:t>的</w:t>
            </w:r>
            <w:r>
              <w:rPr>
                <w:sz w:val="24"/>
                <w:szCs w:val="24"/>
                <w:u w:val="none" w:color="auto"/>
              </w:rPr>
              <w:t>要求</w:t>
            </w:r>
            <w:r>
              <w:rPr>
                <w:rFonts w:hint="eastAsia"/>
                <w:sz w:val="24"/>
                <w:szCs w:val="24"/>
                <w:u w:val="none" w:color="auto"/>
                <w:lang w:eastAsia="zh-CN"/>
              </w:rPr>
              <w:t>；</w:t>
            </w:r>
            <w:r>
              <w:rPr>
                <w:rFonts w:hint="eastAsia"/>
                <w:color w:val="auto"/>
                <w:sz w:val="24"/>
                <w:szCs w:val="24"/>
                <w:highlight w:val="none"/>
                <w:u w:val="none" w:color="auto"/>
              </w:rPr>
              <w:t>《关于全省开展工业企业挥发性有机物专项治理工作中排放建议值的通知》（豫环攻坚办[2017]162号）</w:t>
            </w:r>
          </w:p>
        </w:tc>
      </w:tr>
      <w:tr w14:paraId="6F3CA0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55" w:hRule="atLeast"/>
          <w:jc w:val="center"/>
        </w:trPr>
        <w:tc>
          <w:tcPr>
            <w:tcW w:w="1219" w:type="dxa"/>
            <w:vMerge w:val="continue"/>
            <w:tcBorders>
              <w:tl2br w:val="nil"/>
              <w:tr2bl w:val="nil"/>
            </w:tcBorders>
            <w:noWrap w:val="0"/>
            <w:vAlign w:val="center"/>
          </w:tcPr>
          <w:p w14:paraId="771DB870">
            <w:pPr>
              <w:adjustRightInd w:val="0"/>
              <w:snapToGrid w:val="0"/>
              <w:jc w:val="center"/>
              <w:rPr>
                <w:rFonts w:hint="eastAsia"/>
                <w:sz w:val="24"/>
                <w:szCs w:val="24"/>
                <w:u w:val="none" w:color="auto"/>
              </w:rPr>
            </w:pPr>
          </w:p>
        </w:tc>
        <w:tc>
          <w:tcPr>
            <w:tcW w:w="897" w:type="dxa"/>
            <w:tcBorders>
              <w:tl2br w:val="nil"/>
              <w:tr2bl w:val="nil"/>
            </w:tcBorders>
            <w:noWrap w:val="0"/>
            <w:vAlign w:val="center"/>
          </w:tcPr>
          <w:p w14:paraId="20105325">
            <w:pPr>
              <w:keepNext w:val="0"/>
              <w:keepLines w:val="0"/>
              <w:pageBreakBefore w:val="0"/>
              <w:widowControl w:val="0"/>
              <w:suppressLineNumbers w:val="0"/>
              <w:kinsoku/>
              <w:wordWrap w:val="0"/>
              <w:overflowPunct/>
              <w:topLinePunct w:val="0"/>
              <w:autoSpaceDE w:val="0"/>
              <w:autoSpaceDN w:val="0"/>
              <w:bidi w:val="0"/>
              <w:adjustRightInd w:val="0"/>
              <w:snapToGrid/>
              <w:spacing w:before="0" w:beforeAutospacing="0" w:after="0" w:afterAutospacing="0" w:line="240" w:lineRule="auto"/>
              <w:ind w:left="0" w:leftChars="0" w:right="0" w:rightChars="0"/>
              <w:jc w:val="center"/>
              <w:textAlignment w:val="auto"/>
              <w:rPr>
                <w:rFonts w:hint="eastAsia"/>
                <w:sz w:val="24"/>
                <w:szCs w:val="24"/>
                <w:u w:val="none" w:color="auto"/>
                <w:lang w:val="en-US" w:eastAsia="zh-CN"/>
              </w:rPr>
            </w:pPr>
            <w:r>
              <w:rPr>
                <w:rFonts w:hint="eastAsia"/>
                <w:sz w:val="24"/>
                <w:szCs w:val="24"/>
                <w:u w:val="none" w:color="auto"/>
              </w:rPr>
              <w:t>排气</w:t>
            </w:r>
            <w:r>
              <w:rPr>
                <w:rFonts w:hint="eastAsia"/>
                <w:sz w:val="24"/>
                <w:szCs w:val="24"/>
                <w:u w:val="none" w:color="auto"/>
                <w:lang w:val="en-US" w:eastAsia="zh-CN"/>
              </w:rPr>
              <w:t>筒</w:t>
            </w:r>
          </w:p>
          <w:p w14:paraId="0E546A9D">
            <w:pPr>
              <w:widowControl/>
              <w:adjustRightInd w:val="0"/>
              <w:snapToGrid w:val="0"/>
              <w:spacing w:line="240" w:lineRule="auto"/>
              <w:jc w:val="center"/>
              <w:textAlignment w:val="center"/>
              <w:rPr>
                <w:rFonts w:hint="eastAsia"/>
                <w:sz w:val="24"/>
                <w:szCs w:val="24"/>
                <w:u w:val="none" w:color="auto"/>
              </w:rPr>
            </w:pPr>
            <w:r>
              <w:rPr>
                <w:rFonts w:hint="eastAsia"/>
                <w:sz w:val="24"/>
                <w:szCs w:val="24"/>
                <w:u w:val="none" w:color="auto"/>
              </w:rPr>
              <w:t>（DA00</w:t>
            </w:r>
            <w:r>
              <w:rPr>
                <w:rFonts w:hint="eastAsia"/>
                <w:sz w:val="24"/>
                <w:szCs w:val="24"/>
                <w:u w:val="none" w:color="auto"/>
                <w:lang w:val="en-US" w:eastAsia="zh-CN"/>
              </w:rPr>
              <w:t>2</w:t>
            </w:r>
            <w:r>
              <w:rPr>
                <w:rFonts w:hint="eastAsia"/>
                <w:sz w:val="24"/>
                <w:szCs w:val="24"/>
                <w:u w:val="none" w:color="auto"/>
              </w:rPr>
              <w:t>）</w:t>
            </w:r>
          </w:p>
        </w:tc>
        <w:tc>
          <w:tcPr>
            <w:tcW w:w="1307" w:type="dxa"/>
            <w:tcBorders>
              <w:tl2br w:val="nil"/>
              <w:tr2bl w:val="nil"/>
            </w:tcBorders>
            <w:noWrap w:val="0"/>
            <w:vAlign w:val="center"/>
          </w:tcPr>
          <w:p w14:paraId="1E96BC4C">
            <w:pPr>
              <w:adjustRightInd w:val="0"/>
              <w:snapToGrid w:val="0"/>
              <w:jc w:val="center"/>
              <w:rPr>
                <w:rFonts w:hint="default"/>
                <w:bCs/>
                <w:color w:val="000000"/>
                <w:sz w:val="24"/>
                <w:szCs w:val="24"/>
                <w:u w:val="none" w:color="auto"/>
                <w:lang w:val="en-US" w:eastAsia="zh-CN"/>
              </w:rPr>
            </w:pPr>
            <w:r>
              <w:rPr>
                <w:rFonts w:hint="eastAsia"/>
                <w:bCs/>
                <w:color w:val="000000"/>
                <w:sz w:val="24"/>
                <w:szCs w:val="24"/>
                <w:u w:val="none" w:color="auto"/>
                <w:lang w:val="en-US" w:eastAsia="zh-CN"/>
              </w:rPr>
              <w:t>颗粒物</w:t>
            </w:r>
          </w:p>
        </w:tc>
        <w:tc>
          <w:tcPr>
            <w:tcW w:w="2701" w:type="dxa"/>
            <w:gridSpan w:val="2"/>
            <w:tcBorders>
              <w:tl2br w:val="nil"/>
              <w:tr2bl w:val="nil"/>
            </w:tcBorders>
            <w:noWrap w:val="0"/>
            <w:vAlign w:val="center"/>
          </w:tcPr>
          <w:p w14:paraId="2CCD5014">
            <w:pPr>
              <w:adjustRightInd w:val="0"/>
              <w:snapToGrid w:val="0"/>
              <w:jc w:val="both"/>
              <w:rPr>
                <w:rFonts w:hint="eastAsia"/>
                <w:sz w:val="24"/>
                <w:szCs w:val="24"/>
                <w:u w:val="none" w:color="auto"/>
                <w:lang w:val="en-US" w:eastAsia="zh-CN"/>
              </w:rPr>
            </w:pPr>
            <w:r>
              <w:rPr>
                <w:rFonts w:hint="eastAsia" w:ascii="Times New Roman" w:hAnsi="Times New Roman" w:eastAsia="宋体" w:cs="Times New Roman"/>
                <w:sz w:val="24"/>
                <w:szCs w:val="24"/>
                <w:u w:val="none" w:color="auto"/>
                <w:lang w:val="en-US" w:eastAsia="zh-CN"/>
              </w:rPr>
              <w:t>正负极配料、投料工序产生的颗粒物分别经各自配套的滤芯除尘器处理后由</w:t>
            </w:r>
            <w:r>
              <w:rPr>
                <w:rFonts w:hint="eastAsia" w:cs="Times New Roman"/>
                <w:sz w:val="24"/>
                <w:szCs w:val="24"/>
                <w:u w:val="none" w:color="auto"/>
                <w:lang w:val="en-US" w:eastAsia="zh-CN"/>
              </w:rPr>
              <w:t>一根25</w:t>
            </w:r>
            <w:r>
              <w:rPr>
                <w:rFonts w:hint="eastAsia" w:ascii="Times New Roman" w:hAnsi="Times New Roman" w:eastAsia="宋体" w:cs="Times New Roman"/>
                <w:sz w:val="24"/>
                <w:szCs w:val="24"/>
                <w:u w:val="none" w:color="auto"/>
                <w:lang w:val="en-US" w:eastAsia="zh-CN"/>
              </w:rPr>
              <w:t>m高排气筒（DA002）排放</w:t>
            </w:r>
          </w:p>
        </w:tc>
        <w:tc>
          <w:tcPr>
            <w:tcW w:w="2692" w:type="dxa"/>
            <w:tcBorders>
              <w:tl2br w:val="nil"/>
              <w:tr2bl w:val="nil"/>
            </w:tcBorders>
            <w:noWrap w:val="0"/>
            <w:vAlign w:val="center"/>
          </w:tcPr>
          <w:p w14:paraId="3890E055">
            <w:pPr>
              <w:jc w:val="both"/>
              <w:rPr>
                <w:rFonts w:hint="eastAsia" w:eastAsia="宋体"/>
                <w:sz w:val="24"/>
                <w:szCs w:val="24"/>
                <w:u w:val="none" w:color="auto"/>
                <w:vertAlign w:val="baseline"/>
                <w:lang w:val="en-US" w:eastAsia="zh-CN"/>
              </w:rPr>
            </w:pPr>
            <w:r>
              <w:rPr>
                <w:rFonts w:hint="eastAsia"/>
                <w:sz w:val="24"/>
                <w:szCs w:val="24"/>
                <w:u w:val="none" w:color="auto"/>
              </w:rPr>
              <w:t>《电池工业污染物排放标准》（GB30484-2013）颗粒物有组织排放浓度30mg/m</w:t>
            </w:r>
            <w:r>
              <w:rPr>
                <w:rFonts w:hint="eastAsia"/>
                <w:sz w:val="24"/>
                <w:szCs w:val="24"/>
                <w:u w:val="none" w:color="auto"/>
                <w:vertAlign w:val="superscript"/>
              </w:rPr>
              <w:t>3</w:t>
            </w:r>
            <w:r>
              <w:rPr>
                <w:rFonts w:hint="eastAsia"/>
                <w:sz w:val="24"/>
                <w:szCs w:val="24"/>
                <w:u w:val="none" w:color="auto"/>
              </w:rPr>
              <w:t>，同时满足《新乡市生态环境局关于进一步规范工业企业颗粒物排放限值的通知》颗粒物有组织排放浓度10mg/m</w:t>
            </w:r>
            <w:r>
              <w:rPr>
                <w:rFonts w:hint="eastAsia"/>
                <w:sz w:val="24"/>
                <w:szCs w:val="24"/>
                <w:u w:val="none" w:color="auto"/>
                <w:vertAlign w:val="superscript"/>
              </w:rPr>
              <w:t>3</w:t>
            </w:r>
            <w:r>
              <w:rPr>
                <w:rFonts w:hint="eastAsia"/>
                <w:sz w:val="24"/>
                <w:szCs w:val="24"/>
                <w:u w:val="none" w:color="auto"/>
              </w:rPr>
              <w:t>以及《河南省重污染天气重点行业应急减排措施制定技术指南》（2024年修订版）电池制造A级要求颗粒物有组织排放浓度10mg/m</w:t>
            </w:r>
            <w:r>
              <w:rPr>
                <w:rFonts w:hint="eastAsia"/>
                <w:sz w:val="24"/>
                <w:szCs w:val="24"/>
                <w:u w:val="none" w:color="auto"/>
                <w:vertAlign w:val="superscript"/>
              </w:rPr>
              <w:t>3</w:t>
            </w:r>
            <w:r>
              <w:rPr>
                <w:rFonts w:hint="eastAsia"/>
                <w:sz w:val="24"/>
                <w:szCs w:val="24"/>
                <w:u w:val="none" w:color="auto"/>
                <w:vertAlign w:val="baseline"/>
                <w:lang w:val="en-US" w:eastAsia="zh-CN"/>
              </w:rPr>
              <w:t>要求</w:t>
            </w:r>
          </w:p>
        </w:tc>
      </w:tr>
      <w:tr w14:paraId="01046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219" w:type="dxa"/>
            <w:vMerge w:val="continue"/>
            <w:tcBorders>
              <w:tl2br w:val="nil"/>
              <w:tr2bl w:val="nil"/>
            </w:tcBorders>
            <w:noWrap w:val="0"/>
            <w:vAlign w:val="center"/>
          </w:tcPr>
          <w:p w14:paraId="1378BF18">
            <w:pPr>
              <w:adjustRightInd w:val="0"/>
              <w:snapToGrid w:val="0"/>
              <w:jc w:val="center"/>
              <w:rPr>
                <w:rFonts w:hint="eastAsia"/>
                <w:sz w:val="24"/>
                <w:szCs w:val="24"/>
                <w:u w:val="none" w:color="auto"/>
              </w:rPr>
            </w:pPr>
          </w:p>
        </w:tc>
        <w:tc>
          <w:tcPr>
            <w:tcW w:w="897" w:type="dxa"/>
            <w:tcBorders>
              <w:tl2br w:val="nil"/>
              <w:tr2bl w:val="nil"/>
            </w:tcBorders>
            <w:noWrap w:val="0"/>
            <w:vAlign w:val="center"/>
          </w:tcPr>
          <w:p w14:paraId="3F7BBBCF">
            <w:pPr>
              <w:keepNext w:val="0"/>
              <w:keepLines w:val="0"/>
              <w:pageBreakBefore w:val="0"/>
              <w:widowControl w:val="0"/>
              <w:suppressLineNumbers w:val="0"/>
              <w:kinsoku/>
              <w:wordWrap w:val="0"/>
              <w:overflowPunct/>
              <w:topLinePunct w:val="0"/>
              <w:autoSpaceDE w:val="0"/>
              <w:autoSpaceDN w:val="0"/>
              <w:bidi w:val="0"/>
              <w:adjustRightInd w:val="0"/>
              <w:snapToGrid/>
              <w:spacing w:before="0" w:beforeAutospacing="0" w:after="0" w:afterAutospacing="0" w:line="240" w:lineRule="auto"/>
              <w:ind w:left="0" w:leftChars="0" w:right="0" w:rightChars="0"/>
              <w:jc w:val="center"/>
              <w:textAlignment w:val="auto"/>
              <w:rPr>
                <w:rFonts w:hint="eastAsia"/>
                <w:sz w:val="24"/>
                <w:szCs w:val="24"/>
                <w:u w:val="none" w:color="auto"/>
                <w:lang w:val="en-US" w:eastAsia="zh-CN"/>
              </w:rPr>
            </w:pPr>
            <w:r>
              <w:rPr>
                <w:rFonts w:hint="eastAsia"/>
                <w:sz w:val="24"/>
                <w:szCs w:val="24"/>
                <w:u w:val="none" w:color="auto"/>
              </w:rPr>
              <w:t>排气</w:t>
            </w:r>
            <w:r>
              <w:rPr>
                <w:rFonts w:hint="eastAsia"/>
                <w:sz w:val="24"/>
                <w:szCs w:val="24"/>
                <w:u w:val="none" w:color="auto"/>
                <w:lang w:val="en-US" w:eastAsia="zh-CN"/>
              </w:rPr>
              <w:t>筒</w:t>
            </w:r>
          </w:p>
          <w:p w14:paraId="781A02C7">
            <w:pPr>
              <w:widowControl/>
              <w:adjustRightInd w:val="0"/>
              <w:snapToGrid w:val="0"/>
              <w:spacing w:line="240" w:lineRule="auto"/>
              <w:jc w:val="center"/>
              <w:textAlignment w:val="center"/>
              <w:rPr>
                <w:rFonts w:hint="eastAsia"/>
                <w:sz w:val="24"/>
                <w:szCs w:val="24"/>
                <w:u w:val="none" w:color="auto"/>
              </w:rPr>
            </w:pPr>
            <w:r>
              <w:rPr>
                <w:rFonts w:hint="eastAsia"/>
                <w:sz w:val="24"/>
                <w:szCs w:val="24"/>
                <w:u w:val="none" w:color="auto"/>
              </w:rPr>
              <w:t>（DA00</w:t>
            </w:r>
            <w:r>
              <w:rPr>
                <w:rFonts w:hint="eastAsia"/>
                <w:sz w:val="24"/>
                <w:szCs w:val="24"/>
                <w:u w:val="none" w:color="auto"/>
                <w:lang w:val="en-US" w:eastAsia="zh-CN"/>
              </w:rPr>
              <w:t>3</w:t>
            </w:r>
            <w:r>
              <w:rPr>
                <w:rFonts w:hint="eastAsia"/>
                <w:sz w:val="24"/>
                <w:szCs w:val="24"/>
                <w:u w:val="none" w:color="auto"/>
              </w:rPr>
              <w:t>）</w:t>
            </w:r>
          </w:p>
        </w:tc>
        <w:tc>
          <w:tcPr>
            <w:tcW w:w="1307" w:type="dxa"/>
            <w:tcBorders>
              <w:tl2br w:val="nil"/>
              <w:tr2bl w:val="nil"/>
            </w:tcBorders>
            <w:noWrap w:val="0"/>
            <w:vAlign w:val="center"/>
          </w:tcPr>
          <w:p w14:paraId="005FF178">
            <w:pPr>
              <w:adjustRightInd w:val="0"/>
              <w:snapToGrid w:val="0"/>
              <w:jc w:val="center"/>
              <w:rPr>
                <w:rFonts w:hint="default"/>
                <w:bCs/>
                <w:color w:val="000000"/>
                <w:sz w:val="24"/>
                <w:szCs w:val="24"/>
                <w:u w:val="none" w:color="auto"/>
                <w:lang w:val="en-US" w:eastAsia="zh-CN"/>
              </w:rPr>
            </w:pPr>
            <w:r>
              <w:rPr>
                <w:rFonts w:hint="eastAsia"/>
                <w:bCs/>
                <w:color w:val="000000"/>
                <w:sz w:val="24"/>
                <w:szCs w:val="24"/>
                <w:u w:val="none" w:color="auto"/>
                <w:lang w:val="en-US" w:eastAsia="zh-CN"/>
              </w:rPr>
              <w:t>硫化氢、氨、臭气浓度</w:t>
            </w:r>
          </w:p>
        </w:tc>
        <w:tc>
          <w:tcPr>
            <w:tcW w:w="2701" w:type="dxa"/>
            <w:gridSpan w:val="2"/>
            <w:tcBorders>
              <w:tl2br w:val="nil"/>
              <w:tr2bl w:val="nil"/>
            </w:tcBorders>
            <w:noWrap w:val="0"/>
            <w:vAlign w:val="center"/>
          </w:tcPr>
          <w:p w14:paraId="5A83AE78">
            <w:pPr>
              <w:adjustRightInd w:val="0"/>
              <w:snapToGrid w:val="0"/>
              <w:jc w:val="both"/>
              <w:rPr>
                <w:rFonts w:hint="default"/>
                <w:sz w:val="24"/>
                <w:szCs w:val="24"/>
                <w:u w:val="none" w:color="auto"/>
                <w:lang w:val="en-US" w:eastAsia="zh-CN"/>
              </w:rPr>
            </w:pPr>
            <w:r>
              <w:rPr>
                <w:rFonts w:hint="eastAsia" w:hAnsiTheme="minorEastAsia" w:eastAsiaTheme="minorEastAsia"/>
                <w:sz w:val="24"/>
                <w:szCs w:val="24"/>
                <w:u w:val="none" w:color="auto"/>
              </w:rPr>
              <w:t>污水处理站各臭源构筑物加盖密闭负压收集恶臭气体，</w:t>
            </w:r>
            <w:r>
              <w:rPr>
                <w:rFonts w:hint="eastAsia" w:hAnsiTheme="minorEastAsia" w:eastAsiaTheme="minorEastAsia"/>
                <w:sz w:val="24"/>
                <w:szCs w:val="24"/>
                <w:u w:val="none" w:color="auto"/>
                <w:lang w:val="en-US" w:eastAsia="zh-CN"/>
              </w:rPr>
              <w:t>收集后</w:t>
            </w:r>
            <w:r>
              <w:rPr>
                <w:rFonts w:hint="eastAsia" w:hAnsiTheme="minorEastAsia" w:eastAsiaTheme="minorEastAsia"/>
                <w:sz w:val="24"/>
                <w:szCs w:val="24"/>
                <w:u w:val="none" w:color="auto"/>
              </w:rPr>
              <w:t>送入</w:t>
            </w:r>
            <w:r>
              <w:rPr>
                <w:rFonts w:hint="eastAsia" w:hAnsiTheme="minorEastAsia" w:eastAsiaTheme="minorEastAsia"/>
                <w:sz w:val="24"/>
                <w:szCs w:val="24"/>
                <w:u w:val="none" w:color="auto"/>
                <w:lang w:eastAsia="zh-CN"/>
              </w:rPr>
              <w:t>生物除臭池</w:t>
            </w:r>
            <w:r>
              <w:rPr>
                <w:rFonts w:hint="eastAsia" w:hAnsiTheme="minorEastAsia" w:eastAsiaTheme="minorEastAsia"/>
                <w:sz w:val="24"/>
                <w:szCs w:val="24"/>
                <w:u w:val="none" w:color="auto"/>
              </w:rPr>
              <w:t>处理后</w:t>
            </w:r>
            <w:r>
              <w:rPr>
                <w:rFonts w:hint="eastAsia" w:hAnsiTheme="minorEastAsia" w:eastAsiaTheme="minorEastAsia"/>
                <w:sz w:val="24"/>
                <w:szCs w:val="24"/>
                <w:u w:val="none" w:color="auto"/>
                <w:lang w:eastAsia="zh-CN"/>
              </w:rPr>
              <w:t>，</w:t>
            </w:r>
            <w:r>
              <w:rPr>
                <w:rFonts w:hint="eastAsia" w:hAnsiTheme="minorEastAsia" w:eastAsiaTheme="minorEastAsia"/>
                <w:sz w:val="24"/>
                <w:szCs w:val="24"/>
                <w:u w:val="none" w:color="auto"/>
                <w:lang w:val="en-US" w:eastAsia="zh-CN"/>
              </w:rPr>
              <w:t>尾气</w:t>
            </w:r>
            <w:r>
              <w:rPr>
                <w:rFonts w:hint="eastAsia" w:hAnsiTheme="minorEastAsia" w:eastAsiaTheme="minorEastAsia"/>
                <w:sz w:val="24"/>
                <w:szCs w:val="24"/>
                <w:u w:val="none" w:color="auto"/>
              </w:rPr>
              <w:t>经 1 根</w:t>
            </w:r>
            <w:r>
              <w:rPr>
                <w:rFonts w:hint="eastAsia" w:hAnsiTheme="minorEastAsia" w:eastAsiaTheme="minorEastAsia"/>
                <w:sz w:val="24"/>
                <w:szCs w:val="24"/>
                <w:u w:val="none" w:color="auto"/>
                <w:lang w:val="en-US" w:eastAsia="zh-CN"/>
              </w:rPr>
              <w:t>15m</w:t>
            </w:r>
            <w:r>
              <w:rPr>
                <w:rFonts w:hint="eastAsia" w:hAnsiTheme="minorEastAsia" w:eastAsiaTheme="minorEastAsia"/>
                <w:sz w:val="24"/>
                <w:szCs w:val="24"/>
                <w:u w:val="none" w:color="auto"/>
              </w:rPr>
              <w:t>高排气筒</w:t>
            </w:r>
            <w:r>
              <w:rPr>
                <w:rFonts w:hint="eastAsia" w:hAnsiTheme="minorEastAsia" w:eastAsiaTheme="minorEastAsia"/>
                <w:sz w:val="24"/>
                <w:szCs w:val="24"/>
                <w:u w:val="none" w:color="auto"/>
                <w:lang w:eastAsia="zh-CN"/>
              </w:rPr>
              <w:t>（</w:t>
            </w:r>
            <w:r>
              <w:rPr>
                <w:rFonts w:hint="eastAsia" w:hAnsiTheme="minorEastAsia" w:eastAsiaTheme="minorEastAsia"/>
                <w:sz w:val="24"/>
                <w:szCs w:val="24"/>
                <w:u w:val="none" w:color="auto"/>
                <w:lang w:val="en-US" w:eastAsia="zh-CN"/>
              </w:rPr>
              <w:t>DA003</w:t>
            </w:r>
            <w:r>
              <w:rPr>
                <w:rFonts w:hint="eastAsia" w:hAnsiTheme="minorEastAsia" w:eastAsiaTheme="minorEastAsia"/>
                <w:sz w:val="24"/>
                <w:szCs w:val="24"/>
                <w:u w:val="none" w:color="auto"/>
                <w:lang w:eastAsia="zh-CN"/>
              </w:rPr>
              <w:t>）</w:t>
            </w:r>
            <w:r>
              <w:rPr>
                <w:rFonts w:hint="eastAsia" w:hAnsiTheme="minorEastAsia" w:eastAsiaTheme="minorEastAsia"/>
                <w:sz w:val="24"/>
                <w:szCs w:val="24"/>
                <w:u w:val="none" w:color="auto"/>
              </w:rPr>
              <w:t>排放</w:t>
            </w:r>
            <w:r>
              <w:rPr>
                <w:rFonts w:hint="eastAsia" w:hAnsiTheme="minorEastAsia" w:eastAsiaTheme="minorEastAsia"/>
                <w:sz w:val="24"/>
                <w:szCs w:val="24"/>
                <w:u w:val="none" w:color="auto"/>
                <w:lang w:eastAsia="zh-CN"/>
              </w:rPr>
              <w:t>。</w:t>
            </w:r>
          </w:p>
        </w:tc>
        <w:tc>
          <w:tcPr>
            <w:tcW w:w="2692" w:type="dxa"/>
            <w:tcBorders>
              <w:tl2br w:val="nil"/>
              <w:tr2bl w:val="nil"/>
            </w:tcBorders>
            <w:noWrap w:val="0"/>
            <w:vAlign w:val="center"/>
          </w:tcPr>
          <w:p w14:paraId="1D28890E">
            <w:pPr>
              <w:jc w:val="both"/>
              <w:rPr>
                <w:rFonts w:hint="default" w:eastAsia="宋体"/>
                <w:sz w:val="24"/>
                <w:szCs w:val="24"/>
                <w:u w:val="none" w:color="auto"/>
                <w:lang w:val="en-US" w:eastAsia="zh-CN"/>
              </w:rPr>
            </w:pPr>
            <w:r>
              <w:rPr>
                <w:rFonts w:hint="default" w:ascii="Times New Roman" w:hAnsi="宋体" w:eastAsia="宋体" w:cs="Times New Roman"/>
                <w:sz w:val="24"/>
                <w:szCs w:val="24"/>
                <w:u w:val="none" w:color="auto"/>
                <w:lang w:val="en-US" w:eastAsia="zh-CN"/>
              </w:rPr>
              <w:t>《恶臭污染物排放标准》(GB14554-93）表2恶臭污染物排放标准值：硫化氢</w:t>
            </w:r>
            <w:r>
              <w:rPr>
                <w:rFonts w:hint="eastAsia" w:hAnsi="宋体" w:cs="Times New Roman"/>
                <w:sz w:val="24"/>
                <w:szCs w:val="24"/>
                <w:u w:val="none" w:color="auto"/>
                <w:lang w:val="en-US" w:eastAsia="zh-CN"/>
              </w:rPr>
              <w:t>0.33</w:t>
            </w:r>
            <w:r>
              <w:rPr>
                <w:rFonts w:hint="default" w:ascii="Times New Roman" w:hAnsi="宋体" w:eastAsia="宋体" w:cs="Times New Roman"/>
                <w:sz w:val="24"/>
                <w:szCs w:val="24"/>
                <w:u w:val="none" w:color="auto"/>
                <w:lang w:val="en-US" w:eastAsia="zh-CN"/>
              </w:rPr>
              <w:t>kg/h、氨</w:t>
            </w:r>
            <w:r>
              <w:rPr>
                <w:rFonts w:hint="eastAsia" w:hAnsi="宋体" w:cs="Times New Roman"/>
                <w:sz w:val="24"/>
                <w:szCs w:val="24"/>
                <w:u w:val="none" w:color="auto"/>
                <w:lang w:val="en-US" w:eastAsia="zh-CN"/>
              </w:rPr>
              <w:t>4.9</w:t>
            </w:r>
            <w:r>
              <w:rPr>
                <w:rFonts w:hint="default" w:ascii="Times New Roman" w:hAnsi="宋体" w:eastAsia="宋体" w:cs="Times New Roman"/>
                <w:sz w:val="24"/>
                <w:szCs w:val="24"/>
                <w:u w:val="none" w:color="auto"/>
                <w:lang w:val="en-US" w:eastAsia="zh-CN"/>
              </w:rPr>
              <w:t>kg/h</w:t>
            </w:r>
            <w:r>
              <w:rPr>
                <w:rFonts w:hint="eastAsia" w:hAnsi="宋体" w:cs="Times New Roman"/>
                <w:sz w:val="24"/>
                <w:szCs w:val="24"/>
                <w:u w:val="none" w:color="auto"/>
                <w:lang w:val="en-US" w:eastAsia="zh-CN"/>
              </w:rPr>
              <w:t>、臭气浓度2000(无量纲)(15m排气筒)</w:t>
            </w:r>
            <w:r>
              <w:rPr>
                <w:rFonts w:hint="default" w:ascii="Times New Roman" w:hAnsi="宋体" w:eastAsia="宋体" w:cs="Times New Roman"/>
                <w:sz w:val="24"/>
                <w:szCs w:val="24"/>
                <w:u w:val="none" w:color="auto"/>
                <w:lang w:val="en-US" w:eastAsia="zh-CN"/>
              </w:rPr>
              <w:t>的限值要求</w:t>
            </w:r>
          </w:p>
        </w:tc>
      </w:tr>
      <w:tr w14:paraId="5B3BD8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219" w:type="dxa"/>
            <w:vMerge w:val="continue"/>
            <w:tcBorders>
              <w:tl2br w:val="nil"/>
              <w:tr2bl w:val="nil"/>
            </w:tcBorders>
            <w:noWrap w:val="0"/>
            <w:vAlign w:val="center"/>
          </w:tcPr>
          <w:p w14:paraId="0852256D">
            <w:pPr>
              <w:adjustRightInd w:val="0"/>
              <w:snapToGrid w:val="0"/>
              <w:jc w:val="center"/>
              <w:rPr>
                <w:sz w:val="24"/>
                <w:szCs w:val="24"/>
                <w:highlight w:val="yellow"/>
                <w:u w:val="none" w:color="auto"/>
              </w:rPr>
            </w:pPr>
          </w:p>
        </w:tc>
        <w:tc>
          <w:tcPr>
            <w:tcW w:w="897" w:type="dxa"/>
            <w:vMerge w:val="restart"/>
            <w:tcBorders>
              <w:tl2br w:val="nil"/>
              <w:tr2bl w:val="nil"/>
            </w:tcBorders>
            <w:noWrap w:val="0"/>
            <w:vAlign w:val="center"/>
          </w:tcPr>
          <w:p w14:paraId="7ABCA747">
            <w:pPr>
              <w:adjustRightInd w:val="0"/>
              <w:snapToGrid w:val="0"/>
              <w:jc w:val="center"/>
              <w:rPr>
                <w:rFonts w:hAnsi="宋体"/>
                <w:bCs/>
                <w:sz w:val="24"/>
                <w:szCs w:val="24"/>
                <w:u w:val="none" w:color="auto"/>
              </w:rPr>
            </w:pPr>
            <w:r>
              <w:rPr>
                <w:rFonts w:hint="eastAsia" w:hAnsi="宋体"/>
                <w:bCs/>
                <w:sz w:val="24"/>
                <w:szCs w:val="24"/>
                <w:u w:val="none" w:color="auto"/>
              </w:rPr>
              <w:t>全过程无组织废气</w:t>
            </w:r>
          </w:p>
        </w:tc>
        <w:tc>
          <w:tcPr>
            <w:tcW w:w="1307" w:type="dxa"/>
            <w:tcBorders>
              <w:tl2br w:val="nil"/>
              <w:tr2bl w:val="nil"/>
            </w:tcBorders>
            <w:noWrap w:val="0"/>
            <w:vAlign w:val="center"/>
          </w:tcPr>
          <w:p w14:paraId="04AE7E2C">
            <w:pPr>
              <w:adjustRightInd w:val="0"/>
              <w:snapToGrid w:val="0"/>
              <w:jc w:val="center"/>
              <w:rPr>
                <w:rFonts w:hint="default" w:eastAsia="宋体"/>
                <w:sz w:val="24"/>
                <w:szCs w:val="24"/>
                <w:u w:val="none" w:color="auto"/>
                <w:lang w:val="en-US" w:eastAsia="zh-CN"/>
              </w:rPr>
            </w:pPr>
            <w:r>
              <w:rPr>
                <w:rFonts w:hint="eastAsia"/>
                <w:bCs/>
                <w:sz w:val="24"/>
                <w:szCs w:val="24"/>
                <w:u w:val="none" w:color="auto"/>
                <w:lang w:val="en-US" w:eastAsia="zh-CN"/>
              </w:rPr>
              <w:t>非甲烷总烃</w:t>
            </w:r>
          </w:p>
        </w:tc>
        <w:tc>
          <w:tcPr>
            <w:tcW w:w="2701" w:type="dxa"/>
            <w:gridSpan w:val="2"/>
            <w:vMerge w:val="restart"/>
            <w:tcBorders>
              <w:tl2br w:val="nil"/>
              <w:tr2bl w:val="nil"/>
            </w:tcBorders>
            <w:shd w:val="clear" w:color="auto" w:fill="auto"/>
            <w:noWrap w:val="0"/>
            <w:vAlign w:val="center"/>
          </w:tcPr>
          <w:p w14:paraId="44F91552">
            <w:pPr>
              <w:pStyle w:val="96"/>
              <w:jc w:val="both"/>
              <w:rPr>
                <w:rFonts w:hint="eastAsia" w:hAnsiTheme="minorEastAsia" w:eastAsiaTheme="minorEastAsia"/>
                <w:sz w:val="24"/>
                <w:szCs w:val="24"/>
                <w:u w:val="none" w:color="auto"/>
                <w:lang w:val="en-US" w:eastAsia="zh-CN"/>
              </w:rPr>
            </w:pPr>
            <w:r>
              <w:rPr>
                <w:rFonts w:hint="eastAsia" w:hAnsiTheme="minorEastAsia" w:eastAsiaTheme="minorEastAsia"/>
                <w:sz w:val="24"/>
                <w:szCs w:val="24"/>
                <w:u w:val="none" w:color="auto"/>
                <w:lang w:val="en-US" w:eastAsia="zh-CN"/>
              </w:rPr>
              <w:t>①企业加强设备的密闭性，保证收集效率，减少密封点管线阀门的泄漏排放；</w:t>
            </w:r>
          </w:p>
          <w:p w14:paraId="63D00BCE">
            <w:pPr>
              <w:pStyle w:val="96"/>
              <w:jc w:val="both"/>
              <w:rPr>
                <w:rFonts w:hint="eastAsia" w:hAnsiTheme="minorEastAsia" w:eastAsiaTheme="minorEastAsia"/>
                <w:sz w:val="24"/>
                <w:szCs w:val="24"/>
                <w:u w:val="none" w:color="auto"/>
                <w:lang w:val="en-US" w:eastAsia="zh-CN"/>
              </w:rPr>
            </w:pPr>
            <w:r>
              <w:rPr>
                <w:rFonts w:hint="eastAsia" w:hAnsiTheme="minorEastAsia" w:eastAsiaTheme="minorEastAsia"/>
                <w:sz w:val="24"/>
                <w:szCs w:val="24"/>
                <w:u w:val="none" w:color="auto"/>
                <w:lang w:val="en-US" w:eastAsia="zh-CN"/>
              </w:rPr>
              <w:t>②定期对废气治理设施喷淋水进行更换，保证吸附效率；</w:t>
            </w:r>
          </w:p>
          <w:p w14:paraId="46119960">
            <w:pPr>
              <w:pStyle w:val="96"/>
              <w:jc w:val="both"/>
              <w:rPr>
                <w:rFonts w:hint="eastAsia" w:hAnsiTheme="minorEastAsia" w:eastAsiaTheme="minorEastAsia"/>
                <w:sz w:val="24"/>
                <w:szCs w:val="24"/>
                <w:u w:val="none" w:color="auto"/>
                <w:lang w:val="en-US" w:eastAsia="zh-CN"/>
              </w:rPr>
            </w:pPr>
            <w:r>
              <w:rPr>
                <w:rFonts w:hint="eastAsia" w:hAnsiTheme="minorEastAsia" w:eastAsiaTheme="minorEastAsia"/>
                <w:sz w:val="24"/>
                <w:szCs w:val="24"/>
                <w:u w:val="none" w:color="auto"/>
                <w:lang w:val="en-US" w:eastAsia="zh-CN"/>
              </w:rPr>
              <w:t>③污水处理站各臭源构筑物加盖密闭负压收集恶臭气体，收集后送入生物除臭池处理后，尾气经 1 根 15m 高排气筒（DA003）排放。</w:t>
            </w:r>
          </w:p>
        </w:tc>
        <w:tc>
          <w:tcPr>
            <w:tcW w:w="2692" w:type="dxa"/>
            <w:tcBorders>
              <w:tl2br w:val="nil"/>
              <w:tr2bl w:val="nil"/>
            </w:tcBorders>
            <w:noWrap w:val="0"/>
            <w:vAlign w:val="center"/>
          </w:tcPr>
          <w:p w14:paraId="5AE895B8">
            <w:pPr>
              <w:adjustRightInd w:val="0"/>
              <w:snapToGrid w:val="0"/>
              <w:ind w:left="-80" w:leftChars="-38" w:right="-67" w:rightChars="-32"/>
              <w:jc w:val="both"/>
              <w:rPr>
                <w:rFonts w:hint="default" w:eastAsia="宋体"/>
                <w:sz w:val="24"/>
                <w:szCs w:val="24"/>
                <w:u w:val="none" w:color="auto"/>
                <w:vertAlign w:val="baseline"/>
                <w:lang w:val="en-US" w:eastAsia="zh-CN"/>
              </w:rPr>
            </w:pPr>
            <w:r>
              <w:rPr>
                <w:rFonts w:hint="default" w:eastAsia="宋体"/>
                <w:sz w:val="24"/>
                <w:szCs w:val="24"/>
                <w:u w:val="none" w:color="auto"/>
                <w:vertAlign w:val="baseline"/>
                <w:lang w:val="en-US" w:eastAsia="zh-CN"/>
              </w:rPr>
              <w:t>《电池工业污染物排放标准》（GB</w:t>
            </w:r>
            <w:r>
              <w:rPr>
                <w:rFonts w:hint="eastAsia"/>
                <w:sz w:val="24"/>
                <w:szCs w:val="24"/>
                <w:u w:val="none" w:color="auto"/>
                <w:vertAlign w:val="baseline"/>
                <w:lang w:val="en-US" w:eastAsia="zh-CN"/>
              </w:rPr>
              <w:t>30484</w:t>
            </w:r>
            <w:r>
              <w:rPr>
                <w:rFonts w:hint="default" w:eastAsia="宋体"/>
                <w:sz w:val="24"/>
                <w:szCs w:val="24"/>
                <w:u w:val="none" w:color="auto"/>
                <w:vertAlign w:val="baseline"/>
                <w:lang w:val="en-US" w:eastAsia="zh-CN"/>
              </w:rPr>
              <w:t>-2013）表6非甲烷总烃厂界浓度2mg/m</w:t>
            </w:r>
            <w:r>
              <w:rPr>
                <w:rFonts w:hint="default" w:eastAsia="宋体"/>
                <w:sz w:val="24"/>
                <w:szCs w:val="24"/>
                <w:u w:val="none" w:color="auto"/>
                <w:vertAlign w:val="superscript"/>
                <w:lang w:val="en-US" w:eastAsia="zh-CN"/>
              </w:rPr>
              <w:t>3</w:t>
            </w:r>
            <w:r>
              <w:rPr>
                <w:rFonts w:hint="eastAsia"/>
                <w:sz w:val="24"/>
                <w:szCs w:val="24"/>
                <w:u w:val="none" w:color="auto"/>
                <w:vertAlign w:val="baseline"/>
                <w:lang w:val="en-US" w:eastAsia="zh-CN"/>
              </w:rPr>
              <w:t>、《挥发性有机物无组织排放控制标准》（GB37822-2019）</w:t>
            </w:r>
          </w:p>
        </w:tc>
      </w:tr>
      <w:tr w14:paraId="2709E7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19" w:type="dxa"/>
            <w:vMerge w:val="continue"/>
            <w:tcBorders>
              <w:tl2br w:val="nil"/>
              <w:tr2bl w:val="nil"/>
            </w:tcBorders>
            <w:noWrap w:val="0"/>
            <w:vAlign w:val="center"/>
          </w:tcPr>
          <w:p w14:paraId="613928F2">
            <w:pPr>
              <w:adjustRightInd w:val="0"/>
              <w:snapToGrid w:val="0"/>
              <w:jc w:val="center"/>
              <w:rPr>
                <w:sz w:val="24"/>
                <w:szCs w:val="24"/>
                <w:highlight w:val="yellow"/>
                <w:u w:val="none" w:color="auto"/>
              </w:rPr>
            </w:pPr>
          </w:p>
        </w:tc>
        <w:tc>
          <w:tcPr>
            <w:tcW w:w="897" w:type="dxa"/>
            <w:vMerge w:val="continue"/>
            <w:tcBorders>
              <w:tl2br w:val="nil"/>
              <w:tr2bl w:val="nil"/>
            </w:tcBorders>
            <w:noWrap w:val="0"/>
            <w:vAlign w:val="center"/>
          </w:tcPr>
          <w:p w14:paraId="004D3C22">
            <w:pPr>
              <w:adjustRightInd w:val="0"/>
              <w:snapToGrid w:val="0"/>
              <w:jc w:val="center"/>
              <w:rPr>
                <w:rFonts w:hint="eastAsia" w:hAnsi="宋体"/>
                <w:bCs/>
                <w:sz w:val="24"/>
                <w:szCs w:val="24"/>
                <w:u w:val="none" w:color="auto"/>
              </w:rPr>
            </w:pPr>
          </w:p>
        </w:tc>
        <w:tc>
          <w:tcPr>
            <w:tcW w:w="1307" w:type="dxa"/>
            <w:tcBorders>
              <w:tl2br w:val="nil"/>
              <w:tr2bl w:val="nil"/>
            </w:tcBorders>
            <w:noWrap w:val="0"/>
            <w:vAlign w:val="center"/>
          </w:tcPr>
          <w:p w14:paraId="62618138">
            <w:pPr>
              <w:adjustRightInd w:val="0"/>
              <w:snapToGrid w:val="0"/>
              <w:jc w:val="center"/>
              <w:rPr>
                <w:rFonts w:hint="eastAsia"/>
                <w:bCs/>
                <w:sz w:val="24"/>
                <w:szCs w:val="24"/>
                <w:u w:val="none" w:color="auto"/>
                <w:lang w:val="en-US" w:eastAsia="zh-CN"/>
              </w:rPr>
            </w:pPr>
            <w:r>
              <w:rPr>
                <w:rFonts w:hint="eastAsia"/>
                <w:bCs/>
                <w:sz w:val="24"/>
                <w:szCs w:val="24"/>
                <w:u w:val="none" w:color="auto"/>
                <w:lang w:val="en-US" w:eastAsia="zh-CN"/>
              </w:rPr>
              <w:t>颗粒物</w:t>
            </w:r>
          </w:p>
        </w:tc>
        <w:tc>
          <w:tcPr>
            <w:tcW w:w="2701" w:type="dxa"/>
            <w:gridSpan w:val="2"/>
            <w:vMerge w:val="continue"/>
            <w:tcBorders>
              <w:tl2br w:val="nil"/>
              <w:tr2bl w:val="nil"/>
            </w:tcBorders>
            <w:shd w:val="clear" w:color="auto" w:fill="auto"/>
            <w:noWrap w:val="0"/>
            <w:vAlign w:val="center"/>
          </w:tcPr>
          <w:p w14:paraId="58BA25F1">
            <w:pPr>
              <w:pStyle w:val="96"/>
              <w:jc w:val="both"/>
              <w:rPr>
                <w:rFonts w:hint="eastAsia" w:ascii="Times New Roman" w:hAnsi="Times New Roman" w:eastAsia="宋体" w:cs="Times New Roman"/>
                <w:sz w:val="24"/>
                <w:szCs w:val="24"/>
                <w:u w:val="none" w:color="auto"/>
                <w:vertAlign w:val="baseline"/>
                <w:lang w:val="en-US" w:eastAsia="zh-CN"/>
              </w:rPr>
            </w:pPr>
          </w:p>
        </w:tc>
        <w:tc>
          <w:tcPr>
            <w:tcW w:w="2692" w:type="dxa"/>
            <w:tcBorders>
              <w:tl2br w:val="nil"/>
              <w:tr2bl w:val="nil"/>
            </w:tcBorders>
            <w:noWrap w:val="0"/>
            <w:vAlign w:val="center"/>
          </w:tcPr>
          <w:p w14:paraId="39F38ABC">
            <w:pPr>
              <w:adjustRightInd w:val="0"/>
              <w:snapToGrid w:val="0"/>
              <w:jc w:val="both"/>
              <w:rPr>
                <w:rFonts w:hint="default" w:eastAsia="宋体"/>
                <w:sz w:val="24"/>
                <w:szCs w:val="24"/>
                <w:u w:val="none" w:color="auto"/>
                <w:vertAlign w:val="baseline"/>
                <w:lang w:val="en-US" w:eastAsia="zh-CN"/>
              </w:rPr>
            </w:pPr>
            <w:r>
              <w:rPr>
                <w:rFonts w:hint="default" w:eastAsia="宋体"/>
                <w:sz w:val="24"/>
                <w:szCs w:val="24"/>
                <w:u w:val="none" w:color="auto"/>
                <w:vertAlign w:val="baseline"/>
                <w:lang w:val="en-US" w:eastAsia="zh-CN"/>
              </w:rPr>
              <w:t>《电池工业污染物排放标准》（GB30</w:t>
            </w:r>
            <w:r>
              <w:rPr>
                <w:rFonts w:hint="eastAsia"/>
                <w:sz w:val="24"/>
                <w:szCs w:val="24"/>
                <w:u w:val="none" w:color="auto"/>
                <w:vertAlign w:val="baseline"/>
                <w:lang w:val="en-US" w:eastAsia="zh-CN"/>
              </w:rPr>
              <w:t>484</w:t>
            </w:r>
            <w:r>
              <w:rPr>
                <w:rFonts w:hint="default" w:eastAsia="宋体"/>
                <w:sz w:val="24"/>
                <w:szCs w:val="24"/>
                <w:u w:val="none" w:color="auto"/>
                <w:vertAlign w:val="baseline"/>
                <w:lang w:val="en-US" w:eastAsia="zh-CN"/>
              </w:rPr>
              <w:t>-2013）表6颗粒物厂界浓度0.3 mg/m</w:t>
            </w:r>
            <w:r>
              <w:rPr>
                <w:rFonts w:hint="default" w:eastAsia="宋体"/>
                <w:sz w:val="24"/>
                <w:szCs w:val="24"/>
                <w:u w:val="none" w:color="auto"/>
                <w:vertAlign w:val="superscript"/>
                <w:lang w:val="en-US" w:eastAsia="zh-CN"/>
              </w:rPr>
              <w:t>3</w:t>
            </w:r>
            <w:r>
              <w:rPr>
                <w:rFonts w:hint="eastAsia"/>
                <w:sz w:val="24"/>
                <w:szCs w:val="24"/>
                <w:u w:val="none" w:color="auto"/>
                <w:vertAlign w:val="baseline"/>
                <w:lang w:val="en-US" w:eastAsia="zh-CN"/>
              </w:rPr>
              <w:t>、</w:t>
            </w:r>
            <w:r>
              <w:rPr>
                <w:rFonts w:hint="default" w:eastAsia="宋体"/>
                <w:sz w:val="24"/>
                <w:szCs w:val="24"/>
                <w:u w:val="none" w:color="auto"/>
                <w:vertAlign w:val="baseline"/>
                <w:lang w:val="en-US" w:eastAsia="zh-CN"/>
              </w:rPr>
              <w:t>《新乡市生态环境局关于进一步规范工业企业颗粒物排放限值的通知》颗粒物厂界浓度0.5 mg/m</w:t>
            </w:r>
            <w:r>
              <w:rPr>
                <w:rFonts w:hint="default" w:eastAsia="宋体"/>
                <w:sz w:val="24"/>
                <w:szCs w:val="24"/>
                <w:u w:val="none" w:color="auto"/>
                <w:vertAlign w:val="superscript"/>
                <w:lang w:val="en-US" w:eastAsia="zh-CN"/>
              </w:rPr>
              <w:t>3</w:t>
            </w:r>
          </w:p>
        </w:tc>
      </w:tr>
      <w:tr w14:paraId="7F35E2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219" w:type="dxa"/>
            <w:vMerge w:val="continue"/>
            <w:tcBorders>
              <w:tl2br w:val="nil"/>
              <w:tr2bl w:val="nil"/>
            </w:tcBorders>
            <w:noWrap w:val="0"/>
            <w:vAlign w:val="center"/>
          </w:tcPr>
          <w:p w14:paraId="392986B8">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5BE9B5DC">
            <w:pPr>
              <w:adjustRightInd w:val="0"/>
              <w:snapToGrid w:val="0"/>
              <w:jc w:val="center"/>
              <w:rPr>
                <w:sz w:val="24"/>
                <w:szCs w:val="24"/>
                <w:u w:val="none" w:color="auto"/>
              </w:rPr>
            </w:pPr>
          </w:p>
        </w:tc>
        <w:tc>
          <w:tcPr>
            <w:tcW w:w="1307" w:type="dxa"/>
            <w:tcBorders>
              <w:tl2br w:val="nil"/>
              <w:tr2bl w:val="nil"/>
            </w:tcBorders>
            <w:noWrap w:val="0"/>
            <w:vAlign w:val="center"/>
          </w:tcPr>
          <w:p w14:paraId="6C020F47">
            <w:pPr>
              <w:adjustRightInd w:val="0"/>
              <w:snapToGrid w:val="0"/>
              <w:jc w:val="center"/>
              <w:rPr>
                <w:rFonts w:hint="default" w:eastAsia="宋体"/>
                <w:bCs/>
                <w:sz w:val="24"/>
                <w:szCs w:val="24"/>
                <w:u w:val="none" w:color="auto"/>
                <w:lang w:val="en-US" w:eastAsia="zh-CN"/>
              </w:rPr>
            </w:pPr>
            <w:r>
              <w:rPr>
                <w:rFonts w:hint="eastAsia"/>
                <w:bCs/>
                <w:sz w:val="24"/>
                <w:szCs w:val="24"/>
                <w:u w:val="none" w:color="auto"/>
                <w:lang w:val="en-US" w:eastAsia="zh-CN"/>
              </w:rPr>
              <w:t>氨、硫化氢、臭气浓度</w:t>
            </w:r>
          </w:p>
        </w:tc>
        <w:tc>
          <w:tcPr>
            <w:tcW w:w="2701" w:type="dxa"/>
            <w:gridSpan w:val="2"/>
            <w:vMerge w:val="continue"/>
            <w:tcBorders>
              <w:tl2br w:val="nil"/>
              <w:tr2bl w:val="nil"/>
            </w:tcBorders>
            <w:shd w:val="clear" w:color="auto" w:fill="auto"/>
            <w:noWrap w:val="0"/>
            <w:vAlign w:val="center"/>
          </w:tcPr>
          <w:p w14:paraId="7314FE4D">
            <w:pPr>
              <w:pStyle w:val="96"/>
              <w:jc w:val="both"/>
              <w:rPr>
                <w:rFonts w:hint="eastAsia" w:ascii="Times New Roman" w:hAnsi="Times New Roman" w:cs="Times New Roman" w:eastAsiaTheme="minorEastAsia"/>
                <w:kern w:val="2"/>
                <w:sz w:val="24"/>
                <w:szCs w:val="24"/>
                <w:u w:val="none" w:color="auto"/>
                <w:lang w:val="en-US" w:eastAsia="zh-CN" w:bidi="ar-SA"/>
              </w:rPr>
            </w:pPr>
          </w:p>
        </w:tc>
        <w:tc>
          <w:tcPr>
            <w:tcW w:w="2692" w:type="dxa"/>
            <w:tcBorders>
              <w:tl2br w:val="nil"/>
              <w:tr2bl w:val="nil"/>
            </w:tcBorders>
            <w:noWrap w:val="0"/>
            <w:vAlign w:val="center"/>
          </w:tcPr>
          <w:p w14:paraId="40203801">
            <w:pPr>
              <w:adjustRightInd w:val="0"/>
              <w:snapToGrid w:val="0"/>
              <w:jc w:val="both"/>
              <w:rPr>
                <w:rFonts w:hint="default" w:eastAsia="宋体"/>
                <w:sz w:val="24"/>
                <w:szCs w:val="24"/>
                <w:u w:val="none" w:color="auto"/>
                <w:vertAlign w:val="superscript"/>
                <w:lang w:val="en-US" w:eastAsia="zh-CN"/>
              </w:rPr>
            </w:pPr>
            <w:r>
              <w:rPr>
                <w:rFonts w:hint="eastAsia"/>
                <w:sz w:val="24"/>
                <w:szCs w:val="24"/>
                <w:u w:val="none" w:color="auto"/>
              </w:rPr>
              <w:t>《恶臭污染物排放标准》（GB14554-93）</w:t>
            </w:r>
            <w:r>
              <w:rPr>
                <w:rFonts w:hint="eastAsia"/>
                <w:sz w:val="24"/>
                <w:szCs w:val="24"/>
                <w:u w:val="none" w:color="auto"/>
                <w:lang w:val="en-US" w:eastAsia="zh-CN"/>
              </w:rPr>
              <w:t>表1限值（厂界氨1.5mg/m</w:t>
            </w:r>
            <w:r>
              <w:rPr>
                <w:rFonts w:hint="eastAsia"/>
                <w:sz w:val="24"/>
                <w:szCs w:val="24"/>
                <w:u w:val="none" w:color="auto"/>
                <w:vertAlign w:val="superscript"/>
                <w:lang w:val="en-US" w:eastAsia="zh-CN"/>
              </w:rPr>
              <w:t>3</w:t>
            </w:r>
            <w:r>
              <w:rPr>
                <w:rFonts w:hint="eastAsia"/>
                <w:sz w:val="24"/>
                <w:szCs w:val="24"/>
                <w:u w:val="none" w:color="auto"/>
                <w:lang w:val="en-US" w:eastAsia="zh-CN"/>
              </w:rPr>
              <w:t>、硫化氢0.06mg/m</w:t>
            </w:r>
            <w:r>
              <w:rPr>
                <w:rFonts w:hint="eastAsia"/>
                <w:sz w:val="24"/>
                <w:szCs w:val="24"/>
                <w:u w:val="none" w:color="auto"/>
                <w:vertAlign w:val="superscript"/>
                <w:lang w:val="en-US" w:eastAsia="zh-CN"/>
              </w:rPr>
              <w:t>3</w:t>
            </w:r>
            <w:r>
              <w:rPr>
                <w:rFonts w:hint="eastAsia"/>
                <w:sz w:val="24"/>
                <w:szCs w:val="24"/>
                <w:u w:val="none" w:color="auto"/>
                <w:vertAlign w:val="baseline"/>
                <w:lang w:val="en-US" w:eastAsia="zh-CN"/>
              </w:rPr>
              <w:t>、臭气浓度20（无量纲）</w:t>
            </w:r>
            <w:r>
              <w:rPr>
                <w:rFonts w:hint="eastAsia"/>
                <w:sz w:val="24"/>
                <w:szCs w:val="24"/>
                <w:u w:val="none" w:color="auto"/>
                <w:lang w:val="en-US" w:eastAsia="zh-CN"/>
              </w:rPr>
              <w:t>）</w:t>
            </w:r>
          </w:p>
        </w:tc>
      </w:tr>
      <w:tr w14:paraId="249A6C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0" w:hRule="atLeast"/>
          <w:jc w:val="center"/>
        </w:trPr>
        <w:tc>
          <w:tcPr>
            <w:tcW w:w="1219" w:type="dxa"/>
            <w:vMerge w:val="restart"/>
            <w:tcBorders>
              <w:tl2br w:val="nil"/>
              <w:tr2bl w:val="nil"/>
            </w:tcBorders>
            <w:noWrap w:val="0"/>
            <w:vAlign w:val="center"/>
          </w:tcPr>
          <w:p w14:paraId="1E6738F1">
            <w:pPr>
              <w:adjustRightInd w:val="0"/>
              <w:snapToGrid w:val="0"/>
              <w:jc w:val="center"/>
              <w:rPr>
                <w:rFonts w:hint="eastAsia" w:eastAsia="宋体"/>
                <w:sz w:val="24"/>
                <w:szCs w:val="24"/>
                <w:u w:val="none" w:color="auto"/>
                <w:lang w:val="en-US" w:eastAsia="zh-CN"/>
              </w:rPr>
            </w:pPr>
            <w:r>
              <w:rPr>
                <w:rFonts w:hint="eastAsia"/>
                <w:sz w:val="24"/>
                <w:szCs w:val="24"/>
                <w:u w:val="none" w:color="auto"/>
                <w:lang w:val="en-US" w:eastAsia="zh-CN"/>
              </w:rPr>
              <w:t>废水</w:t>
            </w:r>
          </w:p>
        </w:tc>
        <w:tc>
          <w:tcPr>
            <w:tcW w:w="897" w:type="dxa"/>
            <w:tcBorders>
              <w:tl2br w:val="nil"/>
              <w:tr2bl w:val="nil"/>
            </w:tcBorders>
            <w:noWrap w:val="0"/>
            <w:vAlign w:val="center"/>
          </w:tcPr>
          <w:p w14:paraId="03D717AA">
            <w:pPr>
              <w:adjustRightInd w:val="0"/>
              <w:snapToGrid w:val="0"/>
              <w:jc w:val="center"/>
              <w:rPr>
                <w:rFonts w:hint="default" w:eastAsia="宋体"/>
                <w:sz w:val="24"/>
                <w:szCs w:val="24"/>
                <w:u w:val="none" w:color="auto"/>
                <w:lang w:val="en-US" w:eastAsia="zh-CN"/>
              </w:rPr>
            </w:pPr>
            <w:r>
              <w:rPr>
                <w:rFonts w:hint="eastAsia"/>
                <w:sz w:val="24"/>
                <w:szCs w:val="24"/>
                <w:u w:val="none" w:color="auto"/>
                <w:lang w:val="en-US" w:eastAsia="zh-CN"/>
              </w:rPr>
              <w:t>车间处理设施排放口（DW003）</w:t>
            </w:r>
          </w:p>
        </w:tc>
        <w:tc>
          <w:tcPr>
            <w:tcW w:w="1307" w:type="dxa"/>
            <w:tcBorders>
              <w:tl2br w:val="nil"/>
              <w:tr2bl w:val="nil"/>
            </w:tcBorders>
            <w:noWrap w:val="0"/>
            <w:vAlign w:val="center"/>
          </w:tcPr>
          <w:p w14:paraId="290F8FD0">
            <w:pPr>
              <w:adjustRightInd w:val="0"/>
              <w:snapToGrid w:val="0"/>
              <w:jc w:val="center"/>
              <w:rPr>
                <w:rFonts w:hint="default" w:eastAsiaTheme="minorEastAsia"/>
                <w:sz w:val="24"/>
                <w:szCs w:val="24"/>
                <w:u w:val="none" w:color="auto"/>
                <w:lang w:val="en-US" w:eastAsia="zh-CN"/>
              </w:rPr>
            </w:pPr>
            <w:r>
              <w:rPr>
                <w:rFonts w:eastAsiaTheme="minorEastAsia"/>
                <w:sz w:val="24"/>
                <w:u w:val="none" w:color="auto"/>
              </w:rPr>
              <w:t>COD、SS、</w:t>
            </w:r>
            <w:r>
              <w:rPr>
                <w:rFonts w:hint="eastAsia" w:eastAsiaTheme="minorEastAsia"/>
                <w:sz w:val="24"/>
                <w:u w:val="none" w:color="auto"/>
                <w:lang w:val="en-US" w:eastAsia="zh-CN"/>
              </w:rPr>
              <w:t>总镍、总钴、总锰</w:t>
            </w:r>
          </w:p>
        </w:tc>
        <w:tc>
          <w:tcPr>
            <w:tcW w:w="2701" w:type="dxa"/>
            <w:gridSpan w:val="2"/>
            <w:tcBorders>
              <w:tl2br w:val="nil"/>
              <w:tr2bl w:val="nil"/>
            </w:tcBorders>
            <w:noWrap w:val="0"/>
            <w:vAlign w:val="center"/>
          </w:tcPr>
          <w:p w14:paraId="09B38B4B">
            <w:pPr>
              <w:adjustRightInd w:val="0"/>
              <w:snapToGrid w:val="0"/>
              <w:jc w:val="center"/>
              <w:rPr>
                <w:rFonts w:hint="default" w:eastAsia="宋体"/>
                <w:sz w:val="24"/>
                <w:szCs w:val="24"/>
                <w:u w:val="none" w:color="auto"/>
                <w:lang w:val="en-US" w:eastAsia="zh-CN"/>
              </w:rPr>
            </w:pPr>
            <w:r>
              <w:rPr>
                <w:rFonts w:hint="eastAsia"/>
                <w:sz w:val="24"/>
                <w:szCs w:val="24"/>
                <w:u w:val="none" w:color="auto"/>
                <w:lang w:val="en-US" w:eastAsia="zh-CN"/>
              </w:rPr>
              <w:t>设备、地面清洗废水经化学混凝沉淀池预处理后经车间处理设施排口（DW003）排入厂区污水处理站进一步处理</w:t>
            </w:r>
          </w:p>
        </w:tc>
        <w:tc>
          <w:tcPr>
            <w:tcW w:w="2692" w:type="dxa"/>
            <w:tcBorders>
              <w:tl2br w:val="nil"/>
              <w:tr2bl w:val="nil"/>
            </w:tcBorders>
            <w:noWrap w:val="0"/>
            <w:vAlign w:val="center"/>
          </w:tcPr>
          <w:p w14:paraId="7D71BF8A">
            <w:pPr>
              <w:adjustRightInd w:val="0"/>
              <w:snapToGrid w:val="0"/>
              <w:jc w:val="center"/>
              <w:rPr>
                <w:rFonts w:hint="default"/>
                <w:sz w:val="24"/>
                <w:szCs w:val="24"/>
                <w:u w:val="none" w:color="auto"/>
                <w:lang w:val="en-US"/>
              </w:rPr>
            </w:pPr>
            <w:r>
              <w:rPr>
                <w:rFonts w:hint="eastAsia" w:eastAsia="宋体"/>
                <w:sz w:val="24"/>
                <w:szCs w:val="24"/>
                <w:u w:val="none" w:color="auto"/>
                <w:vertAlign w:val="baseline"/>
                <w:lang w:val="en-US" w:eastAsia="zh-CN"/>
              </w:rPr>
              <w:t>《电池工业污染物排放标准》（GB30484-2013）表2</w:t>
            </w:r>
            <w:r>
              <w:rPr>
                <w:rFonts w:hint="eastAsia"/>
                <w:sz w:val="24"/>
                <w:szCs w:val="24"/>
                <w:u w:val="none" w:color="auto"/>
                <w:vertAlign w:val="baseline"/>
                <w:lang w:val="en-US" w:eastAsia="zh-CN"/>
              </w:rPr>
              <w:t>车间或车间处理设施排放口限值（总镍0.5mg/L、总钴0.1mg/L）</w:t>
            </w:r>
          </w:p>
        </w:tc>
      </w:tr>
      <w:tr w14:paraId="63118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0" w:hRule="atLeast"/>
          <w:jc w:val="center"/>
        </w:trPr>
        <w:tc>
          <w:tcPr>
            <w:tcW w:w="1219" w:type="dxa"/>
            <w:vMerge w:val="continue"/>
            <w:tcBorders>
              <w:tl2br w:val="nil"/>
              <w:tr2bl w:val="nil"/>
            </w:tcBorders>
            <w:noWrap w:val="0"/>
            <w:vAlign w:val="center"/>
          </w:tcPr>
          <w:p w14:paraId="41295315">
            <w:pPr>
              <w:adjustRightInd w:val="0"/>
              <w:snapToGrid w:val="0"/>
              <w:jc w:val="center"/>
            </w:pPr>
          </w:p>
        </w:tc>
        <w:tc>
          <w:tcPr>
            <w:tcW w:w="897" w:type="dxa"/>
            <w:tcBorders>
              <w:tl2br w:val="nil"/>
              <w:tr2bl w:val="nil"/>
            </w:tcBorders>
            <w:noWrap w:val="0"/>
            <w:vAlign w:val="center"/>
          </w:tcPr>
          <w:p w14:paraId="7B0CD5FC">
            <w:pPr>
              <w:adjustRightInd w:val="0"/>
              <w:snapToGrid w:val="0"/>
              <w:jc w:val="center"/>
              <w:rPr>
                <w:rFonts w:hint="default" w:eastAsia="宋体"/>
                <w:lang w:val="en-US" w:eastAsia="zh-CN"/>
              </w:rPr>
            </w:pPr>
            <w:r>
              <w:rPr>
                <w:rFonts w:hint="eastAsia" w:ascii="Times New Roman" w:hAnsi="Times New Roman" w:cs="Times New Roman"/>
                <w:sz w:val="24"/>
                <w:szCs w:val="24"/>
                <w:u w:val="none" w:color="auto"/>
                <w:lang w:val="en-US" w:eastAsia="zh-CN"/>
              </w:rPr>
              <w:t>生产废水排放口（DW002）</w:t>
            </w:r>
          </w:p>
        </w:tc>
        <w:tc>
          <w:tcPr>
            <w:tcW w:w="1307" w:type="dxa"/>
            <w:tcBorders>
              <w:tl2br w:val="nil"/>
              <w:tr2bl w:val="nil"/>
            </w:tcBorders>
            <w:noWrap w:val="0"/>
            <w:vAlign w:val="center"/>
          </w:tcPr>
          <w:p w14:paraId="3D340E46">
            <w:pPr>
              <w:adjustRightInd w:val="0"/>
              <w:snapToGrid w:val="0"/>
              <w:jc w:val="center"/>
            </w:pPr>
            <w:r>
              <w:rPr>
                <w:rFonts w:eastAsiaTheme="minorEastAsia"/>
                <w:sz w:val="24"/>
                <w:u w:val="none" w:color="auto"/>
              </w:rPr>
              <w:t>COD、SS、NH</w:t>
            </w:r>
            <w:r>
              <w:rPr>
                <w:rFonts w:eastAsiaTheme="minorEastAsia"/>
                <w:sz w:val="24"/>
                <w:u w:val="none" w:color="auto"/>
                <w:vertAlign w:val="subscript"/>
              </w:rPr>
              <w:t>3</w:t>
            </w:r>
            <w:r>
              <w:rPr>
                <w:rFonts w:eastAsiaTheme="minorEastAsia"/>
                <w:sz w:val="24"/>
                <w:u w:val="none" w:color="auto"/>
              </w:rPr>
              <w:t>-N、TN、TP</w:t>
            </w:r>
            <w:r>
              <w:rPr>
                <w:rFonts w:hint="eastAsia" w:eastAsiaTheme="minorEastAsia"/>
                <w:sz w:val="24"/>
                <w:u w:val="none" w:color="auto"/>
                <w:lang w:eastAsia="zh-CN"/>
              </w:rPr>
              <w:t>、</w:t>
            </w:r>
            <w:r>
              <w:rPr>
                <w:rFonts w:hint="eastAsia" w:eastAsiaTheme="minorEastAsia"/>
                <w:sz w:val="24"/>
                <w:u w:val="none" w:color="auto"/>
                <w:lang w:val="en-US" w:eastAsia="zh-CN"/>
              </w:rPr>
              <w:t>总锰、总钴、总锰</w:t>
            </w:r>
          </w:p>
        </w:tc>
        <w:tc>
          <w:tcPr>
            <w:tcW w:w="2701" w:type="dxa"/>
            <w:gridSpan w:val="2"/>
            <w:tcBorders>
              <w:tl2br w:val="nil"/>
              <w:tr2bl w:val="nil"/>
            </w:tcBorders>
            <w:noWrap w:val="0"/>
            <w:vAlign w:val="center"/>
          </w:tcPr>
          <w:p w14:paraId="2DE6CB79">
            <w:pPr>
              <w:adjustRightInd w:val="0"/>
              <w:snapToGrid w:val="0"/>
              <w:jc w:val="center"/>
              <w:rPr>
                <w:rFonts w:hint="eastAsia"/>
                <w:sz w:val="24"/>
                <w:szCs w:val="24"/>
                <w:u w:val="none" w:color="auto"/>
                <w:lang w:val="en-US" w:eastAsia="zh-CN"/>
              </w:rPr>
            </w:pPr>
            <w:r>
              <w:rPr>
                <w:rFonts w:hint="eastAsia"/>
                <w:sz w:val="24"/>
                <w:szCs w:val="24"/>
                <w:u w:val="none" w:color="auto"/>
                <w:lang w:val="en-US" w:eastAsia="zh-CN"/>
              </w:rPr>
              <w:t>设备、地面清洗废水经化学混凝沉淀池预处理与纯水制备浓水、反冲洗废水、电池清洗废水一并排入厂区污水处理站</w:t>
            </w:r>
            <w:r>
              <w:rPr>
                <w:rFonts w:hint="default" w:eastAsia="宋体"/>
                <w:bCs/>
                <w:sz w:val="24"/>
                <w:szCs w:val="24"/>
                <w:u w:val="none" w:color="auto"/>
                <w:lang w:val="en-US" w:eastAsia="zh-CN"/>
              </w:rPr>
              <w:t>（处理能力：800t/d；处理工艺：“混凝沉淀+水解酸化（厌氧）+AO工艺”）后，经</w:t>
            </w:r>
            <w:r>
              <w:rPr>
                <w:rFonts w:hint="eastAsia"/>
                <w:bCs/>
                <w:sz w:val="24"/>
                <w:szCs w:val="24"/>
                <w:u w:val="none" w:color="auto"/>
                <w:lang w:val="en-US" w:eastAsia="zh-CN"/>
              </w:rPr>
              <w:t>生产废水排放口</w:t>
            </w:r>
            <w:r>
              <w:rPr>
                <w:rFonts w:hint="default" w:eastAsia="宋体"/>
                <w:bCs/>
                <w:sz w:val="24"/>
                <w:szCs w:val="24"/>
                <w:u w:val="none" w:color="auto"/>
                <w:lang w:val="en-US" w:eastAsia="zh-CN"/>
              </w:rPr>
              <w:t>排入新乡市贾屯污水处理厂进一步处理</w:t>
            </w:r>
            <w:r>
              <w:rPr>
                <w:rFonts w:hint="eastAsia"/>
                <w:bCs/>
                <w:sz w:val="24"/>
                <w:szCs w:val="24"/>
                <w:u w:val="none" w:color="auto"/>
                <w:lang w:val="en-US" w:eastAsia="zh-CN"/>
              </w:rPr>
              <w:t>。</w:t>
            </w:r>
          </w:p>
        </w:tc>
        <w:tc>
          <w:tcPr>
            <w:tcW w:w="2692" w:type="dxa"/>
            <w:tcBorders>
              <w:tl2br w:val="nil"/>
              <w:tr2bl w:val="nil"/>
            </w:tcBorders>
            <w:noWrap w:val="0"/>
            <w:vAlign w:val="center"/>
          </w:tcPr>
          <w:p w14:paraId="131317A6">
            <w:pPr>
              <w:adjustRightInd w:val="0"/>
              <w:snapToGrid w:val="0"/>
              <w:jc w:val="center"/>
              <w:rPr>
                <w:rFonts w:hint="eastAsia"/>
                <w:sz w:val="24"/>
                <w:szCs w:val="24"/>
                <w:u w:val="none" w:color="auto"/>
                <w:lang w:val="en-US" w:eastAsia="zh-CN"/>
              </w:rPr>
            </w:pPr>
            <w:r>
              <w:rPr>
                <w:rFonts w:hint="eastAsia" w:eastAsia="宋体"/>
                <w:sz w:val="24"/>
                <w:szCs w:val="24"/>
                <w:u w:val="none" w:color="auto"/>
                <w:vertAlign w:val="baseline"/>
                <w:lang w:val="en-US" w:eastAsia="zh-CN"/>
              </w:rPr>
              <w:t>《电池工业污染物排放标准》（GB30484-2013）表2（锂离子电池，间接排放）企业废水总排口的排放限值要求</w:t>
            </w:r>
            <w:r>
              <w:rPr>
                <w:rFonts w:hint="eastAsia"/>
                <w:sz w:val="24"/>
                <w:szCs w:val="24"/>
                <w:u w:val="none" w:color="auto"/>
                <w:vertAlign w:val="baseline"/>
                <w:lang w:val="en-US" w:eastAsia="zh-CN"/>
              </w:rPr>
              <w:t>、新乡市贾屯污水</w:t>
            </w:r>
            <w:r>
              <w:rPr>
                <w:rFonts w:hint="eastAsia" w:eastAsia="宋体"/>
                <w:sz w:val="24"/>
                <w:szCs w:val="24"/>
                <w:u w:val="none" w:color="auto"/>
                <w:vertAlign w:val="baseline"/>
                <w:lang w:val="en-US" w:eastAsia="zh-CN"/>
              </w:rPr>
              <w:t>处理厂收水标准</w:t>
            </w:r>
            <w:r>
              <w:rPr>
                <w:rFonts w:hint="eastAsia"/>
                <w:sz w:val="24"/>
                <w:szCs w:val="24"/>
                <w:u w:val="none" w:color="auto"/>
                <w:vertAlign w:val="baseline"/>
                <w:lang w:val="en-US" w:eastAsia="zh-CN"/>
              </w:rPr>
              <w:t>、</w:t>
            </w:r>
            <w:r>
              <w:rPr>
                <w:rFonts w:hint="eastAsia" w:eastAsia="宋体"/>
                <w:sz w:val="24"/>
                <w:szCs w:val="24"/>
                <w:u w:val="none" w:color="auto"/>
                <w:vertAlign w:val="baseline"/>
                <w:lang w:val="en-US" w:eastAsia="zh-CN"/>
              </w:rPr>
              <w:t>总锰参照《电池工业污染物排放标准》（GB30484-2013）表2中污染物锌锰/锌银/锌空气电池直接排放标准</w:t>
            </w:r>
          </w:p>
        </w:tc>
      </w:tr>
      <w:tr w14:paraId="3DD01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219" w:type="dxa"/>
            <w:vMerge w:val="continue"/>
            <w:tcBorders>
              <w:tl2br w:val="nil"/>
              <w:tr2bl w:val="nil"/>
            </w:tcBorders>
            <w:noWrap w:val="0"/>
            <w:vAlign w:val="center"/>
          </w:tcPr>
          <w:p w14:paraId="32A23FD7">
            <w:pPr>
              <w:adjustRightInd w:val="0"/>
              <w:snapToGrid w:val="0"/>
              <w:jc w:val="center"/>
              <w:rPr>
                <w:rFonts w:hint="eastAsia"/>
                <w:sz w:val="24"/>
                <w:szCs w:val="24"/>
                <w:u w:val="none" w:color="auto"/>
                <w:lang w:val="en-US" w:eastAsia="zh-CN"/>
              </w:rPr>
            </w:pPr>
          </w:p>
        </w:tc>
        <w:tc>
          <w:tcPr>
            <w:tcW w:w="897" w:type="dxa"/>
            <w:tcBorders>
              <w:tl2br w:val="nil"/>
              <w:tr2bl w:val="nil"/>
            </w:tcBorders>
            <w:noWrap w:val="0"/>
            <w:vAlign w:val="center"/>
          </w:tcPr>
          <w:p w14:paraId="3BB1406A">
            <w:pPr>
              <w:adjustRightInd w:val="0"/>
              <w:snapToGrid w:val="0"/>
              <w:jc w:val="center"/>
              <w:rPr>
                <w:rFonts w:hint="default"/>
                <w:sz w:val="24"/>
                <w:szCs w:val="24"/>
                <w:u w:val="none" w:color="auto"/>
                <w:lang w:val="en-US" w:eastAsia="zh-CN"/>
              </w:rPr>
            </w:pPr>
            <w:r>
              <w:rPr>
                <w:rFonts w:hint="eastAsia"/>
                <w:sz w:val="24"/>
                <w:szCs w:val="24"/>
                <w:u w:val="none" w:color="auto"/>
                <w:lang w:val="en-US" w:eastAsia="zh-CN"/>
              </w:rPr>
              <w:t>生活废水排放口（DW001）</w:t>
            </w:r>
          </w:p>
        </w:tc>
        <w:tc>
          <w:tcPr>
            <w:tcW w:w="1307" w:type="dxa"/>
            <w:tcBorders>
              <w:tl2br w:val="nil"/>
              <w:tr2bl w:val="nil"/>
            </w:tcBorders>
            <w:noWrap w:val="0"/>
            <w:vAlign w:val="center"/>
          </w:tcPr>
          <w:p w14:paraId="0C43DEA0">
            <w:pPr>
              <w:adjustRightInd w:val="0"/>
              <w:snapToGrid w:val="0"/>
              <w:jc w:val="center"/>
              <w:rPr>
                <w:rFonts w:eastAsiaTheme="minorEastAsia"/>
                <w:sz w:val="24"/>
                <w:u w:val="none" w:color="auto"/>
              </w:rPr>
            </w:pPr>
            <w:r>
              <w:rPr>
                <w:rFonts w:eastAsiaTheme="minorEastAsia"/>
                <w:sz w:val="24"/>
                <w:u w:val="none" w:color="auto"/>
              </w:rPr>
              <w:t>COD、SS、NH</w:t>
            </w:r>
            <w:r>
              <w:rPr>
                <w:rFonts w:eastAsiaTheme="minorEastAsia"/>
                <w:sz w:val="24"/>
                <w:u w:val="none" w:color="auto"/>
                <w:vertAlign w:val="subscript"/>
              </w:rPr>
              <w:t>3</w:t>
            </w:r>
            <w:r>
              <w:rPr>
                <w:rFonts w:eastAsiaTheme="minorEastAsia"/>
                <w:sz w:val="24"/>
                <w:u w:val="none" w:color="auto"/>
              </w:rPr>
              <w:t>-N、TN、TP</w:t>
            </w:r>
          </w:p>
        </w:tc>
        <w:tc>
          <w:tcPr>
            <w:tcW w:w="2701" w:type="dxa"/>
            <w:gridSpan w:val="2"/>
            <w:tcBorders>
              <w:tl2br w:val="nil"/>
              <w:tr2bl w:val="nil"/>
            </w:tcBorders>
            <w:noWrap w:val="0"/>
            <w:vAlign w:val="center"/>
          </w:tcPr>
          <w:p w14:paraId="2EDDE6E5">
            <w:pPr>
              <w:adjustRightInd w:val="0"/>
              <w:snapToGrid w:val="0"/>
              <w:jc w:val="center"/>
              <w:rPr>
                <w:rFonts w:hint="eastAsia"/>
                <w:sz w:val="24"/>
                <w:szCs w:val="24"/>
                <w:u w:val="none" w:color="auto"/>
                <w:lang w:val="en-US" w:eastAsia="zh-CN"/>
              </w:rPr>
            </w:pPr>
            <w:r>
              <w:rPr>
                <w:rFonts w:hint="eastAsia"/>
                <w:sz w:val="24"/>
                <w:szCs w:val="24"/>
                <w:u w:val="none" w:color="auto"/>
                <w:lang w:val="en-US" w:eastAsia="zh-CN"/>
              </w:rPr>
              <w:t>生活污水经化粪池处理后通过生活污水排放口排入新乡市贾屯污水处理厂进一步处理。</w:t>
            </w:r>
          </w:p>
        </w:tc>
        <w:tc>
          <w:tcPr>
            <w:tcW w:w="2692" w:type="dxa"/>
            <w:tcBorders>
              <w:tl2br w:val="nil"/>
              <w:tr2bl w:val="nil"/>
            </w:tcBorders>
            <w:noWrap w:val="0"/>
            <w:vAlign w:val="center"/>
          </w:tcPr>
          <w:p w14:paraId="1583DF2D">
            <w:pPr>
              <w:adjustRightInd w:val="0"/>
              <w:snapToGrid w:val="0"/>
              <w:jc w:val="both"/>
              <w:rPr>
                <w:rFonts w:hint="eastAsia" w:eastAsia="宋体"/>
                <w:sz w:val="24"/>
                <w:szCs w:val="24"/>
                <w:u w:val="none" w:color="auto"/>
                <w:vertAlign w:val="baseline"/>
                <w:lang w:val="en-US" w:eastAsia="zh-CN"/>
              </w:rPr>
            </w:pPr>
            <w:r>
              <w:rPr>
                <w:rFonts w:hint="eastAsia"/>
                <w:sz w:val="24"/>
                <w:szCs w:val="24"/>
                <w:u w:val="none" w:color="auto"/>
                <w:vertAlign w:val="baseline"/>
                <w:lang w:val="en-US" w:eastAsia="zh-CN"/>
              </w:rPr>
              <w:t>《污水综合排放标准》（GB 8978-1996）表4三级标准、新乡市贾屯污水</w:t>
            </w:r>
            <w:r>
              <w:rPr>
                <w:rFonts w:hint="eastAsia" w:eastAsia="宋体"/>
                <w:sz w:val="24"/>
                <w:szCs w:val="24"/>
                <w:u w:val="none" w:color="auto"/>
                <w:vertAlign w:val="baseline"/>
                <w:lang w:val="en-US" w:eastAsia="zh-CN"/>
              </w:rPr>
              <w:t>处理厂收水标准</w:t>
            </w:r>
          </w:p>
        </w:tc>
      </w:tr>
      <w:tr w14:paraId="19D857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219" w:type="dxa"/>
            <w:tcBorders>
              <w:tl2br w:val="nil"/>
              <w:tr2bl w:val="nil"/>
            </w:tcBorders>
            <w:noWrap w:val="0"/>
            <w:vAlign w:val="center"/>
          </w:tcPr>
          <w:p w14:paraId="7BB32F19">
            <w:pPr>
              <w:adjustRightInd w:val="0"/>
              <w:snapToGrid w:val="0"/>
              <w:jc w:val="center"/>
              <w:rPr>
                <w:sz w:val="24"/>
                <w:szCs w:val="24"/>
                <w:u w:val="none" w:color="auto"/>
              </w:rPr>
            </w:pPr>
            <w:r>
              <w:rPr>
                <w:sz w:val="24"/>
                <w:szCs w:val="24"/>
                <w:u w:val="none" w:color="auto"/>
              </w:rPr>
              <w:t>地表水环境</w:t>
            </w:r>
          </w:p>
        </w:tc>
        <w:tc>
          <w:tcPr>
            <w:tcW w:w="897" w:type="dxa"/>
            <w:tcBorders>
              <w:tl2br w:val="nil"/>
              <w:tr2bl w:val="nil"/>
            </w:tcBorders>
            <w:noWrap w:val="0"/>
            <w:vAlign w:val="center"/>
          </w:tcPr>
          <w:p w14:paraId="2B900788">
            <w:pPr>
              <w:adjustRightInd w:val="0"/>
              <w:snapToGrid w:val="0"/>
              <w:jc w:val="center"/>
              <w:rPr>
                <w:rFonts w:hint="eastAsia"/>
                <w:sz w:val="24"/>
                <w:szCs w:val="24"/>
                <w:u w:val="none" w:color="auto"/>
              </w:rPr>
            </w:pPr>
            <w:r>
              <w:rPr>
                <w:rFonts w:hint="eastAsia"/>
                <w:sz w:val="24"/>
                <w:szCs w:val="24"/>
                <w:u w:val="none" w:color="auto"/>
              </w:rPr>
              <w:t>/</w:t>
            </w:r>
          </w:p>
        </w:tc>
        <w:tc>
          <w:tcPr>
            <w:tcW w:w="1307" w:type="dxa"/>
            <w:tcBorders>
              <w:tl2br w:val="nil"/>
              <w:tr2bl w:val="nil"/>
            </w:tcBorders>
            <w:noWrap w:val="0"/>
            <w:vAlign w:val="center"/>
          </w:tcPr>
          <w:p w14:paraId="718EC7DB">
            <w:pPr>
              <w:adjustRightInd w:val="0"/>
              <w:snapToGrid w:val="0"/>
              <w:jc w:val="center"/>
              <w:rPr>
                <w:rFonts w:hint="eastAsia"/>
                <w:sz w:val="24"/>
                <w:szCs w:val="24"/>
                <w:u w:val="none" w:color="auto"/>
              </w:rPr>
            </w:pPr>
            <w:r>
              <w:rPr>
                <w:rFonts w:hint="eastAsia"/>
                <w:sz w:val="24"/>
                <w:szCs w:val="24"/>
                <w:u w:val="none" w:color="auto"/>
              </w:rPr>
              <w:t>/</w:t>
            </w:r>
          </w:p>
        </w:tc>
        <w:tc>
          <w:tcPr>
            <w:tcW w:w="2701" w:type="dxa"/>
            <w:gridSpan w:val="2"/>
            <w:tcBorders>
              <w:tl2br w:val="nil"/>
              <w:tr2bl w:val="nil"/>
            </w:tcBorders>
            <w:noWrap w:val="0"/>
            <w:vAlign w:val="center"/>
          </w:tcPr>
          <w:p w14:paraId="5B633CAF">
            <w:pPr>
              <w:adjustRightInd w:val="0"/>
              <w:snapToGrid w:val="0"/>
              <w:jc w:val="center"/>
              <w:rPr>
                <w:rFonts w:hint="eastAsia"/>
                <w:sz w:val="24"/>
                <w:szCs w:val="24"/>
                <w:u w:val="none" w:color="auto"/>
              </w:rPr>
            </w:pPr>
            <w:r>
              <w:rPr>
                <w:rFonts w:hint="eastAsia"/>
                <w:sz w:val="24"/>
                <w:szCs w:val="24"/>
                <w:u w:val="none" w:color="auto"/>
              </w:rPr>
              <w:t>/</w:t>
            </w:r>
          </w:p>
        </w:tc>
        <w:tc>
          <w:tcPr>
            <w:tcW w:w="2692" w:type="dxa"/>
            <w:tcBorders>
              <w:tl2br w:val="nil"/>
              <w:tr2bl w:val="nil"/>
            </w:tcBorders>
            <w:noWrap w:val="0"/>
            <w:vAlign w:val="center"/>
          </w:tcPr>
          <w:p w14:paraId="7B431D73">
            <w:pPr>
              <w:adjustRightInd w:val="0"/>
              <w:snapToGrid w:val="0"/>
              <w:jc w:val="center"/>
              <w:rPr>
                <w:rFonts w:hint="eastAsia"/>
                <w:sz w:val="24"/>
                <w:szCs w:val="24"/>
                <w:u w:val="none" w:color="auto"/>
              </w:rPr>
            </w:pPr>
            <w:r>
              <w:rPr>
                <w:rFonts w:hint="eastAsia"/>
                <w:sz w:val="24"/>
                <w:szCs w:val="24"/>
                <w:u w:val="none" w:color="auto"/>
              </w:rPr>
              <w:t>/</w:t>
            </w:r>
          </w:p>
        </w:tc>
      </w:tr>
      <w:tr w14:paraId="73D4FB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9" w:type="dxa"/>
            <w:tcBorders>
              <w:tl2br w:val="nil"/>
              <w:tr2bl w:val="nil"/>
            </w:tcBorders>
            <w:noWrap w:val="0"/>
            <w:vAlign w:val="center"/>
          </w:tcPr>
          <w:p w14:paraId="6D6F9DA9">
            <w:pPr>
              <w:adjustRightInd w:val="0"/>
              <w:snapToGrid w:val="0"/>
              <w:jc w:val="center"/>
              <w:rPr>
                <w:sz w:val="24"/>
                <w:szCs w:val="24"/>
                <w:u w:val="none" w:color="auto"/>
              </w:rPr>
            </w:pPr>
            <w:r>
              <w:rPr>
                <w:sz w:val="24"/>
                <w:szCs w:val="24"/>
                <w:u w:val="none" w:color="auto"/>
              </w:rPr>
              <w:t>声环境</w:t>
            </w:r>
          </w:p>
        </w:tc>
        <w:tc>
          <w:tcPr>
            <w:tcW w:w="897" w:type="dxa"/>
            <w:tcBorders>
              <w:tl2br w:val="nil"/>
              <w:tr2bl w:val="nil"/>
            </w:tcBorders>
            <w:noWrap w:val="0"/>
            <w:vAlign w:val="center"/>
          </w:tcPr>
          <w:p w14:paraId="55D27128">
            <w:pPr>
              <w:adjustRightInd w:val="0"/>
              <w:snapToGrid w:val="0"/>
              <w:jc w:val="center"/>
              <w:rPr>
                <w:sz w:val="24"/>
                <w:szCs w:val="24"/>
                <w:u w:val="none" w:color="auto"/>
              </w:rPr>
            </w:pPr>
            <w:r>
              <w:rPr>
                <w:sz w:val="24"/>
                <w:szCs w:val="24"/>
                <w:u w:val="none" w:color="auto"/>
              </w:rPr>
              <w:t>生产设施</w:t>
            </w:r>
          </w:p>
        </w:tc>
        <w:tc>
          <w:tcPr>
            <w:tcW w:w="1307" w:type="dxa"/>
            <w:tcBorders>
              <w:tl2br w:val="nil"/>
              <w:tr2bl w:val="nil"/>
            </w:tcBorders>
            <w:noWrap w:val="0"/>
            <w:vAlign w:val="center"/>
          </w:tcPr>
          <w:p w14:paraId="71089034">
            <w:pPr>
              <w:adjustRightInd w:val="0"/>
              <w:snapToGrid w:val="0"/>
              <w:jc w:val="center"/>
              <w:rPr>
                <w:rFonts w:hint="eastAsia" w:eastAsia="宋体"/>
                <w:sz w:val="24"/>
                <w:szCs w:val="24"/>
                <w:u w:val="none" w:color="auto"/>
                <w:lang w:val="en-US" w:eastAsia="zh-CN"/>
              </w:rPr>
            </w:pPr>
            <w:r>
              <w:rPr>
                <w:rFonts w:hint="eastAsia"/>
                <w:sz w:val="24"/>
                <w:szCs w:val="24"/>
                <w:u w:val="none" w:color="auto"/>
              </w:rPr>
              <w:t>涂布机、辊压机、分条机等设备</w:t>
            </w:r>
            <w:r>
              <w:rPr>
                <w:rFonts w:hint="eastAsia"/>
                <w:sz w:val="24"/>
                <w:szCs w:val="24"/>
                <w:u w:val="none" w:color="auto"/>
                <w:lang w:val="en-US" w:eastAsia="zh-CN"/>
              </w:rPr>
              <w:t>噪声</w:t>
            </w:r>
          </w:p>
        </w:tc>
        <w:tc>
          <w:tcPr>
            <w:tcW w:w="2701" w:type="dxa"/>
            <w:gridSpan w:val="2"/>
            <w:tcBorders>
              <w:tl2br w:val="nil"/>
              <w:tr2bl w:val="nil"/>
            </w:tcBorders>
            <w:noWrap w:val="0"/>
            <w:vAlign w:val="center"/>
          </w:tcPr>
          <w:p w14:paraId="5EBC7435">
            <w:pPr>
              <w:adjustRightInd w:val="0"/>
              <w:snapToGrid w:val="0"/>
              <w:jc w:val="center"/>
              <w:rPr>
                <w:rFonts w:hint="eastAsia" w:eastAsia="宋体"/>
                <w:sz w:val="24"/>
                <w:szCs w:val="24"/>
                <w:u w:val="none" w:color="auto"/>
                <w:lang w:val="en-US" w:eastAsia="zh-CN"/>
              </w:rPr>
            </w:pPr>
            <w:r>
              <w:rPr>
                <w:rFonts w:hint="eastAsia"/>
                <w:sz w:val="24"/>
                <w:szCs w:val="24"/>
                <w:u w:val="none" w:color="auto"/>
              </w:rPr>
              <w:t>基础减振、厂房隔音、距离衰减</w:t>
            </w:r>
            <w:r>
              <w:rPr>
                <w:rFonts w:hint="eastAsia"/>
                <w:sz w:val="24"/>
                <w:szCs w:val="24"/>
                <w:u w:val="none" w:color="auto"/>
                <w:lang w:val="en-US" w:eastAsia="zh-CN"/>
              </w:rPr>
              <w:t>等措施</w:t>
            </w:r>
          </w:p>
        </w:tc>
        <w:tc>
          <w:tcPr>
            <w:tcW w:w="2692" w:type="dxa"/>
            <w:tcBorders>
              <w:tl2br w:val="nil"/>
              <w:tr2bl w:val="nil"/>
            </w:tcBorders>
            <w:noWrap w:val="0"/>
            <w:vAlign w:val="center"/>
          </w:tcPr>
          <w:p w14:paraId="2896CC5C">
            <w:pPr>
              <w:widowControl/>
              <w:adjustRightInd w:val="0"/>
              <w:snapToGrid w:val="0"/>
              <w:jc w:val="center"/>
              <w:rPr>
                <w:sz w:val="24"/>
                <w:szCs w:val="24"/>
                <w:u w:val="none" w:color="auto"/>
              </w:rPr>
            </w:pPr>
            <w:r>
              <w:rPr>
                <w:sz w:val="24"/>
                <w:szCs w:val="24"/>
                <w:u w:val="none" w:color="auto"/>
              </w:rPr>
              <w:t>《工业企业厂界环境噪声排放标准》（GB12348-2008）</w:t>
            </w:r>
            <w:r>
              <w:rPr>
                <w:rFonts w:hint="eastAsia"/>
                <w:sz w:val="24"/>
                <w:szCs w:val="24"/>
                <w:u w:val="none" w:color="auto"/>
                <w:lang w:val="en-US" w:eastAsia="zh-CN"/>
              </w:rPr>
              <w:t>3</w:t>
            </w:r>
            <w:r>
              <w:rPr>
                <w:rFonts w:hint="eastAsia"/>
                <w:sz w:val="24"/>
                <w:szCs w:val="24"/>
                <w:u w:val="none" w:color="auto"/>
              </w:rPr>
              <w:t>类</w:t>
            </w:r>
            <w:r>
              <w:rPr>
                <w:sz w:val="24"/>
                <w:szCs w:val="24"/>
                <w:u w:val="none" w:color="auto"/>
              </w:rPr>
              <w:t>标准</w:t>
            </w:r>
          </w:p>
        </w:tc>
      </w:tr>
      <w:tr w14:paraId="22A343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19" w:type="dxa"/>
            <w:tcBorders>
              <w:tl2br w:val="nil"/>
              <w:tr2bl w:val="nil"/>
            </w:tcBorders>
            <w:noWrap w:val="0"/>
            <w:vAlign w:val="center"/>
          </w:tcPr>
          <w:p w14:paraId="2CCE2795">
            <w:pPr>
              <w:adjustRightInd w:val="0"/>
              <w:snapToGrid w:val="0"/>
              <w:jc w:val="center"/>
              <w:rPr>
                <w:sz w:val="24"/>
                <w:szCs w:val="24"/>
                <w:u w:val="none" w:color="auto"/>
              </w:rPr>
            </w:pPr>
            <w:r>
              <w:rPr>
                <w:sz w:val="24"/>
                <w:szCs w:val="24"/>
                <w:u w:val="none" w:color="auto"/>
              </w:rPr>
              <w:t>电磁辐射</w:t>
            </w:r>
          </w:p>
        </w:tc>
        <w:tc>
          <w:tcPr>
            <w:tcW w:w="897" w:type="dxa"/>
            <w:tcBorders>
              <w:tl2br w:val="nil"/>
              <w:tr2bl w:val="nil"/>
            </w:tcBorders>
            <w:noWrap w:val="0"/>
            <w:vAlign w:val="center"/>
          </w:tcPr>
          <w:p w14:paraId="7EA5D8C5">
            <w:pPr>
              <w:adjustRightInd w:val="0"/>
              <w:snapToGrid w:val="0"/>
              <w:jc w:val="center"/>
              <w:rPr>
                <w:sz w:val="24"/>
                <w:szCs w:val="24"/>
                <w:u w:val="none" w:color="auto"/>
              </w:rPr>
            </w:pPr>
            <w:r>
              <w:rPr>
                <w:sz w:val="24"/>
                <w:szCs w:val="24"/>
                <w:u w:val="none" w:color="auto"/>
              </w:rPr>
              <w:t>/</w:t>
            </w:r>
          </w:p>
        </w:tc>
        <w:tc>
          <w:tcPr>
            <w:tcW w:w="1307" w:type="dxa"/>
            <w:tcBorders>
              <w:tl2br w:val="nil"/>
              <w:tr2bl w:val="nil"/>
            </w:tcBorders>
            <w:noWrap w:val="0"/>
            <w:vAlign w:val="center"/>
          </w:tcPr>
          <w:p w14:paraId="1B4DD2CA">
            <w:pPr>
              <w:adjustRightInd w:val="0"/>
              <w:snapToGrid w:val="0"/>
              <w:jc w:val="center"/>
              <w:rPr>
                <w:sz w:val="24"/>
                <w:szCs w:val="24"/>
                <w:u w:val="none" w:color="auto"/>
              </w:rPr>
            </w:pPr>
            <w:r>
              <w:rPr>
                <w:sz w:val="24"/>
                <w:szCs w:val="24"/>
                <w:u w:val="none" w:color="auto"/>
              </w:rPr>
              <w:t>/</w:t>
            </w:r>
          </w:p>
        </w:tc>
        <w:tc>
          <w:tcPr>
            <w:tcW w:w="2701" w:type="dxa"/>
            <w:gridSpan w:val="2"/>
            <w:tcBorders>
              <w:tl2br w:val="nil"/>
              <w:tr2bl w:val="nil"/>
            </w:tcBorders>
            <w:noWrap w:val="0"/>
            <w:vAlign w:val="center"/>
          </w:tcPr>
          <w:p w14:paraId="771E3B84">
            <w:pPr>
              <w:adjustRightInd w:val="0"/>
              <w:snapToGrid w:val="0"/>
              <w:jc w:val="center"/>
              <w:rPr>
                <w:sz w:val="24"/>
                <w:szCs w:val="24"/>
                <w:u w:val="none" w:color="auto"/>
              </w:rPr>
            </w:pPr>
            <w:r>
              <w:rPr>
                <w:sz w:val="24"/>
                <w:szCs w:val="24"/>
                <w:u w:val="none" w:color="auto"/>
              </w:rPr>
              <w:t>/</w:t>
            </w:r>
          </w:p>
        </w:tc>
        <w:tc>
          <w:tcPr>
            <w:tcW w:w="2692" w:type="dxa"/>
            <w:tcBorders>
              <w:tl2br w:val="nil"/>
              <w:tr2bl w:val="nil"/>
            </w:tcBorders>
            <w:noWrap w:val="0"/>
            <w:vAlign w:val="center"/>
          </w:tcPr>
          <w:p w14:paraId="40CB50AD">
            <w:pPr>
              <w:widowControl/>
              <w:adjustRightInd w:val="0"/>
              <w:snapToGrid w:val="0"/>
              <w:jc w:val="center"/>
              <w:rPr>
                <w:sz w:val="24"/>
                <w:szCs w:val="24"/>
                <w:u w:val="none" w:color="auto"/>
              </w:rPr>
            </w:pPr>
            <w:r>
              <w:rPr>
                <w:sz w:val="24"/>
                <w:szCs w:val="24"/>
                <w:u w:val="none" w:color="auto"/>
              </w:rPr>
              <w:t>/</w:t>
            </w:r>
          </w:p>
        </w:tc>
      </w:tr>
      <w:tr w14:paraId="7E5FC3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19" w:type="dxa"/>
            <w:vMerge w:val="restart"/>
            <w:tcBorders>
              <w:tl2br w:val="nil"/>
              <w:tr2bl w:val="nil"/>
            </w:tcBorders>
            <w:noWrap w:val="0"/>
            <w:vAlign w:val="center"/>
          </w:tcPr>
          <w:p w14:paraId="2E5ADF2D">
            <w:pPr>
              <w:adjustRightInd w:val="0"/>
              <w:snapToGrid w:val="0"/>
              <w:jc w:val="center"/>
              <w:rPr>
                <w:sz w:val="24"/>
                <w:szCs w:val="24"/>
                <w:u w:val="none" w:color="auto"/>
              </w:rPr>
            </w:pPr>
            <w:r>
              <w:rPr>
                <w:sz w:val="24"/>
                <w:szCs w:val="24"/>
                <w:u w:val="none" w:color="auto"/>
              </w:rPr>
              <w:t>固体废物</w:t>
            </w:r>
          </w:p>
        </w:tc>
        <w:tc>
          <w:tcPr>
            <w:tcW w:w="897" w:type="dxa"/>
            <w:vMerge w:val="restart"/>
            <w:tcBorders>
              <w:tl2br w:val="nil"/>
              <w:tr2bl w:val="nil"/>
            </w:tcBorders>
            <w:noWrap w:val="0"/>
            <w:vAlign w:val="center"/>
          </w:tcPr>
          <w:p w14:paraId="5ADF4C8D">
            <w:pPr>
              <w:widowControl/>
              <w:jc w:val="center"/>
              <w:rPr>
                <w:rFonts w:hint="eastAsia"/>
                <w:sz w:val="24"/>
                <w:szCs w:val="24"/>
                <w:u w:val="none" w:color="auto"/>
              </w:rPr>
            </w:pPr>
            <w:r>
              <w:rPr>
                <w:rFonts w:hint="eastAsia"/>
                <w:sz w:val="24"/>
                <w:szCs w:val="24"/>
                <w:u w:val="none" w:color="auto"/>
              </w:rPr>
              <w:t>一般固废</w:t>
            </w:r>
          </w:p>
        </w:tc>
        <w:tc>
          <w:tcPr>
            <w:tcW w:w="1307" w:type="dxa"/>
            <w:tcBorders>
              <w:tl2br w:val="nil"/>
              <w:tr2bl w:val="nil"/>
            </w:tcBorders>
            <w:noWrap w:val="0"/>
            <w:vAlign w:val="center"/>
          </w:tcPr>
          <w:p w14:paraId="6CF5B398">
            <w:pPr>
              <w:pStyle w:val="96"/>
              <w:jc w:val="both"/>
              <w:rPr>
                <w:rFonts w:hint="default" w:eastAsia="宋体"/>
                <w:sz w:val="24"/>
                <w:szCs w:val="24"/>
                <w:u w:val="none" w:color="auto"/>
                <w:lang w:val="en-US" w:eastAsia="zh-CN"/>
              </w:rPr>
            </w:pPr>
            <w:r>
              <w:rPr>
                <w:rFonts w:hint="eastAsia"/>
                <w:sz w:val="24"/>
                <w:szCs w:val="24"/>
                <w:u w:val="none" w:color="auto"/>
                <w:lang w:val="en-US" w:eastAsia="zh-CN"/>
              </w:rPr>
              <w:t>废极片边角料</w:t>
            </w:r>
          </w:p>
        </w:tc>
        <w:tc>
          <w:tcPr>
            <w:tcW w:w="1480" w:type="dxa"/>
            <w:vMerge w:val="restart"/>
            <w:tcBorders>
              <w:tl2br w:val="nil"/>
              <w:tr2bl w:val="nil"/>
            </w:tcBorders>
            <w:noWrap w:val="0"/>
            <w:vAlign w:val="center"/>
          </w:tcPr>
          <w:p w14:paraId="56517AEA">
            <w:pPr>
              <w:adjustRightInd w:val="0"/>
              <w:snapToGrid w:val="0"/>
              <w:jc w:val="both"/>
              <w:rPr>
                <w:sz w:val="24"/>
                <w:szCs w:val="24"/>
                <w:u w:val="none" w:color="auto"/>
              </w:rPr>
            </w:pPr>
            <w:r>
              <w:rPr>
                <w:rFonts w:hint="eastAsia"/>
                <w:sz w:val="24"/>
                <w:szCs w:val="24"/>
                <w:u w:val="none" w:color="auto"/>
                <w:lang w:val="en-US" w:eastAsia="zh-CN"/>
              </w:rPr>
              <w:t>300</w:t>
            </w:r>
            <w:r>
              <w:rPr>
                <w:rFonts w:hint="eastAsia"/>
                <w:sz w:val="24"/>
                <w:szCs w:val="24"/>
                <w:u w:val="none" w:color="auto"/>
              </w:rPr>
              <w:t>m</w:t>
            </w:r>
            <w:r>
              <w:rPr>
                <w:rFonts w:hint="eastAsia"/>
                <w:sz w:val="24"/>
                <w:szCs w:val="24"/>
                <w:u w:val="none" w:color="auto"/>
                <w:vertAlign w:val="superscript"/>
              </w:rPr>
              <w:t>2</w:t>
            </w:r>
            <w:r>
              <w:rPr>
                <w:rFonts w:hint="eastAsia"/>
                <w:sz w:val="24"/>
                <w:szCs w:val="24"/>
                <w:u w:val="none" w:color="auto"/>
              </w:rPr>
              <w:t>一般固废暂存间暂存</w:t>
            </w:r>
          </w:p>
        </w:tc>
        <w:tc>
          <w:tcPr>
            <w:tcW w:w="1221" w:type="dxa"/>
            <w:vMerge w:val="restart"/>
            <w:tcBorders>
              <w:tl2br w:val="nil"/>
              <w:tr2bl w:val="nil"/>
            </w:tcBorders>
            <w:noWrap w:val="0"/>
            <w:vAlign w:val="center"/>
          </w:tcPr>
          <w:p w14:paraId="7B8183FC">
            <w:pPr>
              <w:adjustRightInd w:val="0"/>
              <w:snapToGrid w:val="0"/>
              <w:jc w:val="both"/>
              <w:rPr>
                <w:rFonts w:hint="default"/>
                <w:sz w:val="24"/>
                <w:szCs w:val="24"/>
                <w:u w:val="none" w:color="auto"/>
                <w:lang w:val="en-US"/>
              </w:rPr>
            </w:pPr>
            <w:r>
              <w:rPr>
                <w:rFonts w:hint="eastAsia"/>
                <w:sz w:val="24"/>
                <w:szCs w:val="24"/>
                <w:u w:val="none" w:color="auto"/>
                <w:lang w:val="en-US" w:eastAsia="zh-CN"/>
              </w:rPr>
              <w:t>收集后暂存于一般固废间，定期外售</w:t>
            </w:r>
          </w:p>
        </w:tc>
        <w:tc>
          <w:tcPr>
            <w:tcW w:w="2692" w:type="dxa"/>
            <w:vMerge w:val="restart"/>
            <w:tcBorders>
              <w:tl2br w:val="nil"/>
              <w:tr2bl w:val="nil"/>
            </w:tcBorders>
            <w:noWrap w:val="0"/>
            <w:vAlign w:val="center"/>
          </w:tcPr>
          <w:p w14:paraId="7B6DAAEA">
            <w:pPr>
              <w:widowControl/>
              <w:adjustRightInd w:val="0"/>
              <w:snapToGrid w:val="0"/>
              <w:jc w:val="center"/>
              <w:rPr>
                <w:sz w:val="24"/>
                <w:szCs w:val="24"/>
                <w:u w:val="none" w:color="auto"/>
              </w:rPr>
            </w:pPr>
            <w:r>
              <w:rPr>
                <w:sz w:val="24"/>
                <w:szCs w:val="24"/>
                <w:u w:val="none" w:color="auto"/>
              </w:rPr>
              <w:t>《一般工业固体废物贮存和填埋污染控制标准》（GB18599-2020）</w:t>
            </w:r>
          </w:p>
        </w:tc>
      </w:tr>
      <w:tr w14:paraId="63991F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19" w:type="dxa"/>
            <w:vMerge w:val="continue"/>
            <w:tcBorders>
              <w:tl2br w:val="nil"/>
              <w:tr2bl w:val="nil"/>
            </w:tcBorders>
            <w:noWrap w:val="0"/>
            <w:vAlign w:val="center"/>
          </w:tcPr>
          <w:p w14:paraId="01405DF8">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42A9961F">
            <w:pPr>
              <w:widowControl/>
              <w:jc w:val="center"/>
              <w:rPr>
                <w:rFonts w:hint="eastAsia"/>
                <w:sz w:val="24"/>
                <w:szCs w:val="24"/>
                <w:u w:val="none" w:color="auto"/>
              </w:rPr>
            </w:pPr>
          </w:p>
        </w:tc>
        <w:tc>
          <w:tcPr>
            <w:tcW w:w="1307" w:type="dxa"/>
            <w:tcBorders>
              <w:tl2br w:val="nil"/>
              <w:tr2bl w:val="nil"/>
            </w:tcBorders>
            <w:noWrap w:val="0"/>
            <w:vAlign w:val="center"/>
          </w:tcPr>
          <w:p w14:paraId="576D8070">
            <w:pPr>
              <w:pStyle w:val="96"/>
              <w:jc w:val="both"/>
              <w:rPr>
                <w:rFonts w:hint="default"/>
                <w:sz w:val="24"/>
                <w:szCs w:val="24"/>
                <w:u w:val="none" w:color="auto"/>
                <w:lang w:val="en-US" w:eastAsia="zh-CN"/>
              </w:rPr>
            </w:pPr>
            <w:r>
              <w:rPr>
                <w:rFonts w:hint="eastAsia"/>
                <w:sz w:val="24"/>
                <w:szCs w:val="24"/>
                <w:u w:val="none" w:color="auto"/>
                <w:lang w:val="en-US" w:eastAsia="zh-CN"/>
              </w:rPr>
              <w:t>不合格电池</w:t>
            </w:r>
          </w:p>
        </w:tc>
        <w:tc>
          <w:tcPr>
            <w:tcW w:w="1480" w:type="dxa"/>
            <w:vMerge w:val="continue"/>
            <w:tcBorders>
              <w:tl2br w:val="nil"/>
              <w:tr2bl w:val="nil"/>
            </w:tcBorders>
            <w:noWrap w:val="0"/>
            <w:vAlign w:val="center"/>
          </w:tcPr>
          <w:p w14:paraId="603DB545">
            <w:pPr>
              <w:adjustRightInd w:val="0"/>
              <w:snapToGrid w:val="0"/>
              <w:jc w:val="both"/>
              <w:rPr>
                <w:rFonts w:hint="eastAsia"/>
                <w:sz w:val="24"/>
                <w:szCs w:val="24"/>
                <w:u w:val="none" w:color="auto"/>
                <w:lang w:val="en-US" w:eastAsia="zh-CN"/>
              </w:rPr>
            </w:pPr>
          </w:p>
        </w:tc>
        <w:tc>
          <w:tcPr>
            <w:tcW w:w="1221" w:type="dxa"/>
            <w:vMerge w:val="continue"/>
            <w:tcBorders>
              <w:tl2br w:val="nil"/>
              <w:tr2bl w:val="nil"/>
            </w:tcBorders>
            <w:noWrap w:val="0"/>
            <w:vAlign w:val="center"/>
          </w:tcPr>
          <w:p w14:paraId="7259724D">
            <w:pPr>
              <w:adjustRightInd w:val="0"/>
              <w:snapToGrid w:val="0"/>
              <w:jc w:val="both"/>
              <w:rPr>
                <w:rFonts w:hint="eastAsia"/>
                <w:sz w:val="24"/>
                <w:szCs w:val="24"/>
                <w:u w:val="none" w:color="auto"/>
                <w:lang w:val="en-US" w:eastAsia="zh-CN"/>
              </w:rPr>
            </w:pPr>
          </w:p>
        </w:tc>
        <w:tc>
          <w:tcPr>
            <w:tcW w:w="2692" w:type="dxa"/>
            <w:vMerge w:val="continue"/>
            <w:tcBorders>
              <w:tl2br w:val="nil"/>
              <w:tr2bl w:val="nil"/>
            </w:tcBorders>
            <w:noWrap w:val="0"/>
            <w:vAlign w:val="center"/>
          </w:tcPr>
          <w:p w14:paraId="4FE6A27A">
            <w:pPr>
              <w:widowControl/>
              <w:adjustRightInd w:val="0"/>
              <w:snapToGrid w:val="0"/>
              <w:jc w:val="center"/>
              <w:rPr>
                <w:sz w:val="24"/>
                <w:szCs w:val="24"/>
                <w:u w:val="none" w:color="auto"/>
              </w:rPr>
            </w:pPr>
          </w:p>
        </w:tc>
      </w:tr>
      <w:tr w14:paraId="734471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19" w:type="dxa"/>
            <w:vMerge w:val="continue"/>
            <w:tcBorders>
              <w:tl2br w:val="nil"/>
              <w:tr2bl w:val="nil"/>
            </w:tcBorders>
            <w:noWrap w:val="0"/>
            <w:vAlign w:val="center"/>
          </w:tcPr>
          <w:p w14:paraId="473C16A5">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4B6BD00D">
            <w:pPr>
              <w:widowControl/>
              <w:jc w:val="center"/>
              <w:rPr>
                <w:rFonts w:hint="eastAsia"/>
                <w:sz w:val="24"/>
                <w:szCs w:val="24"/>
                <w:u w:val="none" w:color="auto"/>
              </w:rPr>
            </w:pPr>
          </w:p>
        </w:tc>
        <w:tc>
          <w:tcPr>
            <w:tcW w:w="1307" w:type="dxa"/>
            <w:tcBorders>
              <w:tl2br w:val="nil"/>
              <w:tr2bl w:val="nil"/>
            </w:tcBorders>
            <w:noWrap w:val="0"/>
            <w:vAlign w:val="center"/>
          </w:tcPr>
          <w:p w14:paraId="4019F221">
            <w:pPr>
              <w:pStyle w:val="96"/>
              <w:jc w:val="both"/>
              <w:rPr>
                <w:rFonts w:hint="default"/>
                <w:sz w:val="24"/>
                <w:szCs w:val="24"/>
                <w:u w:val="none" w:color="auto"/>
                <w:lang w:val="en-US" w:eastAsia="zh-CN"/>
              </w:rPr>
            </w:pPr>
            <w:r>
              <w:rPr>
                <w:rFonts w:hint="eastAsia"/>
                <w:sz w:val="24"/>
                <w:szCs w:val="24"/>
                <w:u w:val="none" w:color="auto"/>
                <w:lang w:val="en-US" w:eastAsia="zh-CN"/>
              </w:rPr>
              <w:t>废隔膜</w:t>
            </w:r>
          </w:p>
        </w:tc>
        <w:tc>
          <w:tcPr>
            <w:tcW w:w="1480" w:type="dxa"/>
            <w:vMerge w:val="continue"/>
            <w:tcBorders>
              <w:tl2br w:val="nil"/>
              <w:tr2bl w:val="nil"/>
            </w:tcBorders>
            <w:noWrap w:val="0"/>
            <w:vAlign w:val="center"/>
          </w:tcPr>
          <w:p w14:paraId="5558F2FA">
            <w:pPr>
              <w:adjustRightInd w:val="0"/>
              <w:snapToGrid w:val="0"/>
              <w:jc w:val="both"/>
              <w:rPr>
                <w:rFonts w:hint="eastAsia"/>
                <w:sz w:val="24"/>
                <w:szCs w:val="24"/>
                <w:u w:val="none" w:color="auto"/>
                <w:lang w:val="en-US" w:eastAsia="zh-CN"/>
              </w:rPr>
            </w:pPr>
          </w:p>
        </w:tc>
        <w:tc>
          <w:tcPr>
            <w:tcW w:w="1221" w:type="dxa"/>
            <w:vMerge w:val="continue"/>
            <w:tcBorders>
              <w:tl2br w:val="nil"/>
              <w:tr2bl w:val="nil"/>
            </w:tcBorders>
            <w:noWrap w:val="0"/>
            <w:vAlign w:val="center"/>
          </w:tcPr>
          <w:p w14:paraId="11995001">
            <w:pPr>
              <w:adjustRightInd w:val="0"/>
              <w:snapToGrid w:val="0"/>
              <w:jc w:val="both"/>
              <w:rPr>
                <w:rFonts w:hint="eastAsia"/>
                <w:sz w:val="24"/>
                <w:szCs w:val="24"/>
                <w:u w:val="none" w:color="auto"/>
                <w:lang w:val="en-US" w:eastAsia="zh-CN"/>
              </w:rPr>
            </w:pPr>
          </w:p>
        </w:tc>
        <w:tc>
          <w:tcPr>
            <w:tcW w:w="2692" w:type="dxa"/>
            <w:vMerge w:val="continue"/>
            <w:tcBorders>
              <w:tl2br w:val="nil"/>
              <w:tr2bl w:val="nil"/>
            </w:tcBorders>
            <w:noWrap w:val="0"/>
            <w:vAlign w:val="center"/>
          </w:tcPr>
          <w:p w14:paraId="309C8C99">
            <w:pPr>
              <w:widowControl/>
              <w:adjustRightInd w:val="0"/>
              <w:snapToGrid w:val="0"/>
              <w:jc w:val="center"/>
              <w:rPr>
                <w:sz w:val="24"/>
                <w:szCs w:val="24"/>
                <w:u w:val="none" w:color="auto"/>
              </w:rPr>
            </w:pPr>
          </w:p>
        </w:tc>
      </w:tr>
      <w:tr w14:paraId="02955A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19" w:type="dxa"/>
            <w:vMerge w:val="continue"/>
            <w:tcBorders>
              <w:tl2br w:val="nil"/>
              <w:tr2bl w:val="nil"/>
            </w:tcBorders>
            <w:noWrap w:val="0"/>
            <w:vAlign w:val="center"/>
          </w:tcPr>
          <w:p w14:paraId="704DF6F5">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1CEB243D">
            <w:pPr>
              <w:widowControl/>
              <w:jc w:val="center"/>
              <w:rPr>
                <w:rFonts w:hint="eastAsia"/>
                <w:sz w:val="24"/>
                <w:szCs w:val="24"/>
                <w:u w:val="none" w:color="auto"/>
              </w:rPr>
            </w:pPr>
          </w:p>
        </w:tc>
        <w:tc>
          <w:tcPr>
            <w:tcW w:w="1307" w:type="dxa"/>
            <w:tcBorders>
              <w:tl2br w:val="nil"/>
              <w:tr2bl w:val="nil"/>
            </w:tcBorders>
            <w:noWrap w:val="0"/>
            <w:vAlign w:val="center"/>
          </w:tcPr>
          <w:p w14:paraId="441C3759">
            <w:pPr>
              <w:pStyle w:val="96"/>
              <w:jc w:val="both"/>
              <w:rPr>
                <w:rFonts w:hint="default"/>
                <w:sz w:val="24"/>
                <w:szCs w:val="24"/>
                <w:u w:val="none" w:color="auto"/>
                <w:lang w:val="en-US" w:eastAsia="zh-CN"/>
              </w:rPr>
            </w:pPr>
            <w:r>
              <w:rPr>
                <w:rFonts w:hint="eastAsia"/>
                <w:sz w:val="24"/>
                <w:szCs w:val="24"/>
                <w:u w:val="none" w:color="auto"/>
                <w:lang w:val="en-US" w:eastAsia="zh-CN"/>
              </w:rPr>
              <w:t>废反渗透膜</w:t>
            </w:r>
          </w:p>
        </w:tc>
        <w:tc>
          <w:tcPr>
            <w:tcW w:w="1480" w:type="dxa"/>
            <w:vMerge w:val="continue"/>
            <w:tcBorders>
              <w:tl2br w:val="nil"/>
              <w:tr2bl w:val="nil"/>
            </w:tcBorders>
            <w:noWrap w:val="0"/>
            <w:vAlign w:val="center"/>
          </w:tcPr>
          <w:p w14:paraId="0DF408EE">
            <w:pPr>
              <w:adjustRightInd w:val="0"/>
              <w:snapToGrid w:val="0"/>
              <w:jc w:val="both"/>
              <w:rPr>
                <w:rFonts w:hint="eastAsia"/>
                <w:sz w:val="24"/>
                <w:szCs w:val="24"/>
                <w:u w:val="none" w:color="auto"/>
                <w:lang w:val="en-US" w:eastAsia="zh-CN"/>
              </w:rPr>
            </w:pPr>
          </w:p>
        </w:tc>
        <w:tc>
          <w:tcPr>
            <w:tcW w:w="1221" w:type="dxa"/>
            <w:vMerge w:val="continue"/>
            <w:tcBorders>
              <w:tl2br w:val="nil"/>
              <w:tr2bl w:val="nil"/>
            </w:tcBorders>
            <w:noWrap w:val="0"/>
            <w:vAlign w:val="center"/>
          </w:tcPr>
          <w:p w14:paraId="6FC03AA1">
            <w:pPr>
              <w:adjustRightInd w:val="0"/>
              <w:snapToGrid w:val="0"/>
              <w:jc w:val="both"/>
              <w:rPr>
                <w:rFonts w:hint="eastAsia"/>
                <w:sz w:val="24"/>
                <w:szCs w:val="24"/>
                <w:u w:val="none" w:color="auto"/>
                <w:lang w:val="en-US" w:eastAsia="zh-CN"/>
              </w:rPr>
            </w:pPr>
          </w:p>
        </w:tc>
        <w:tc>
          <w:tcPr>
            <w:tcW w:w="2692" w:type="dxa"/>
            <w:vMerge w:val="continue"/>
            <w:tcBorders>
              <w:tl2br w:val="nil"/>
              <w:tr2bl w:val="nil"/>
            </w:tcBorders>
            <w:noWrap w:val="0"/>
            <w:vAlign w:val="center"/>
          </w:tcPr>
          <w:p w14:paraId="442F9DB2">
            <w:pPr>
              <w:widowControl/>
              <w:adjustRightInd w:val="0"/>
              <w:snapToGrid w:val="0"/>
              <w:jc w:val="center"/>
              <w:rPr>
                <w:sz w:val="24"/>
                <w:szCs w:val="24"/>
                <w:u w:val="none" w:color="auto"/>
              </w:rPr>
            </w:pPr>
          </w:p>
        </w:tc>
      </w:tr>
      <w:tr w14:paraId="405256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19" w:type="dxa"/>
            <w:vMerge w:val="continue"/>
            <w:tcBorders>
              <w:tl2br w:val="nil"/>
              <w:tr2bl w:val="nil"/>
            </w:tcBorders>
            <w:noWrap w:val="0"/>
            <w:vAlign w:val="center"/>
          </w:tcPr>
          <w:p w14:paraId="5FA4BCAE">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749F245F">
            <w:pPr>
              <w:widowControl/>
              <w:jc w:val="center"/>
              <w:rPr>
                <w:rFonts w:hint="eastAsia"/>
                <w:sz w:val="24"/>
                <w:szCs w:val="24"/>
                <w:u w:val="none" w:color="auto"/>
              </w:rPr>
            </w:pPr>
          </w:p>
        </w:tc>
        <w:tc>
          <w:tcPr>
            <w:tcW w:w="1307" w:type="dxa"/>
            <w:tcBorders>
              <w:tl2br w:val="nil"/>
              <w:tr2bl w:val="nil"/>
            </w:tcBorders>
            <w:noWrap w:val="0"/>
            <w:vAlign w:val="center"/>
          </w:tcPr>
          <w:p w14:paraId="1C3A2D59">
            <w:pPr>
              <w:pStyle w:val="96"/>
              <w:jc w:val="both"/>
              <w:rPr>
                <w:rFonts w:hint="default"/>
                <w:sz w:val="24"/>
                <w:szCs w:val="24"/>
                <w:u w:val="none" w:color="auto"/>
                <w:lang w:val="en-US" w:eastAsia="zh-CN"/>
              </w:rPr>
            </w:pPr>
            <w:r>
              <w:rPr>
                <w:rFonts w:hint="eastAsia"/>
                <w:sz w:val="24"/>
                <w:szCs w:val="24"/>
                <w:u w:val="none" w:color="auto"/>
                <w:lang w:val="en-US" w:eastAsia="zh-CN"/>
              </w:rPr>
              <w:t>废活性炭</w:t>
            </w:r>
          </w:p>
        </w:tc>
        <w:tc>
          <w:tcPr>
            <w:tcW w:w="1480" w:type="dxa"/>
            <w:vMerge w:val="continue"/>
            <w:tcBorders>
              <w:tl2br w:val="nil"/>
              <w:tr2bl w:val="nil"/>
            </w:tcBorders>
            <w:noWrap w:val="0"/>
            <w:vAlign w:val="center"/>
          </w:tcPr>
          <w:p w14:paraId="50E64665">
            <w:pPr>
              <w:adjustRightInd w:val="0"/>
              <w:snapToGrid w:val="0"/>
              <w:jc w:val="both"/>
              <w:rPr>
                <w:rFonts w:hint="eastAsia"/>
                <w:sz w:val="24"/>
                <w:szCs w:val="24"/>
                <w:u w:val="none" w:color="auto"/>
                <w:lang w:val="en-US" w:eastAsia="zh-CN"/>
              </w:rPr>
            </w:pPr>
          </w:p>
        </w:tc>
        <w:tc>
          <w:tcPr>
            <w:tcW w:w="1221" w:type="dxa"/>
            <w:vMerge w:val="continue"/>
            <w:tcBorders>
              <w:tl2br w:val="nil"/>
              <w:tr2bl w:val="nil"/>
            </w:tcBorders>
            <w:noWrap w:val="0"/>
            <w:vAlign w:val="center"/>
          </w:tcPr>
          <w:p w14:paraId="7E228E73">
            <w:pPr>
              <w:adjustRightInd w:val="0"/>
              <w:snapToGrid w:val="0"/>
              <w:jc w:val="both"/>
              <w:rPr>
                <w:rFonts w:hint="eastAsia"/>
                <w:sz w:val="24"/>
                <w:szCs w:val="24"/>
                <w:u w:val="none" w:color="auto"/>
                <w:lang w:val="en-US" w:eastAsia="zh-CN"/>
              </w:rPr>
            </w:pPr>
          </w:p>
        </w:tc>
        <w:tc>
          <w:tcPr>
            <w:tcW w:w="2692" w:type="dxa"/>
            <w:vMerge w:val="continue"/>
            <w:tcBorders>
              <w:tl2br w:val="nil"/>
              <w:tr2bl w:val="nil"/>
            </w:tcBorders>
            <w:noWrap w:val="0"/>
            <w:vAlign w:val="center"/>
          </w:tcPr>
          <w:p w14:paraId="688D475D">
            <w:pPr>
              <w:widowControl/>
              <w:adjustRightInd w:val="0"/>
              <w:snapToGrid w:val="0"/>
              <w:jc w:val="center"/>
              <w:rPr>
                <w:sz w:val="24"/>
                <w:szCs w:val="24"/>
                <w:u w:val="none" w:color="auto"/>
              </w:rPr>
            </w:pPr>
          </w:p>
        </w:tc>
      </w:tr>
      <w:tr w14:paraId="5D9C89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19" w:type="dxa"/>
            <w:vMerge w:val="continue"/>
            <w:tcBorders>
              <w:tl2br w:val="nil"/>
              <w:tr2bl w:val="nil"/>
            </w:tcBorders>
            <w:noWrap w:val="0"/>
            <w:vAlign w:val="center"/>
          </w:tcPr>
          <w:p w14:paraId="4838049E">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1E8F64DE">
            <w:pPr>
              <w:widowControl/>
              <w:jc w:val="center"/>
              <w:rPr>
                <w:rFonts w:hint="eastAsia"/>
                <w:sz w:val="24"/>
                <w:szCs w:val="24"/>
                <w:u w:val="none" w:color="auto"/>
              </w:rPr>
            </w:pPr>
          </w:p>
        </w:tc>
        <w:tc>
          <w:tcPr>
            <w:tcW w:w="1307" w:type="dxa"/>
            <w:tcBorders>
              <w:tl2br w:val="nil"/>
              <w:tr2bl w:val="nil"/>
            </w:tcBorders>
            <w:noWrap w:val="0"/>
            <w:vAlign w:val="center"/>
          </w:tcPr>
          <w:p w14:paraId="38A00799">
            <w:pPr>
              <w:pStyle w:val="96"/>
              <w:jc w:val="both"/>
              <w:rPr>
                <w:rFonts w:hint="default"/>
                <w:sz w:val="24"/>
                <w:szCs w:val="24"/>
                <w:u w:val="none" w:color="auto"/>
                <w:lang w:val="en-US" w:eastAsia="zh-CN"/>
              </w:rPr>
            </w:pPr>
            <w:r>
              <w:rPr>
                <w:rFonts w:hint="eastAsia"/>
                <w:sz w:val="24"/>
                <w:szCs w:val="24"/>
                <w:u w:val="none" w:color="auto"/>
                <w:lang w:val="en-US" w:eastAsia="zh-CN"/>
              </w:rPr>
              <w:t>废石英砂</w:t>
            </w:r>
          </w:p>
        </w:tc>
        <w:tc>
          <w:tcPr>
            <w:tcW w:w="1480" w:type="dxa"/>
            <w:vMerge w:val="continue"/>
            <w:tcBorders>
              <w:tl2br w:val="nil"/>
              <w:tr2bl w:val="nil"/>
            </w:tcBorders>
            <w:noWrap w:val="0"/>
            <w:vAlign w:val="center"/>
          </w:tcPr>
          <w:p w14:paraId="582AAC40">
            <w:pPr>
              <w:adjustRightInd w:val="0"/>
              <w:snapToGrid w:val="0"/>
              <w:jc w:val="both"/>
              <w:rPr>
                <w:rFonts w:hint="eastAsia"/>
                <w:sz w:val="24"/>
                <w:szCs w:val="24"/>
                <w:u w:val="none" w:color="auto"/>
                <w:lang w:val="en-US" w:eastAsia="zh-CN"/>
              </w:rPr>
            </w:pPr>
          </w:p>
        </w:tc>
        <w:tc>
          <w:tcPr>
            <w:tcW w:w="1221" w:type="dxa"/>
            <w:vMerge w:val="continue"/>
            <w:tcBorders>
              <w:tl2br w:val="nil"/>
              <w:tr2bl w:val="nil"/>
            </w:tcBorders>
            <w:noWrap w:val="0"/>
            <w:vAlign w:val="center"/>
          </w:tcPr>
          <w:p w14:paraId="23AE4298">
            <w:pPr>
              <w:adjustRightInd w:val="0"/>
              <w:snapToGrid w:val="0"/>
              <w:jc w:val="both"/>
              <w:rPr>
                <w:rFonts w:hint="eastAsia"/>
                <w:sz w:val="24"/>
                <w:szCs w:val="24"/>
                <w:u w:val="none" w:color="auto"/>
                <w:lang w:val="en-US" w:eastAsia="zh-CN"/>
              </w:rPr>
            </w:pPr>
          </w:p>
        </w:tc>
        <w:tc>
          <w:tcPr>
            <w:tcW w:w="2692" w:type="dxa"/>
            <w:vMerge w:val="continue"/>
            <w:tcBorders>
              <w:tl2br w:val="nil"/>
              <w:tr2bl w:val="nil"/>
            </w:tcBorders>
            <w:noWrap w:val="0"/>
            <w:vAlign w:val="center"/>
          </w:tcPr>
          <w:p w14:paraId="6DEAB41A">
            <w:pPr>
              <w:widowControl/>
              <w:adjustRightInd w:val="0"/>
              <w:snapToGrid w:val="0"/>
              <w:jc w:val="center"/>
              <w:rPr>
                <w:sz w:val="24"/>
                <w:szCs w:val="24"/>
                <w:u w:val="none" w:color="auto"/>
              </w:rPr>
            </w:pPr>
          </w:p>
        </w:tc>
      </w:tr>
      <w:tr w14:paraId="73379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19" w:type="dxa"/>
            <w:vMerge w:val="continue"/>
            <w:tcBorders>
              <w:tl2br w:val="nil"/>
              <w:tr2bl w:val="nil"/>
            </w:tcBorders>
            <w:noWrap w:val="0"/>
            <w:vAlign w:val="center"/>
          </w:tcPr>
          <w:p w14:paraId="2DE9FE90">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22EF89E4">
            <w:pPr>
              <w:widowControl/>
              <w:jc w:val="center"/>
              <w:rPr>
                <w:rFonts w:hint="eastAsia"/>
                <w:sz w:val="24"/>
                <w:szCs w:val="24"/>
                <w:u w:val="none" w:color="auto"/>
              </w:rPr>
            </w:pPr>
          </w:p>
        </w:tc>
        <w:tc>
          <w:tcPr>
            <w:tcW w:w="1307" w:type="dxa"/>
            <w:tcBorders>
              <w:tl2br w:val="nil"/>
              <w:tr2bl w:val="nil"/>
            </w:tcBorders>
            <w:noWrap w:val="0"/>
            <w:vAlign w:val="center"/>
          </w:tcPr>
          <w:p w14:paraId="1F826048">
            <w:pPr>
              <w:pStyle w:val="96"/>
              <w:jc w:val="both"/>
              <w:rPr>
                <w:rFonts w:hint="default"/>
                <w:sz w:val="24"/>
                <w:szCs w:val="24"/>
                <w:u w:val="none" w:color="auto"/>
                <w:lang w:val="en-US" w:eastAsia="zh-CN"/>
              </w:rPr>
            </w:pPr>
            <w:r>
              <w:rPr>
                <w:rFonts w:hint="eastAsia"/>
                <w:sz w:val="24"/>
                <w:szCs w:val="24"/>
                <w:u w:val="none" w:color="auto"/>
                <w:lang w:val="en-US" w:eastAsia="zh-CN"/>
              </w:rPr>
              <w:t>NMP回收液</w:t>
            </w:r>
          </w:p>
        </w:tc>
        <w:tc>
          <w:tcPr>
            <w:tcW w:w="1480" w:type="dxa"/>
            <w:vMerge w:val="continue"/>
            <w:tcBorders>
              <w:tl2br w:val="nil"/>
              <w:tr2bl w:val="nil"/>
            </w:tcBorders>
            <w:noWrap w:val="0"/>
            <w:vAlign w:val="center"/>
          </w:tcPr>
          <w:p w14:paraId="39BC4B3F">
            <w:pPr>
              <w:adjustRightInd w:val="0"/>
              <w:snapToGrid w:val="0"/>
              <w:jc w:val="both"/>
              <w:rPr>
                <w:rFonts w:hint="eastAsia"/>
                <w:sz w:val="24"/>
                <w:szCs w:val="24"/>
                <w:u w:val="none" w:color="auto"/>
                <w:lang w:val="en-US" w:eastAsia="zh-CN"/>
              </w:rPr>
            </w:pPr>
          </w:p>
        </w:tc>
        <w:tc>
          <w:tcPr>
            <w:tcW w:w="1221" w:type="dxa"/>
            <w:vMerge w:val="continue"/>
            <w:tcBorders>
              <w:tl2br w:val="nil"/>
              <w:tr2bl w:val="nil"/>
            </w:tcBorders>
            <w:noWrap w:val="0"/>
            <w:vAlign w:val="center"/>
          </w:tcPr>
          <w:p w14:paraId="6AE57448">
            <w:pPr>
              <w:adjustRightInd w:val="0"/>
              <w:snapToGrid w:val="0"/>
              <w:jc w:val="both"/>
              <w:rPr>
                <w:rFonts w:hint="eastAsia"/>
                <w:sz w:val="24"/>
                <w:szCs w:val="24"/>
                <w:u w:val="none" w:color="auto"/>
                <w:lang w:val="en-US" w:eastAsia="zh-CN"/>
              </w:rPr>
            </w:pPr>
          </w:p>
        </w:tc>
        <w:tc>
          <w:tcPr>
            <w:tcW w:w="2692" w:type="dxa"/>
            <w:vMerge w:val="continue"/>
            <w:tcBorders>
              <w:tl2br w:val="nil"/>
              <w:tr2bl w:val="nil"/>
            </w:tcBorders>
            <w:noWrap w:val="0"/>
            <w:vAlign w:val="center"/>
          </w:tcPr>
          <w:p w14:paraId="165FEB38">
            <w:pPr>
              <w:widowControl/>
              <w:adjustRightInd w:val="0"/>
              <w:snapToGrid w:val="0"/>
              <w:jc w:val="center"/>
              <w:rPr>
                <w:sz w:val="24"/>
                <w:szCs w:val="24"/>
                <w:u w:val="none" w:color="auto"/>
              </w:rPr>
            </w:pPr>
          </w:p>
        </w:tc>
      </w:tr>
      <w:tr w14:paraId="77BDAC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19" w:type="dxa"/>
            <w:vMerge w:val="continue"/>
            <w:tcBorders>
              <w:tl2br w:val="nil"/>
              <w:tr2bl w:val="nil"/>
            </w:tcBorders>
            <w:noWrap w:val="0"/>
            <w:vAlign w:val="center"/>
          </w:tcPr>
          <w:p w14:paraId="48AAC451">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1640D9CE">
            <w:pPr>
              <w:widowControl/>
              <w:jc w:val="center"/>
              <w:rPr>
                <w:rFonts w:hint="eastAsia"/>
                <w:sz w:val="24"/>
                <w:szCs w:val="24"/>
                <w:u w:val="none" w:color="auto"/>
              </w:rPr>
            </w:pPr>
          </w:p>
        </w:tc>
        <w:tc>
          <w:tcPr>
            <w:tcW w:w="1307" w:type="dxa"/>
            <w:tcBorders>
              <w:tl2br w:val="nil"/>
              <w:tr2bl w:val="nil"/>
            </w:tcBorders>
            <w:noWrap w:val="0"/>
            <w:vAlign w:val="center"/>
          </w:tcPr>
          <w:p w14:paraId="1324F66A">
            <w:pPr>
              <w:pStyle w:val="96"/>
              <w:jc w:val="both"/>
              <w:rPr>
                <w:rFonts w:hint="default"/>
                <w:sz w:val="24"/>
                <w:szCs w:val="24"/>
                <w:u w:val="none" w:color="auto"/>
                <w:lang w:val="en-US" w:eastAsia="zh-CN"/>
              </w:rPr>
            </w:pPr>
            <w:r>
              <w:rPr>
                <w:rFonts w:hint="eastAsia"/>
                <w:sz w:val="24"/>
                <w:szCs w:val="24"/>
                <w:u w:val="none" w:color="auto"/>
                <w:lang w:val="en-US" w:eastAsia="zh-CN"/>
              </w:rPr>
              <w:t>除尘器收尘</w:t>
            </w:r>
          </w:p>
        </w:tc>
        <w:tc>
          <w:tcPr>
            <w:tcW w:w="1480" w:type="dxa"/>
            <w:vMerge w:val="continue"/>
            <w:tcBorders>
              <w:tl2br w:val="nil"/>
              <w:tr2bl w:val="nil"/>
            </w:tcBorders>
            <w:noWrap w:val="0"/>
            <w:vAlign w:val="center"/>
          </w:tcPr>
          <w:p w14:paraId="4445AAA7">
            <w:pPr>
              <w:adjustRightInd w:val="0"/>
              <w:snapToGrid w:val="0"/>
              <w:jc w:val="both"/>
              <w:rPr>
                <w:rFonts w:hint="eastAsia"/>
                <w:sz w:val="24"/>
                <w:szCs w:val="24"/>
                <w:u w:val="none" w:color="auto"/>
                <w:lang w:val="en-US" w:eastAsia="zh-CN"/>
              </w:rPr>
            </w:pPr>
          </w:p>
        </w:tc>
        <w:tc>
          <w:tcPr>
            <w:tcW w:w="1221" w:type="dxa"/>
            <w:vMerge w:val="continue"/>
            <w:tcBorders>
              <w:tl2br w:val="nil"/>
              <w:tr2bl w:val="nil"/>
            </w:tcBorders>
            <w:noWrap w:val="0"/>
            <w:vAlign w:val="center"/>
          </w:tcPr>
          <w:p w14:paraId="5BF6D0C3">
            <w:pPr>
              <w:adjustRightInd w:val="0"/>
              <w:snapToGrid w:val="0"/>
              <w:jc w:val="both"/>
              <w:rPr>
                <w:rFonts w:hint="eastAsia"/>
                <w:sz w:val="24"/>
                <w:szCs w:val="24"/>
                <w:u w:val="none" w:color="auto"/>
                <w:lang w:val="en-US" w:eastAsia="zh-CN"/>
              </w:rPr>
            </w:pPr>
          </w:p>
        </w:tc>
        <w:tc>
          <w:tcPr>
            <w:tcW w:w="2692" w:type="dxa"/>
            <w:vMerge w:val="continue"/>
            <w:tcBorders>
              <w:tl2br w:val="nil"/>
              <w:tr2bl w:val="nil"/>
            </w:tcBorders>
            <w:noWrap w:val="0"/>
            <w:vAlign w:val="center"/>
          </w:tcPr>
          <w:p w14:paraId="35428F5C">
            <w:pPr>
              <w:widowControl/>
              <w:adjustRightInd w:val="0"/>
              <w:snapToGrid w:val="0"/>
              <w:jc w:val="center"/>
              <w:rPr>
                <w:sz w:val="24"/>
                <w:szCs w:val="24"/>
                <w:u w:val="none" w:color="auto"/>
              </w:rPr>
            </w:pPr>
          </w:p>
        </w:tc>
      </w:tr>
      <w:tr w14:paraId="0A4E9A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19" w:type="dxa"/>
            <w:vMerge w:val="continue"/>
            <w:tcBorders>
              <w:tl2br w:val="nil"/>
              <w:tr2bl w:val="nil"/>
            </w:tcBorders>
            <w:noWrap w:val="0"/>
            <w:vAlign w:val="center"/>
          </w:tcPr>
          <w:p w14:paraId="3FB3F239">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144A9F14">
            <w:pPr>
              <w:widowControl/>
              <w:jc w:val="center"/>
              <w:rPr>
                <w:rFonts w:hint="eastAsia"/>
                <w:sz w:val="24"/>
                <w:szCs w:val="24"/>
                <w:u w:val="none" w:color="auto"/>
              </w:rPr>
            </w:pPr>
          </w:p>
        </w:tc>
        <w:tc>
          <w:tcPr>
            <w:tcW w:w="1307" w:type="dxa"/>
            <w:tcBorders>
              <w:tl2br w:val="nil"/>
              <w:tr2bl w:val="nil"/>
            </w:tcBorders>
            <w:noWrap w:val="0"/>
            <w:vAlign w:val="center"/>
          </w:tcPr>
          <w:p w14:paraId="469D3DB3">
            <w:pPr>
              <w:pStyle w:val="96"/>
              <w:jc w:val="both"/>
              <w:rPr>
                <w:rFonts w:hint="default"/>
                <w:sz w:val="24"/>
                <w:szCs w:val="24"/>
                <w:u w:val="none" w:color="auto"/>
                <w:lang w:val="en-US" w:eastAsia="zh-CN"/>
              </w:rPr>
            </w:pPr>
            <w:r>
              <w:rPr>
                <w:rFonts w:hint="eastAsia"/>
                <w:sz w:val="24"/>
                <w:szCs w:val="24"/>
                <w:u w:val="none" w:color="auto"/>
                <w:lang w:val="en-US" w:eastAsia="zh-CN"/>
              </w:rPr>
              <w:t>污泥</w:t>
            </w:r>
          </w:p>
        </w:tc>
        <w:tc>
          <w:tcPr>
            <w:tcW w:w="1480" w:type="dxa"/>
            <w:vMerge w:val="continue"/>
            <w:tcBorders>
              <w:tl2br w:val="nil"/>
              <w:tr2bl w:val="nil"/>
            </w:tcBorders>
            <w:noWrap w:val="0"/>
            <w:vAlign w:val="center"/>
          </w:tcPr>
          <w:p w14:paraId="11B53F75">
            <w:pPr>
              <w:adjustRightInd w:val="0"/>
              <w:snapToGrid w:val="0"/>
              <w:jc w:val="both"/>
              <w:rPr>
                <w:rFonts w:hint="eastAsia"/>
                <w:sz w:val="24"/>
                <w:szCs w:val="24"/>
                <w:u w:val="none" w:color="auto"/>
                <w:lang w:val="en-US" w:eastAsia="zh-CN"/>
              </w:rPr>
            </w:pPr>
          </w:p>
        </w:tc>
        <w:tc>
          <w:tcPr>
            <w:tcW w:w="1221" w:type="dxa"/>
            <w:vMerge w:val="continue"/>
            <w:tcBorders>
              <w:tl2br w:val="nil"/>
              <w:tr2bl w:val="nil"/>
            </w:tcBorders>
            <w:noWrap w:val="0"/>
            <w:vAlign w:val="center"/>
          </w:tcPr>
          <w:p w14:paraId="31B204F8">
            <w:pPr>
              <w:adjustRightInd w:val="0"/>
              <w:snapToGrid w:val="0"/>
              <w:jc w:val="both"/>
              <w:rPr>
                <w:rFonts w:hint="eastAsia"/>
                <w:sz w:val="24"/>
                <w:szCs w:val="24"/>
                <w:u w:val="none" w:color="auto"/>
                <w:lang w:val="en-US" w:eastAsia="zh-CN"/>
              </w:rPr>
            </w:pPr>
          </w:p>
        </w:tc>
        <w:tc>
          <w:tcPr>
            <w:tcW w:w="2692" w:type="dxa"/>
            <w:vMerge w:val="continue"/>
            <w:tcBorders>
              <w:tl2br w:val="nil"/>
              <w:tr2bl w:val="nil"/>
            </w:tcBorders>
            <w:noWrap w:val="0"/>
            <w:vAlign w:val="center"/>
          </w:tcPr>
          <w:p w14:paraId="2D374AC5">
            <w:pPr>
              <w:widowControl/>
              <w:adjustRightInd w:val="0"/>
              <w:snapToGrid w:val="0"/>
              <w:jc w:val="center"/>
              <w:rPr>
                <w:sz w:val="24"/>
                <w:szCs w:val="24"/>
                <w:u w:val="none" w:color="auto"/>
              </w:rPr>
            </w:pPr>
          </w:p>
        </w:tc>
      </w:tr>
      <w:tr w14:paraId="342A4E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219" w:type="dxa"/>
            <w:vMerge w:val="continue"/>
            <w:tcBorders>
              <w:tl2br w:val="nil"/>
              <w:tr2bl w:val="nil"/>
            </w:tcBorders>
            <w:noWrap w:val="0"/>
            <w:vAlign w:val="center"/>
          </w:tcPr>
          <w:p w14:paraId="1F19096B">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70186702">
            <w:pPr>
              <w:widowControl/>
              <w:jc w:val="center"/>
              <w:rPr>
                <w:rFonts w:hint="eastAsia"/>
                <w:sz w:val="24"/>
                <w:szCs w:val="24"/>
                <w:u w:val="none" w:color="auto"/>
              </w:rPr>
            </w:pPr>
          </w:p>
        </w:tc>
        <w:tc>
          <w:tcPr>
            <w:tcW w:w="1307" w:type="dxa"/>
            <w:tcBorders>
              <w:tl2br w:val="nil"/>
              <w:tr2bl w:val="nil"/>
            </w:tcBorders>
            <w:noWrap w:val="0"/>
            <w:vAlign w:val="center"/>
          </w:tcPr>
          <w:p w14:paraId="08ACD323">
            <w:pPr>
              <w:pStyle w:val="96"/>
              <w:jc w:val="both"/>
              <w:rPr>
                <w:rFonts w:hint="default"/>
                <w:sz w:val="24"/>
                <w:szCs w:val="24"/>
                <w:u w:val="none" w:color="auto"/>
                <w:lang w:val="en-US" w:eastAsia="zh-CN"/>
              </w:rPr>
            </w:pPr>
            <w:r>
              <w:rPr>
                <w:rFonts w:hint="eastAsia"/>
                <w:sz w:val="24"/>
                <w:szCs w:val="24"/>
                <w:u w:val="none" w:color="auto"/>
                <w:lang w:val="en-US" w:eastAsia="zh-CN"/>
              </w:rPr>
              <w:t>废包装材料</w:t>
            </w:r>
          </w:p>
        </w:tc>
        <w:tc>
          <w:tcPr>
            <w:tcW w:w="1480" w:type="dxa"/>
            <w:vMerge w:val="continue"/>
            <w:tcBorders>
              <w:tl2br w:val="nil"/>
              <w:tr2bl w:val="nil"/>
            </w:tcBorders>
            <w:noWrap w:val="0"/>
            <w:vAlign w:val="center"/>
          </w:tcPr>
          <w:p w14:paraId="55C0EDD2">
            <w:pPr>
              <w:adjustRightInd w:val="0"/>
              <w:snapToGrid w:val="0"/>
              <w:jc w:val="both"/>
              <w:rPr>
                <w:rFonts w:hint="eastAsia"/>
                <w:sz w:val="24"/>
                <w:szCs w:val="24"/>
                <w:u w:val="none" w:color="auto"/>
                <w:lang w:val="en-US" w:eastAsia="zh-CN"/>
              </w:rPr>
            </w:pPr>
          </w:p>
        </w:tc>
        <w:tc>
          <w:tcPr>
            <w:tcW w:w="1221" w:type="dxa"/>
            <w:vMerge w:val="continue"/>
            <w:tcBorders>
              <w:tl2br w:val="nil"/>
              <w:tr2bl w:val="nil"/>
            </w:tcBorders>
            <w:noWrap w:val="0"/>
            <w:vAlign w:val="center"/>
          </w:tcPr>
          <w:p w14:paraId="4C12F643">
            <w:pPr>
              <w:adjustRightInd w:val="0"/>
              <w:snapToGrid w:val="0"/>
              <w:jc w:val="both"/>
              <w:rPr>
                <w:rFonts w:hint="eastAsia"/>
                <w:sz w:val="24"/>
                <w:szCs w:val="24"/>
                <w:u w:val="none" w:color="auto"/>
                <w:lang w:val="en-US" w:eastAsia="zh-CN"/>
              </w:rPr>
            </w:pPr>
          </w:p>
        </w:tc>
        <w:tc>
          <w:tcPr>
            <w:tcW w:w="2692" w:type="dxa"/>
            <w:vMerge w:val="continue"/>
            <w:tcBorders>
              <w:tl2br w:val="nil"/>
              <w:tr2bl w:val="nil"/>
            </w:tcBorders>
            <w:noWrap w:val="0"/>
            <w:vAlign w:val="center"/>
          </w:tcPr>
          <w:p w14:paraId="1C310FFA">
            <w:pPr>
              <w:widowControl/>
              <w:adjustRightInd w:val="0"/>
              <w:snapToGrid w:val="0"/>
              <w:jc w:val="center"/>
              <w:rPr>
                <w:sz w:val="24"/>
                <w:szCs w:val="24"/>
                <w:u w:val="none" w:color="auto"/>
              </w:rPr>
            </w:pPr>
          </w:p>
        </w:tc>
      </w:tr>
      <w:tr w14:paraId="40670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219" w:type="dxa"/>
            <w:vMerge w:val="continue"/>
            <w:tcBorders>
              <w:tl2br w:val="nil"/>
              <w:tr2bl w:val="nil"/>
            </w:tcBorders>
            <w:noWrap w:val="0"/>
            <w:vAlign w:val="center"/>
          </w:tcPr>
          <w:p w14:paraId="15960650">
            <w:pPr>
              <w:adjustRightInd w:val="0"/>
              <w:snapToGrid w:val="0"/>
              <w:jc w:val="center"/>
              <w:rPr>
                <w:sz w:val="24"/>
                <w:szCs w:val="24"/>
                <w:u w:val="none" w:color="auto"/>
              </w:rPr>
            </w:pPr>
          </w:p>
        </w:tc>
        <w:tc>
          <w:tcPr>
            <w:tcW w:w="897" w:type="dxa"/>
            <w:vMerge w:val="restart"/>
            <w:tcBorders>
              <w:tl2br w:val="nil"/>
              <w:tr2bl w:val="nil"/>
            </w:tcBorders>
            <w:noWrap w:val="0"/>
            <w:vAlign w:val="center"/>
          </w:tcPr>
          <w:p w14:paraId="0AA09BA8">
            <w:pPr>
              <w:widowControl/>
              <w:jc w:val="center"/>
              <w:rPr>
                <w:sz w:val="24"/>
                <w:szCs w:val="24"/>
                <w:u w:val="none" w:color="auto"/>
              </w:rPr>
            </w:pPr>
            <w:r>
              <w:rPr>
                <w:rFonts w:hint="eastAsia"/>
                <w:sz w:val="24"/>
                <w:szCs w:val="24"/>
                <w:u w:val="none" w:color="auto"/>
              </w:rPr>
              <w:t>危险废物</w:t>
            </w:r>
          </w:p>
        </w:tc>
        <w:tc>
          <w:tcPr>
            <w:tcW w:w="1307" w:type="dxa"/>
            <w:tcBorders>
              <w:tl2br w:val="nil"/>
              <w:tr2bl w:val="nil"/>
            </w:tcBorders>
            <w:noWrap w:val="0"/>
            <w:vAlign w:val="center"/>
          </w:tcPr>
          <w:p w14:paraId="6CB57D5C">
            <w:pPr>
              <w:pStyle w:val="96"/>
              <w:jc w:val="both"/>
              <w:rPr>
                <w:rFonts w:hint="default"/>
                <w:sz w:val="24"/>
                <w:szCs w:val="24"/>
                <w:u w:val="none" w:color="auto"/>
                <w:lang w:val="en-US" w:eastAsia="zh-CN"/>
              </w:rPr>
            </w:pPr>
            <w:r>
              <w:rPr>
                <w:rFonts w:hint="eastAsia"/>
                <w:sz w:val="24"/>
                <w:szCs w:val="24"/>
                <w:u w:val="none" w:color="auto"/>
                <w:lang w:val="en-US" w:eastAsia="zh-CN"/>
              </w:rPr>
              <w:t>废机油</w:t>
            </w:r>
          </w:p>
        </w:tc>
        <w:tc>
          <w:tcPr>
            <w:tcW w:w="1480" w:type="dxa"/>
            <w:vMerge w:val="restart"/>
            <w:tcBorders>
              <w:tl2br w:val="nil"/>
              <w:tr2bl w:val="nil"/>
            </w:tcBorders>
            <w:noWrap w:val="0"/>
            <w:vAlign w:val="center"/>
          </w:tcPr>
          <w:p w14:paraId="4F1A235D">
            <w:pPr>
              <w:widowControl/>
              <w:adjustRightInd w:val="0"/>
              <w:snapToGrid w:val="0"/>
              <w:jc w:val="both"/>
              <w:rPr>
                <w:rFonts w:hint="eastAsia"/>
                <w:sz w:val="24"/>
                <w:szCs w:val="24"/>
                <w:u w:val="none" w:color="auto"/>
              </w:rPr>
            </w:pPr>
            <w:r>
              <w:rPr>
                <w:rFonts w:hint="eastAsia"/>
                <w:sz w:val="24"/>
                <w:szCs w:val="24"/>
                <w:u w:val="none" w:color="auto"/>
                <w:lang w:val="en-US" w:eastAsia="zh-CN"/>
              </w:rPr>
              <w:t>30</w:t>
            </w:r>
            <w:r>
              <w:rPr>
                <w:rFonts w:hint="eastAsia"/>
                <w:sz w:val="24"/>
                <w:szCs w:val="24"/>
                <w:u w:val="none" w:color="auto"/>
              </w:rPr>
              <w:t>m</w:t>
            </w:r>
            <w:r>
              <w:rPr>
                <w:rFonts w:hint="eastAsia"/>
                <w:sz w:val="24"/>
                <w:szCs w:val="24"/>
                <w:u w:val="none" w:color="auto"/>
                <w:vertAlign w:val="superscript"/>
              </w:rPr>
              <w:t>2</w:t>
            </w:r>
            <w:r>
              <w:rPr>
                <w:rFonts w:hint="eastAsia"/>
                <w:sz w:val="24"/>
                <w:szCs w:val="24"/>
                <w:u w:val="none" w:color="auto"/>
              </w:rPr>
              <w:t>危险废物暂存间暂存</w:t>
            </w:r>
          </w:p>
        </w:tc>
        <w:tc>
          <w:tcPr>
            <w:tcW w:w="1221" w:type="dxa"/>
            <w:vMerge w:val="restart"/>
            <w:tcBorders>
              <w:tl2br w:val="nil"/>
              <w:tr2bl w:val="nil"/>
            </w:tcBorders>
            <w:noWrap w:val="0"/>
            <w:vAlign w:val="center"/>
          </w:tcPr>
          <w:p w14:paraId="7CBFBA26">
            <w:pPr>
              <w:adjustRightInd w:val="0"/>
              <w:snapToGrid w:val="0"/>
              <w:jc w:val="both"/>
              <w:rPr>
                <w:sz w:val="24"/>
                <w:szCs w:val="24"/>
                <w:u w:val="none" w:color="auto"/>
              </w:rPr>
            </w:pPr>
            <w:r>
              <w:rPr>
                <w:rFonts w:hint="eastAsia"/>
                <w:sz w:val="24"/>
                <w:szCs w:val="24"/>
                <w:u w:val="none" w:color="auto"/>
              </w:rPr>
              <w:t>暂存于危废间，委托有资质单位处置</w:t>
            </w:r>
          </w:p>
        </w:tc>
        <w:tc>
          <w:tcPr>
            <w:tcW w:w="2692" w:type="dxa"/>
            <w:vMerge w:val="restart"/>
            <w:tcBorders>
              <w:tl2br w:val="nil"/>
              <w:tr2bl w:val="nil"/>
            </w:tcBorders>
            <w:noWrap w:val="0"/>
            <w:vAlign w:val="center"/>
          </w:tcPr>
          <w:p w14:paraId="159D1A1D">
            <w:pPr>
              <w:widowControl/>
              <w:jc w:val="center"/>
              <w:rPr>
                <w:sz w:val="24"/>
                <w:szCs w:val="24"/>
                <w:highlight w:val="yellow"/>
                <w:u w:val="none" w:color="auto"/>
              </w:rPr>
            </w:pPr>
            <w:r>
              <w:rPr>
                <w:sz w:val="24"/>
                <w:szCs w:val="24"/>
                <w:u w:val="none" w:color="auto"/>
              </w:rPr>
              <w:t>《危险废物贮存污染控制标准》（GB18597-</w:t>
            </w:r>
            <w:r>
              <w:rPr>
                <w:rFonts w:hint="eastAsia"/>
                <w:sz w:val="24"/>
                <w:szCs w:val="24"/>
                <w:u w:val="none" w:color="auto"/>
              </w:rPr>
              <w:t>2023</w:t>
            </w:r>
            <w:r>
              <w:rPr>
                <w:sz w:val="24"/>
                <w:szCs w:val="24"/>
                <w:u w:val="none" w:color="auto"/>
              </w:rPr>
              <w:t>）</w:t>
            </w:r>
          </w:p>
        </w:tc>
      </w:tr>
      <w:tr w14:paraId="50737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219" w:type="dxa"/>
            <w:vMerge w:val="continue"/>
            <w:tcBorders>
              <w:tl2br w:val="nil"/>
              <w:tr2bl w:val="nil"/>
            </w:tcBorders>
            <w:noWrap w:val="0"/>
            <w:vAlign w:val="center"/>
          </w:tcPr>
          <w:p w14:paraId="4C98F9EA">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77559293">
            <w:pPr>
              <w:widowControl/>
              <w:jc w:val="center"/>
              <w:rPr>
                <w:rFonts w:hint="eastAsia"/>
                <w:sz w:val="24"/>
                <w:szCs w:val="24"/>
                <w:u w:val="none" w:color="auto"/>
              </w:rPr>
            </w:pPr>
          </w:p>
        </w:tc>
        <w:tc>
          <w:tcPr>
            <w:tcW w:w="1307" w:type="dxa"/>
            <w:tcBorders>
              <w:tl2br w:val="nil"/>
              <w:tr2bl w:val="nil"/>
            </w:tcBorders>
            <w:noWrap w:val="0"/>
            <w:vAlign w:val="center"/>
          </w:tcPr>
          <w:p w14:paraId="586F1BED">
            <w:pPr>
              <w:pStyle w:val="96"/>
              <w:rPr>
                <w:rFonts w:hint="default"/>
                <w:sz w:val="24"/>
                <w:szCs w:val="24"/>
                <w:u w:val="none" w:color="auto"/>
                <w:lang w:val="en-US" w:eastAsia="zh-CN"/>
              </w:rPr>
            </w:pPr>
            <w:r>
              <w:rPr>
                <w:rFonts w:hint="eastAsia"/>
                <w:sz w:val="24"/>
                <w:szCs w:val="24"/>
                <w:u w:val="none" w:color="auto"/>
                <w:lang w:val="en-US" w:eastAsia="zh-CN"/>
              </w:rPr>
              <w:t>废活性炭</w:t>
            </w:r>
          </w:p>
        </w:tc>
        <w:tc>
          <w:tcPr>
            <w:tcW w:w="1480" w:type="dxa"/>
            <w:vMerge w:val="continue"/>
            <w:tcBorders>
              <w:tl2br w:val="nil"/>
              <w:tr2bl w:val="nil"/>
            </w:tcBorders>
            <w:noWrap w:val="0"/>
            <w:vAlign w:val="center"/>
          </w:tcPr>
          <w:p w14:paraId="337FBFEE">
            <w:pPr>
              <w:widowControl/>
              <w:adjustRightInd w:val="0"/>
              <w:snapToGrid w:val="0"/>
              <w:jc w:val="center"/>
              <w:rPr>
                <w:rFonts w:hint="eastAsia"/>
                <w:sz w:val="24"/>
                <w:szCs w:val="24"/>
                <w:u w:val="none" w:color="auto"/>
              </w:rPr>
            </w:pPr>
          </w:p>
        </w:tc>
        <w:tc>
          <w:tcPr>
            <w:tcW w:w="1221" w:type="dxa"/>
            <w:vMerge w:val="continue"/>
            <w:tcBorders>
              <w:tl2br w:val="nil"/>
              <w:tr2bl w:val="nil"/>
            </w:tcBorders>
            <w:noWrap w:val="0"/>
            <w:vAlign w:val="center"/>
          </w:tcPr>
          <w:p w14:paraId="37F42799">
            <w:pPr>
              <w:adjustRightInd w:val="0"/>
              <w:snapToGrid w:val="0"/>
              <w:jc w:val="center"/>
              <w:rPr>
                <w:sz w:val="24"/>
                <w:szCs w:val="24"/>
                <w:u w:val="none" w:color="auto"/>
              </w:rPr>
            </w:pPr>
          </w:p>
        </w:tc>
        <w:tc>
          <w:tcPr>
            <w:tcW w:w="2692" w:type="dxa"/>
            <w:vMerge w:val="continue"/>
            <w:tcBorders>
              <w:tl2br w:val="nil"/>
              <w:tr2bl w:val="nil"/>
            </w:tcBorders>
            <w:noWrap w:val="0"/>
            <w:vAlign w:val="center"/>
          </w:tcPr>
          <w:p w14:paraId="52A6C45F">
            <w:pPr>
              <w:widowControl/>
              <w:jc w:val="center"/>
              <w:rPr>
                <w:sz w:val="24"/>
                <w:szCs w:val="24"/>
                <w:highlight w:val="yellow"/>
                <w:u w:val="none" w:color="auto"/>
              </w:rPr>
            </w:pPr>
          </w:p>
        </w:tc>
      </w:tr>
      <w:tr w14:paraId="30D2F8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219" w:type="dxa"/>
            <w:vMerge w:val="continue"/>
            <w:tcBorders>
              <w:tl2br w:val="nil"/>
              <w:tr2bl w:val="nil"/>
            </w:tcBorders>
            <w:noWrap w:val="0"/>
            <w:vAlign w:val="center"/>
          </w:tcPr>
          <w:p w14:paraId="4BED743E">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70FB8D45">
            <w:pPr>
              <w:widowControl/>
              <w:jc w:val="center"/>
              <w:rPr>
                <w:rFonts w:hint="eastAsia"/>
                <w:sz w:val="24"/>
                <w:szCs w:val="24"/>
                <w:u w:val="none" w:color="auto"/>
              </w:rPr>
            </w:pPr>
          </w:p>
        </w:tc>
        <w:tc>
          <w:tcPr>
            <w:tcW w:w="1307" w:type="dxa"/>
            <w:tcBorders>
              <w:tl2br w:val="nil"/>
              <w:tr2bl w:val="nil"/>
            </w:tcBorders>
            <w:noWrap w:val="0"/>
            <w:vAlign w:val="center"/>
          </w:tcPr>
          <w:p w14:paraId="1EB2E617">
            <w:pPr>
              <w:pStyle w:val="96"/>
              <w:rPr>
                <w:rFonts w:hint="default"/>
                <w:sz w:val="24"/>
                <w:szCs w:val="24"/>
                <w:u w:val="none" w:color="auto"/>
                <w:lang w:val="en-US" w:eastAsia="zh-CN"/>
              </w:rPr>
            </w:pPr>
            <w:r>
              <w:rPr>
                <w:rFonts w:hint="eastAsia"/>
                <w:sz w:val="24"/>
                <w:szCs w:val="24"/>
                <w:u w:val="none" w:color="auto"/>
                <w:lang w:val="en-US" w:eastAsia="zh-CN"/>
              </w:rPr>
              <w:t>沉淀污泥</w:t>
            </w:r>
          </w:p>
        </w:tc>
        <w:tc>
          <w:tcPr>
            <w:tcW w:w="1480" w:type="dxa"/>
            <w:vMerge w:val="continue"/>
            <w:tcBorders>
              <w:tl2br w:val="nil"/>
              <w:tr2bl w:val="nil"/>
            </w:tcBorders>
            <w:noWrap w:val="0"/>
            <w:vAlign w:val="center"/>
          </w:tcPr>
          <w:p w14:paraId="10208CD7">
            <w:pPr>
              <w:widowControl/>
              <w:adjustRightInd w:val="0"/>
              <w:snapToGrid w:val="0"/>
              <w:jc w:val="center"/>
              <w:rPr>
                <w:rFonts w:hint="eastAsia"/>
                <w:sz w:val="24"/>
                <w:szCs w:val="24"/>
                <w:u w:val="none" w:color="auto"/>
              </w:rPr>
            </w:pPr>
          </w:p>
        </w:tc>
        <w:tc>
          <w:tcPr>
            <w:tcW w:w="1221" w:type="dxa"/>
            <w:vMerge w:val="continue"/>
            <w:tcBorders>
              <w:tl2br w:val="nil"/>
              <w:tr2bl w:val="nil"/>
            </w:tcBorders>
            <w:noWrap w:val="0"/>
            <w:vAlign w:val="center"/>
          </w:tcPr>
          <w:p w14:paraId="50041F57">
            <w:pPr>
              <w:adjustRightInd w:val="0"/>
              <w:snapToGrid w:val="0"/>
              <w:jc w:val="center"/>
              <w:rPr>
                <w:sz w:val="24"/>
                <w:szCs w:val="24"/>
                <w:u w:val="none" w:color="auto"/>
              </w:rPr>
            </w:pPr>
          </w:p>
        </w:tc>
        <w:tc>
          <w:tcPr>
            <w:tcW w:w="2692" w:type="dxa"/>
            <w:vMerge w:val="continue"/>
            <w:tcBorders>
              <w:tl2br w:val="nil"/>
              <w:tr2bl w:val="nil"/>
            </w:tcBorders>
            <w:noWrap w:val="0"/>
            <w:vAlign w:val="center"/>
          </w:tcPr>
          <w:p w14:paraId="3F8B1021">
            <w:pPr>
              <w:widowControl/>
              <w:jc w:val="center"/>
              <w:rPr>
                <w:sz w:val="24"/>
                <w:szCs w:val="24"/>
                <w:highlight w:val="yellow"/>
                <w:u w:val="none" w:color="auto"/>
              </w:rPr>
            </w:pPr>
          </w:p>
        </w:tc>
      </w:tr>
      <w:tr w14:paraId="7B4496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219" w:type="dxa"/>
            <w:vMerge w:val="continue"/>
            <w:tcBorders>
              <w:tl2br w:val="nil"/>
              <w:tr2bl w:val="nil"/>
            </w:tcBorders>
            <w:noWrap w:val="0"/>
            <w:vAlign w:val="center"/>
          </w:tcPr>
          <w:p w14:paraId="0F15DE71">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4C946354">
            <w:pPr>
              <w:widowControl/>
              <w:jc w:val="center"/>
              <w:rPr>
                <w:rFonts w:hint="eastAsia"/>
                <w:sz w:val="24"/>
                <w:szCs w:val="24"/>
                <w:u w:val="none" w:color="auto"/>
              </w:rPr>
            </w:pPr>
          </w:p>
        </w:tc>
        <w:tc>
          <w:tcPr>
            <w:tcW w:w="1307" w:type="dxa"/>
            <w:tcBorders>
              <w:tl2br w:val="nil"/>
              <w:tr2bl w:val="nil"/>
            </w:tcBorders>
            <w:noWrap w:val="0"/>
            <w:vAlign w:val="center"/>
          </w:tcPr>
          <w:p w14:paraId="3B49D2A9">
            <w:pPr>
              <w:pStyle w:val="96"/>
              <w:rPr>
                <w:rFonts w:hint="eastAsia"/>
                <w:sz w:val="24"/>
                <w:szCs w:val="24"/>
                <w:u w:val="none" w:color="auto"/>
                <w:lang w:val="en-US" w:eastAsia="zh-CN"/>
              </w:rPr>
            </w:pPr>
            <w:r>
              <w:rPr>
                <w:rFonts w:hint="eastAsia"/>
                <w:sz w:val="24"/>
                <w:szCs w:val="24"/>
                <w:u w:val="none" w:color="auto"/>
                <w:lang w:val="en-US" w:eastAsia="zh-CN"/>
              </w:rPr>
              <w:t>废催化剂</w:t>
            </w:r>
          </w:p>
        </w:tc>
        <w:tc>
          <w:tcPr>
            <w:tcW w:w="1480" w:type="dxa"/>
            <w:vMerge w:val="continue"/>
            <w:tcBorders>
              <w:tl2br w:val="nil"/>
              <w:tr2bl w:val="nil"/>
            </w:tcBorders>
            <w:noWrap w:val="0"/>
            <w:vAlign w:val="center"/>
          </w:tcPr>
          <w:p w14:paraId="13074A03">
            <w:pPr>
              <w:widowControl/>
              <w:adjustRightInd w:val="0"/>
              <w:snapToGrid w:val="0"/>
              <w:jc w:val="center"/>
              <w:rPr>
                <w:rFonts w:hint="eastAsia"/>
                <w:sz w:val="24"/>
                <w:szCs w:val="24"/>
                <w:u w:val="none" w:color="auto"/>
              </w:rPr>
            </w:pPr>
          </w:p>
        </w:tc>
        <w:tc>
          <w:tcPr>
            <w:tcW w:w="1221" w:type="dxa"/>
            <w:vMerge w:val="continue"/>
            <w:tcBorders>
              <w:tl2br w:val="nil"/>
              <w:tr2bl w:val="nil"/>
            </w:tcBorders>
            <w:noWrap w:val="0"/>
            <w:vAlign w:val="center"/>
          </w:tcPr>
          <w:p w14:paraId="7D515B68">
            <w:pPr>
              <w:adjustRightInd w:val="0"/>
              <w:snapToGrid w:val="0"/>
              <w:jc w:val="center"/>
              <w:rPr>
                <w:sz w:val="24"/>
                <w:szCs w:val="24"/>
                <w:u w:val="none" w:color="auto"/>
              </w:rPr>
            </w:pPr>
          </w:p>
        </w:tc>
        <w:tc>
          <w:tcPr>
            <w:tcW w:w="2692" w:type="dxa"/>
            <w:vMerge w:val="continue"/>
            <w:tcBorders>
              <w:tl2br w:val="nil"/>
              <w:tr2bl w:val="nil"/>
            </w:tcBorders>
            <w:noWrap w:val="0"/>
            <w:vAlign w:val="center"/>
          </w:tcPr>
          <w:p w14:paraId="0186258D">
            <w:pPr>
              <w:widowControl/>
              <w:jc w:val="center"/>
              <w:rPr>
                <w:sz w:val="24"/>
                <w:szCs w:val="24"/>
                <w:highlight w:val="yellow"/>
                <w:u w:val="none" w:color="auto"/>
              </w:rPr>
            </w:pPr>
          </w:p>
        </w:tc>
      </w:tr>
      <w:tr w14:paraId="3EFB5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19" w:type="dxa"/>
            <w:vMerge w:val="continue"/>
            <w:tcBorders>
              <w:tl2br w:val="nil"/>
              <w:tr2bl w:val="nil"/>
            </w:tcBorders>
            <w:noWrap w:val="0"/>
            <w:vAlign w:val="center"/>
          </w:tcPr>
          <w:p w14:paraId="0C49F52F">
            <w:pPr>
              <w:adjustRightInd w:val="0"/>
              <w:snapToGrid w:val="0"/>
              <w:jc w:val="center"/>
              <w:rPr>
                <w:sz w:val="24"/>
                <w:szCs w:val="24"/>
                <w:u w:val="none" w:color="auto"/>
              </w:rPr>
            </w:pPr>
          </w:p>
        </w:tc>
        <w:tc>
          <w:tcPr>
            <w:tcW w:w="897" w:type="dxa"/>
            <w:vMerge w:val="continue"/>
            <w:tcBorders>
              <w:tl2br w:val="nil"/>
              <w:tr2bl w:val="nil"/>
            </w:tcBorders>
            <w:noWrap w:val="0"/>
            <w:vAlign w:val="center"/>
          </w:tcPr>
          <w:p w14:paraId="5C398ACE">
            <w:pPr>
              <w:widowControl/>
              <w:jc w:val="center"/>
              <w:rPr>
                <w:rFonts w:hint="eastAsia"/>
                <w:sz w:val="24"/>
                <w:szCs w:val="24"/>
                <w:u w:val="none" w:color="auto"/>
              </w:rPr>
            </w:pPr>
          </w:p>
        </w:tc>
        <w:tc>
          <w:tcPr>
            <w:tcW w:w="1307" w:type="dxa"/>
            <w:tcBorders>
              <w:tl2br w:val="nil"/>
              <w:tr2bl w:val="nil"/>
            </w:tcBorders>
            <w:noWrap w:val="0"/>
            <w:vAlign w:val="center"/>
          </w:tcPr>
          <w:p w14:paraId="503B3D28">
            <w:pPr>
              <w:pStyle w:val="96"/>
              <w:rPr>
                <w:rFonts w:hint="default"/>
                <w:sz w:val="24"/>
                <w:szCs w:val="24"/>
                <w:u w:val="none" w:color="auto"/>
                <w:lang w:val="en-US" w:eastAsia="zh-CN"/>
              </w:rPr>
            </w:pPr>
            <w:r>
              <w:rPr>
                <w:rFonts w:hint="eastAsia"/>
                <w:sz w:val="24"/>
                <w:szCs w:val="24"/>
                <w:u w:val="none" w:color="auto"/>
                <w:lang w:val="en-US" w:eastAsia="zh-CN"/>
              </w:rPr>
              <w:t>检测废液</w:t>
            </w:r>
          </w:p>
        </w:tc>
        <w:tc>
          <w:tcPr>
            <w:tcW w:w="1480" w:type="dxa"/>
            <w:vMerge w:val="continue"/>
            <w:tcBorders>
              <w:tl2br w:val="nil"/>
              <w:tr2bl w:val="nil"/>
            </w:tcBorders>
            <w:noWrap w:val="0"/>
            <w:vAlign w:val="center"/>
          </w:tcPr>
          <w:p w14:paraId="6B9B7007">
            <w:pPr>
              <w:widowControl/>
              <w:adjustRightInd w:val="0"/>
              <w:snapToGrid w:val="0"/>
              <w:jc w:val="center"/>
              <w:rPr>
                <w:rFonts w:hint="eastAsia"/>
                <w:sz w:val="24"/>
                <w:szCs w:val="24"/>
                <w:u w:val="none" w:color="auto"/>
              </w:rPr>
            </w:pPr>
          </w:p>
        </w:tc>
        <w:tc>
          <w:tcPr>
            <w:tcW w:w="1221" w:type="dxa"/>
            <w:vMerge w:val="continue"/>
            <w:tcBorders>
              <w:tl2br w:val="nil"/>
              <w:tr2bl w:val="nil"/>
            </w:tcBorders>
            <w:noWrap w:val="0"/>
            <w:vAlign w:val="center"/>
          </w:tcPr>
          <w:p w14:paraId="6BED9D19">
            <w:pPr>
              <w:adjustRightInd w:val="0"/>
              <w:snapToGrid w:val="0"/>
              <w:jc w:val="center"/>
              <w:rPr>
                <w:sz w:val="24"/>
                <w:szCs w:val="24"/>
                <w:u w:val="none" w:color="auto"/>
              </w:rPr>
            </w:pPr>
          </w:p>
        </w:tc>
        <w:tc>
          <w:tcPr>
            <w:tcW w:w="2692" w:type="dxa"/>
            <w:vMerge w:val="continue"/>
            <w:tcBorders>
              <w:tl2br w:val="nil"/>
              <w:tr2bl w:val="nil"/>
            </w:tcBorders>
            <w:noWrap w:val="0"/>
            <w:vAlign w:val="center"/>
          </w:tcPr>
          <w:p w14:paraId="6DF5F694">
            <w:pPr>
              <w:widowControl/>
              <w:jc w:val="center"/>
              <w:rPr>
                <w:sz w:val="24"/>
                <w:szCs w:val="24"/>
                <w:highlight w:val="yellow"/>
                <w:u w:val="none" w:color="auto"/>
              </w:rPr>
            </w:pPr>
          </w:p>
        </w:tc>
      </w:tr>
      <w:tr w14:paraId="78ECCC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219" w:type="dxa"/>
            <w:tcBorders>
              <w:tl2br w:val="nil"/>
              <w:tr2bl w:val="nil"/>
            </w:tcBorders>
            <w:noWrap w:val="0"/>
            <w:vAlign w:val="center"/>
          </w:tcPr>
          <w:p w14:paraId="6B7297A8">
            <w:pPr>
              <w:adjustRightInd w:val="0"/>
              <w:snapToGrid w:val="0"/>
              <w:jc w:val="center"/>
              <w:rPr>
                <w:sz w:val="24"/>
                <w:szCs w:val="24"/>
                <w:u w:val="none" w:color="auto"/>
              </w:rPr>
            </w:pPr>
            <w:r>
              <w:rPr>
                <w:sz w:val="24"/>
                <w:szCs w:val="24"/>
                <w:u w:val="none" w:color="auto"/>
              </w:rPr>
              <w:t>土壤及地下水污染防治措施</w:t>
            </w:r>
          </w:p>
        </w:tc>
        <w:tc>
          <w:tcPr>
            <w:tcW w:w="7597" w:type="dxa"/>
            <w:gridSpan w:val="5"/>
            <w:tcBorders>
              <w:tl2br w:val="nil"/>
              <w:tr2bl w:val="nil"/>
            </w:tcBorders>
            <w:noWrap w:val="0"/>
            <w:vAlign w:val="center"/>
          </w:tcPr>
          <w:p w14:paraId="67344B7A">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rPr>
            </w:pPr>
            <w:r>
              <w:rPr>
                <w:rFonts w:hint="eastAsia"/>
                <w:sz w:val="24"/>
                <w:szCs w:val="24"/>
                <w:highlight w:val="none"/>
                <w:u w:val="none" w:color="auto"/>
              </w:rPr>
              <w:t>本项目不涉及地下水、土壤污染。厂区内地面已进行了水泥硬化及植被绿化，无大片裸露土地，对地下水、土壤造成影响较小。</w:t>
            </w:r>
          </w:p>
          <w:p w14:paraId="302C3E48">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rPr>
            </w:pPr>
            <w:r>
              <w:rPr>
                <w:rFonts w:hint="eastAsia"/>
                <w:sz w:val="24"/>
                <w:szCs w:val="24"/>
                <w:highlight w:val="none"/>
                <w:u w:val="none" w:color="auto"/>
              </w:rPr>
              <w:t>为减轻或避免对土壤造成不利影响，对项目建设提出相应的控制措施，具体如下：</w:t>
            </w:r>
          </w:p>
          <w:p w14:paraId="2AD231E1">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rPr>
            </w:pPr>
            <w:r>
              <w:rPr>
                <w:rFonts w:hint="eastAsia"/>
                <w:sz w:val="24"/>
                <w:szCs w:val="24"/>
                <w:highlight w:val="none"/>
                <w:u w:val="none" w:color="auto"/>
              </w:rPr>
              <w:t>（1）源头控制</w:t>
            </w:r>
          </w:p>
          <w:p w14:paraId="76C06285">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rPr>
            </w:pPr>
            <w:r>
              <w:rPr>
                <w:rFonts w:hint="eastAsia"/>
                <w:sz w:val="24"/>
                <w:szCs w:val="24"/>
                <w:highlight w:val="none"/>
                <w:u w:val="none" w:color="auto"/>
              </w:rPr>
              <w:t>企业应加强管理，安排专职人员管理，定期检查生产车间地面状况，预防地面破损、开裂；生产设备定期检查维护，从而预防泄漏的发生。</w:t>
            </w:r>
          </w:p>
          <w:p w14:paraId="343E93C2">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rPr>
            </w:pPr>
            <w:r>
              <w:rPr>
                <w:rFonts w:hint="eastAsia"/>
                <w:sz w:val="24"/>
                <w:szCs w:val="24"/>
                <w:highlight w:val="none"/>
                <w:u w:val="none" w:color="auto"/>
              </w:rPr>
              <w:t>（2）过程防控措施</w:t>
            </w:r>
          </w:p>
          <w:p w14:paraId="4BCE604F">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sz w:val="24"/>
                <w:szCs w:val="24"/>
                <w:u w:val="none" w:color="auto"/>
              </w:rPr>
            </w:pPr>
            <w:r>
              <w:rPr>
                <w:rFonts w:hint="eastAsia"/>
                <w:sz w:val="24"/>
                <w:szCs w:val="24"/>
                <w:highlight w:val="none"/>
                <w:u w:val="none" w:color="auto"/>
              </w:rPr>
              <w:t>生产车间地面应按照相关要求做好防渗工作，避免出现</w:t>
            </w:r>
            <w:r>
              <w:rPr>
                <w:rFonts w:hint="eastAsia"/>
                <w:sz w:val="24"/>
                <w:szCs w:val="24"/>
                <w:highlight w:val="none"/>
                <w:u w:val="none" w:color="auto"/>
                <w:lang w:eastAsia="zh-CN"/>
              </w:rPr>
              <w:t>泄漏</w:t>
            </w:r>
            <w:r>
              <w:rPr>
                <w:rFonts w:hint="eastAsia"/>
                <w:sz w:val="24"/>
                <w:szCs w:val="24"/>
                <w:highlight w:val="none"/>
                <w:u w:val="none" w:color="auto"/>
              </w:rPr>
              <w:t>等现象的发生。在发现地面破损、开裂、设备故障等情况下，应立即切断电源，禁止设备故障运行，对地面进行修补，将地面开裂处受污染的土壤移出，避免进一步入渗引起下层土壤及地下水污染。</w:t>
            </w:r>
          </w:p>
        </w:tc>
      </w:tr>
      <w:tr w14:paraId="35529F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219" w:type="dxa"/>
            <w:tcBorders>
              <w:tl2br w:val="nil"/>
              <w:tr2bl w:val="nil"/>
            </w:tcBorders>
            <w:noWrap w:val="0"/>
            <w:vAlign w:val="center"/>
          </w:tcPr>
          <w:p w14:paraId="5B6A8DA8">
            <w:pPr>
              <w:adjustRightInd w:val="0"/>
              <w:snapToGrid w:val="0"/>
              <w:jc w:val="center"/>
              <w:rPr>
                <w:sz w:val="24"/>
                <w:szCs w:val="24"/>
                <w:u w:val="none" w:color="auto"/>
              </w:rPr>
            </w:pPr>
            <w:r>
              <w:rPr>
                <w:sz w:val="24"/>
                <w:szCs w:val="24"/>
                <w:u w:val="none" w:color="auto"/>
              </w:rPr>
              <w:t>生态保护措施</w:t>
            </w:r>
          </w:p>
        </w:tc>
        <w:tc>
          <w:tcPr>
            <w:tcW w:w="7597" w:type="dxa"/>
            <w:gridSpan w:val="5"/>
            <w:tcBorders>
              <w:tl2br w:val="nil"/>
              <w:tr2bl w:val="nil"/>
            </w:tcBorders>
            <w:noWrap w:val="0"/>
            <w:vAlign w:val="center"/>
          </w:tcPr>
          <w:p w14:paraId="07668A79">
            <w:pPr>
              <w:adjustRightInd w:val="0"/>
              <w:snapToGrid w:val="0"/>
              <w:jc w:val="center"/>
              <w:rPr>
                <w:rFonts w:hint="eastAsia" w:eastAsia="宋体"/>
                <w:sz w:val="24"/>
                <w:szCs w:val="24"/>
                <w:u w:val="none" w:color="auto"/>
                <w:lang w:val="en-US" w:eastAsia="zh-CN"/>
              </w:rPr>
            </w:pPr>
            <w:r>
              <w:rPr>
                <w:rFonts w:hint="eastAsia"/>
                <w:sz w:val="24"/>
                <w:szCs w:val="24"/>
                <w:u w:val="none" w:color="auto"/>
                <w:lang w:val="en-US" w:eastAsia="zh-CN"/>
              </w:rPr>
              <w:t>/</w:t>
            </w:r>
          </w:p>
        </w:tc>
      </w:tr>
      <w:tr w14:paraId="06D2AB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1219" w:type="dxa"/>
            <w:tcBorders>
              <w:tl2br w:val="nil"/>
              <w:tr2bl w:val="nil"/>
            </w:tcBorders>
            <w:noWrap w:val="0"/>
            <w:vAlign w:val="center"/>
          </w:tcPr>
          <w:p w14:paraId="11A1E1F4">
            <w:pPr>
              <w:adjustRightInd w:val="0"/>
              <w:snapToGrid w:val="0"/>
              <w:jc w:val="center"/>
              <w:rPr>
                <w:spacing w:val="-8"/>
                <w:sz w:val="24"/>
                <w:szCs w:val="24"/>
                <w:u w:val="none" w:color="auto"/>
              </w:rPr>
            </w:pPr>
            <w:r>
              <w:rPr>
                <w:spacing w:val="-8"/>
                <w:sz w:val="24"/>
                <w:szCs w:val="24"/>
                <w:u w:val="none" w:color="auto"/>
              </w:rPr>
              <w:t>环境风险</w:t>
            </w:r>
          </w:p>
          <w:p w14:paraId="027F1520">
            <w:pPr>
              <w:adjustRightInd w:val="0"/>
              <w:snapToGrid w:val="0"/>
              <w:jc w:val="center"/>
              <w:rPr>
                <w:spacing w:val="-8"/>
                <w:sz w:val="24"/>
                <w:szCs w:val="24"/>
                <w:u w:val="none" w:color="auto"/>
              </w:rPr>
            </w:pPr>
            <w:r>
              <w:rPr>
                <w:spacing w:val="-8"/>
                <w:sz w:val="24"/>
                <w:szCs w:val="24"/>
                <w:u w:val="none" w:color="auto"/>
              </w:rPr>
              <w:t>防范措施</w:t>
            </w:r>
          </w:p>
        </w:tc>
        <w:tc>
          <w:tcPr>
            <w:tcW w:w="7597" w:type="dxa"/>
            <w:gridSpan w:val="5"/>
            <w:tcBorders>
              <w:tl2br w:val="nil"/>
              <w:tr2bl w:val="nil"/>
            </w:tcBorders>
            <w:noWrap w:val="0"/>
            <w:vAlign w:val="center"/>
          </w:tcPr>
          <w:p w14:paraId="04D6EE9D">
            <w:pPr>
              <w:adjustRightInd w:val="0"/>
              <w:snapToGrid w:val="0"/>
              <w:spacing w:line="440" w:lineRule="exact"/>
              <w:ind w:firstLine="480" w:firstLineChars="200"/>
              <w:rPr>
                <w:rFonts w:hint="default" w:eastAsia="宋体"/>
                <w:sz w:val="24"/>
                <w:szCs w:val="24"/>
                <w:u w:val="none" w:color="auto"/>
                <w:lang w:val="en-US" w:eastAsia="zh-CN"/>
              </w:rPr>
            </w:pPr>
            <w:r>
              <w:rPr>
                <w:rFonts w:hint="default" w:eastAsia="宋体"/>
                <w:sz w:val="24"/>
                <w:szCs w:val="24"/>
                <w:u w:val="none" w:color="auto"/>
                <w:lang w:val="en-US" w:eastAsia="zh-CN"/>
              </w:rPr>
              <w:t>大气环境风险防范措施：现场应急救援物资；水环境风险防范措施：事故池</w:t>
            </w:r>
            <w:r>
              <w:rPr>
                <w:rFonts w:hint="eastAsia"/>
                <w:sz w:val="24"/>
                <w:szCs w:val="24"/>
                <w:u w:val="none" w:color="auto"/>
                <w:lang w:val="en-US" w:eastAsia="zh-CN"/>
              </w:rPr>
              <w:t>(容积为200m</w:t>
            </w:r>
            <w:r>
              <w:rPr>
                <w:rFonts w:hint="eastAsia"/>
                <w:sz w:val="24"/>
                <w:szCs w:val="24"/>
                <w:u w:val="none" w:color="auto"/>
                <w:vertAlign w:val="superscript"/>
                <w:lang w:val="en-US" w:eastAsia="zh-CN"/>
              </w:rPr>
              <w:t>3</w:t>
            </w:r>
            <w:r>
              <w:rPr>
                <w:rFonts w:hint="eastAsia"/>
                <w:sz w:val="24"/>
                <w:szCs w:val="24"/>
                <w:u w:val="none" w:color="auto"/>
                <w:lang w:val="en-US" w:eastAsia="zh-CN"/>
              </w:rPr>
              <w:t>)</w:t>
            </w:r>
            <w:r>
              <w:rPr>
                <w:rFonts w:hint="default" w:eastAsia="宋体"/>
                <w:sz w:val="24"/>
                <w:szCs w:val="24"/>
                <w:u w:val="none" w:color="auto"/>
                <w:lang w:val="en-US" w:eastAsia="zh-CN"/>
              </w:rPr>
              <w:t>、污水收集管网及拦挡系统；地下水采取源头控制、分区防渗相结合措施。</w:t>
            </w:r>
          </w:p>
          <w:p w14:paraId="79ACFB56">
            <w:pPr>
              <w:adjustRightInd w:val="0"/>
              <w:snapToGrid w:val="0"/>
              <w:spacing w:line="440" w:lineRule="exact"/>
              <w:ind w:firstLine="480" w:firstLineChars="200"/>
              <w:rPr>
                <w:rFonts w:hint="default" w:eastAsia="宋体"/>
                <w:sz w:val="24"/>
                <w:szCs w:val="24"/>
                <w:u w:val="none" w:color="auto"/>
                <w:lang w:val="en-US" w:eastAsia="zh-CN"/>
              </w:rPr>
            </w:pPr>
            <w:r>
              <w:rPr>
                <w:rFonts w:hint="default" w:eastAsia="宋体"/>
                <w:sz w:val="24"/>
                <w:szCs w:val="24"/>
                <w:u w:val="none" w:color="auto"/>
                <w:lang w:val="en-US" w:eastAsia="zh-CN"/>
              </w:rPr>
              <w:t>其他保障措施：按照工艺设计及安评内容合理布局总平面、采用DCS自动控制</w:t>
            </w:r>
            <w:r>
              <w:rPr>
                <w:rFonts w:hint="eastAsia"/>
                <w:sz w:val="24"/>
                <w:szCs w:val="24"/>
                <w:u w:val="none" w:color="auto"/>
                <w:lang w:val="en-US" w:eastAsia="zh-CN"/>
              </w:rPr>
              <w:t>系统</w:t>
            </w:r>
            <w:r>
              <w:rPr>
                <w:rFonts w:hint="default" w:eastAsia="宋体"/>
                <w:sz w:val="24"/>
                <w:szCs w:val="24"/>
                <w:u w:val="none" w:color="auto"/>
                <w:lang w:val="en-US" w:eastAsia="zh-CN"/>
              </w:rPr>
              <w:t>、双回路电源、</w:t>
            </w:r>
            <w:r>
              <w:rPr>
                <w:rFonts w:hint="eastAsia"/>
                <w:sz w:val="24"/>
                <w:szCs w:val="24"/>
                <w:u w:val="none" w:color="auto"/>
                <w:lang w:val="en-US" w:eastAsia="zh-CN"/>
              </w:rPr>
              <w:t>定期</w:t>
            </w:r>
            <w:r>
              <w:rPr>
                <w:rFonts w:hint="default" w:eastAsia="宋体"/>
                <w:sz w:val="24"/>
                <w:szCs w:val="24"/>
                <w:u w:val="none" w:color="auto"/>
                <w:lang w:val="en-US" w:eastAsia="zh-CN"/>
              </w:rPr>
              <w:t>修订安全生产管理制度及环境管理制度、修订自行监测计划。</w:t>
            </w:r>
          </w:p>
        </w:tc>
      </w:tr>
      <w:tr w14:paraId="7986B2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1219" w:type="dxa"/>
            <w:tcBorders>
              <w:tl2br w:val="nil"/>
              <w:tr2bl w:val="nil"/>
            </w:tcBorders>
            <w:noWrap w:val="0"/>
            <w:vAlign w:val="center"/>
          </w:tcPr>
          <w:p w14:paraId="6534EFF6">
            <w:pPr>
              <w:adjustRightInd w:val="0"/>
              <w:snapToGrid w:val="0"/>
              <w:jc w:val="center"/>
              <w:rPr>
                <w:spacing w:val="-8"/>
                <w:sz w:val="24"/>
                <w:szCs w:val="24"/>
                <w:u w:val="none" w:color="auto"/>
              </w:rPr>
            </w:pPr>
            <w:r>
              <w:rPr>
                <w:spacing w:val="-8"/>
                <w:sz w:val="24"/>
                <w:szCs w:val="24"/>
                <w:u w:val="none" w:color="auto"/>
              </w:rPr>
              <w:t>其他环境</w:t>
            </w:r>
          </w:p>
          <w:p w14:paraId="236E0D21">
            <w:pPr>
              <w:adjustRightInd w:val="0"/>
              <w:snapToGrid w:val="0"/>
              <w:jc w:val="center"/>
              <w:rPr>
                <w:spacing w:val="-8"/>
                <w:sz w:val="24"/>
                <w:szCs w:val="24"/>
                <w:u w:val="none" w:color="auto"/>
              </w:rPr>
            </w:pPr>
            <w:r>
              <w:rPr>
                <w:spacing w:val="-8"/>
                <w:sz w:val="24"/>
                <w:szCs w:val="24"/>
                <w:u w:val="none" w:color="auto"/>
              </w:rPr>
              <w:t>管理要求</w:t>
            </w:r>
          </w:p>
        </w:tc>
        <w:tc>
          <w:tcPr>
            <w:tcW w:w="7597" w:type="dxa"/>
            <w:gridSpan w:val="5"/>
            <w:tcBorders>
              <w:tl2br w:val="nil"/>
              <w:tr2bl w:val="nil"/>
            </w:tcBorders>
            <w:noWrap w:val="0"/>
            <w:vAlign w:val="center"/>
          </w:tcPr>
          <w:p w14:paraId="7FB2DDB8">
            <w:pPr>
              <w:adjustRightInd w:val="0"/>
              <w:snapToGrid w:val="0"/>
              <w:spacing w:line="440" w:lineRule="exact"/>
              <w:ind w:firstLine="480" w:firstLineChars="200"/>
              <w:rPr>
                <w:kern w:val="2"/>
                <w:sz w:val="24"/>
                <w:szCs w:val="24"/>
                <w:u w:val="none" w:color="auto"/>
              </w:rPr>
            </w:pPr>
            <w:bookmarkStart w:id="45" w:name="OLE_LINK436"/>
            <w:bookmarkStart w:id="46" w:name="OLE_LINK437"/>
            <w:r>
              <w:rPr>
                <w:kern w:val="2"/>
                <w:sz w:val="24"/>
                <w:szCs w:val="24"/>
                <w:u w:val="none" w:color="auto"/>
              </w:rPr>
              <w:t>1、排污许可证管理要求</w:t>
            </w:r>
          </w:p>
          <w:p w14:paraId="4A95E75C">
            <w:pPr>
              <w:adjustRightInd w:val="0"/>
              <w:snapToGrid w:val="0"/>
              <w:spacing w:line="440" w:lineRule="exact"/>
              <w:ind w:firstLine="480" w:firstLineChars="200"/>
              <w:rPr>
                <w:kern w:val="2"/>
                <w:sz w:val="24"/>
                <w:szCs w:val="24"/>
                <w:u w:val="none" w:color="auto"/>
              </w:rPr>
            </w:pPr>
            <w:r>
              <w:rPr>
                <w:kern w:val="2"/>
                <w:sz w:val="24"/>
                <w:szCs w:val="24"/>
                <w:u w:val="none" w:color="auto"/>
              </w:rPr>
              <w:t>根据《固定污染源排污许可分类管理名录（2019年版）》（生态环境部 第11号）要求进行填报排污许可。因此，建设单位应当在启动生产设施或者发生实际排污之前在全国排污许可证管理信息平台进行排污许可填报。</w:t>
            </w:r>
          </w:p>
          <w:p w14:paraId="2A2946F2">
            <w:pPr>
              <w:adjustRightInd w:val="0"/>
              <w:snapToGrid w:val="0"/>
              <w:spacing w:line="440" w:lineRule="exact"/>
              <w:ind w:firstLine="480" w:firstLineChars="200"/>
              <w:rPr>
                <w:kern w:val="2"/>
                <w:sz w:val="24"/>
                <w:szCs w:val="24"/>
                <w:u w:val="none" w:color="auto"/>
              </w:rPr>
            </w:pPr>
            <w:r>
              <w:rPr>
                <w:kern w:val="2"/>
                <w:sz w:val="24"/>
                <w:szCs w:val="24"/>
                <w:u w:val="none" w:color="auto"/>
              </w:rPr>
              <w:t>2、竣工环境保护验收</w:t>
            </w:r>
          </w:p>
          <w:p w14:paraId="6CCB52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firstLine="480" w:firstLineChars="200"/>
              <w:jc w:val="both"/>
              <w:textAlignment w:val="auto"/>
              <w:rPr>
                <w:rFonts w:hint="eastAsia" w:hAnsi="宋体"/>
                <w:sz w:val="24"/>
                <w:szCs w:val="24"/>
                <w:highlight w:val="none"/>
                <w:u w:val="none" w:color="auto"/>
                <w:lang w:val="en-US" w:eastAsia="zh-CN"/>
              </w:rPr>
            </w:pPr>
            <w:r>
              <w:rPr>
                <w:kern w:val="2"/>
                <w:sz w:val="24"/>
                <w:szCs w:val="24"/>
                <w:u w:val="none" w:color="auto"/>
              </w:rPr>
              <w:t>根据《建设项目竣工环境保护验收暂行办法》的规定，建设项目竣工后，建设单位应当如实查验、监测、记载建设项目环境保护设施的建设和调试情况，编制验收监测报告表。</w:t>
            </w:r>
            <w:r>
              <w:rPr>
                <w:rFonts w:hint="eastAsia" w:hAnsi="宋体"/>
                <w:sz w:val="24"/>
                <w:szCs w:val="24"/>
                <w:highlight w:val="none"/>
                <w:u w:val="none" w:color="auto"/>
                <w:lang w:val="en-US" w:eastAsia="zh-CN"/>
              </w:rPr>
              <w:t>并且建设单位应登录全国建设项目竣工环境保护验收信息平台，填报建设项目基本信息、环境保护设施验收情况等相关信息。</w:t>
            </w:r>
          </w:p>
          <w:p w14:paraId="671B6AC5">
            <w:pPr>
              <w:pStyle w:val="2"/>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leftChars="0" w:right="0" w:firstLine="480" w:firstLineChars="200"/>
              <w:jc w:val="both"/>
              <w:textAlignment w:val="auto"/>
              <w:rPr>
                <w:rFonts w:hint="default"/>
                <w:sz w:val="24"/>
                <w:szCs w:val="24"/>
                <w:u w:val="none" w:color="auto"/>
                <w:lang w:val="en-US" w:eastAsia="zh-CN"/>
              </w:rPr>
            </w:pPr>
            <w:r>
              <w:rPr>
                <w:rFonts w:hint="eastAsia" w:hAnsi="宋体"/>
                <w:sz w:val="24"/>
                <w:szCs w:val="24"/>
                <w:highlight w:val="none"/>
                <w:u w:val="none" w:color="auto"/>
                <w:lang w:val="en-US" w:eastAsia="zh-CN"/>
              </w:rPr>
              <w:t>建设单位应当将验收报告以及其他档案资料存档备查。</w:t>
            </w:r>
          </w:p>
          <w:p w14:paraId="48046D0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40" w:lineRule="exact"/>
              <w:ind w:left="0" w:right="0" w:firstLine="480" w:firstLineChars="200"/>
              <w:textAlignment w:val="auto"/>
              <w:rPr>
                <w:rFonts w:hint="eastAsia" w:hAnsi="宋体"/>
                <w:sz w:val="24"/>
                <w:szCs w:val="24"/>
                <w:highlight w:val="none"/>
                <w:u w:val="none" w:color="auto"/>
              </w:rPr>
            </w:pPr>
            <w:r>
              <w:rPr>
                <w:rFonts w:hint="eastAsia" w:ascii="Times New Roman" w:hAnsi="Times New Roman" w:eastAsia="宋体" w:cs="Times New Roman"/>
                <w:kern w:val="2"/>
                <w:sz w:val="24"/>
                <w:szCs w:val="24"/>
                <w:u w:val="none" w:color="auto"/>
                <w:lang w:val="en-US" w:eastAsia="zh-CN"/>
              </w:rPr>
              <w:t>3、</w:t>
            </w:r>
            <w:r>
              <w:rPr>
                <w:rFonts w:hint="eastAsia" w:hAnsi="宋体"/>
                <w:sz w:val="24"/>
                <w:szCs w:val="24"/>
                <w:highlight w:val="none"/>
                <w:u w:val="none" w:color="auto"/>
                <w:lang w:val="en-US" w:eastAsia="zh-CN"/>
              </w:rPr>
              <w:t>排放口规范化建设</w:t>
            </w:r>
          </w:p>
          <w:p w14:paraId="5365D7A5">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r>
              <w:rPr>
                <w:rFonts w:hint="eastAsia"/>
                <w:sz w:val="24"/>
                <w:szCs w:val="24"/>
                <w:highlight w:val="none"/>
                <w:u w:val="none" w:color="auto"/>
              </w:rPr>
              <w:t>根据《环境保护图形标志－排放口（源）》（GB15562.1-1995）、《环境保护图形标志—固体废物贮存（处置）场》（GB15562.2-1995）及其修改单标准要求，本项目</w:t>
            </w:r>
            <w:r>
              <w:rPr>
                <w:rFonts w:hint="eastAsia"/>
                <w:sz w:val="24"/>
                <w:szCs w:val="24"/>
                <w:highlight w:val="none"/>
                <w:u w:val="none" w:color="auto"/>
                <w:lang w:val="en-US" w:eastAsia="zh-CN"/>
              </w:rPr>
              <w:t>建成后应在废气</w:t>
            </w:r>
            <w:r>
              <w:rPr>
                <w:rFonts w:hint="eastAsia"/>
                <w:sz w:val="24"/>
                <w:szCs w:val="24"/>
                <w:highlight w:val="none"/>
                <w:u w:val="none" w:color="auto"/>
              </w:rPr>
              <w:t>排放口、</w:t>
            </w:r>
            <w:r>
              <w:rPr>
                <w:rFonts w:hint="eastAsia"/>
                <w:sz w:val="24"/>
                <w:szCs w:val="24"/>
                <w:highlight w:val="none"/>
                <w:u w:val="none" w:color="auto"/>
                <w:lang w:val="en-US" w:eastAsia="zh-CN"/>
              </w:rPr>
              <w:t>废水排放口、</w:t>
            </w:r>
            <w:r>
              <w:rPr>
                <w:rFonts w:hint="eastAsia"/>
                <w:sz w:val="24"/>
                <w:szCs w:val="24"/>
                <w:highlight w:val="none"/>
                <w:u w:val="none" w:color="auto"/>
              </w:rPr>
              <w:t>固废贮存场所和噪声排放源分别设置环境保护图形标志牌，</w:t>
            </w:r>
            <w:r>
              <w:rPr>
                <w:rFonts w:hint="eastAsia"/>
                <w:sz w:val="24"/>
                <w:szCs w:val="24"/>
                <w:highlight w:val="none"/>
                <w:u w:val="none" w:color="auto"/>
                <w:lang w:val="en-US" w:eastAsia="zh-CN"/>
              </w:rPr>
              <w:t>并</w:t>
            </w:r>
            <w:r>
              <w:rPr>
                <w:rFonts w:hint="eastAsia"/>
                <w:sz w:val="24"/>
                <w:szCs w:val="24"/>
                <w:highlight w:val="none"/>
                <w:u w:val="none" w:color="auto"/>
              </w:rPr>
              <w:t>按照《河南省重污染天气</w:t>
            </w:r>
            <w:r>
              <w:rPr>
                <w:rFonts w:hint="eastAsia"/>
                <w:sz w:val="24"/>
                <w:szCs w:val="24"/>
                <w:highlight w:val="none"/>
                <w:u w:val="none" w:color="auto"/>
                <w:lang w:val="en-US" w:eastAsia="zh-CN"/>
              </w:rPr>
              <w:t>重点</w:t>
            </w:r>
            <w:r>
              <w:rPr>
                <w:rFonts w:hint="eastAsia"/>
                <w:sz w:val="24"/>
                <w:szCs w:val="24"/>
                <w:highlight w:val="none"/>
                <w:u w:val="none" w:color="auto"/>
              </w:rPr>
              <w:t>行业应急减排措施制定技术指南》（2024年修订版）</w:t>
            </w:r>
            <w:r>
              <w:rPr>
                <w:rFonts w:hint="eastAsia"/>
                <w:sz w:val="24"/>
                <w:szCs w:val="24"/>
                <w:highlight w:val="none"/>
                <w:u w:val="none" w:color="auto"/>
                <w:lang w:val="en-US" w:eastAsia="zh-CN"/>
              </w:rPr>
              <w:t>中电池制造绩效分级A级要求要求企业安装车辆运输视频监控（数据能保存 6 个月），并建立车辆运输手工台账。</w:t>
            </w:r>
            <w:bookmarkEnd w:id="45"/>
            <w:bookmarkEnd w:id="46"/>
          </w:p>
          <w:p w14:paraId="2C6A1B5B">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788BF163">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02E13880">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45A84760">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32CB871D">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2E0B3DB7">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4AA2E83E">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3461A1D0">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2EF69AF9">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51957CEA">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3F7E9259">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32D860DE">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0C6DAE4B">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738BEE1E">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2C462663">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32234DA7">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73323EA0">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26FEE10F">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302E2AD2">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6B4CA2E5">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42309C39">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1EA5AC5B">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5D00EC60">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480" w:firstLineChars="200"/>
              <w:jc w:val="both"/>
              <w:textAlignment w:val="auto"/>
              <w:outlineLvl w:val="9"/>
              <w:rPr>
                <w:rFonts w:hint="eastAsia"/>
                <w:sz w:val="24"/>
                <w:szCs w:val="24"/>
                <w:highlight w:val="none"/>
                <w:u w:val="none" w:color="auto"/>
                <w:lang w:val="en-US" w:eastAsia="zh-CN"/>
              </w:rPr>
            </w:pPr>
          </w:p>
          <w:p w14:paraId="667251F2">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right="0"/>
              <w:jc w:val="both"/>
              <w:textAlignment w:val="auto"/>
              <w:outlineLvl w:val="9"/>
              <w:rPr>
                <w:rFonts w:hint="eastAsia"/>
                <w:sz w:val="24"/>
                <w:szCs w:val="24"/>
                <w:highlight w:val="none"/>
                <w:u w:val="none" w:color="auto"/>
                <w:lang w:val="en-US" w:eastAsia="zh-CN"/>
              </w:rPr>
            </w:pPr>
          </w:p>
          <w:p w14:paraId="77309470">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right="0"/>
              <w:jc w:val="both"/>
              <w:textAlignment w:val="auto"/>
              <w:outlineLvl w:val="9"/>
              <w:rPr>
                <w:rFonts w:hint="eastAsia"/>
                <w:sz w:val="24"/>
                <w:szCs w:val="24"/>
                <w:highlight w:val="none"/>
                <w:u w:val="none" w:color="auto"/>
                <w:lang w:val="en-US" w:eastAsia="zh-CN"/>
              </w:rPr>
            </w:pPr>
          </w:p>
          <w:p w14:paraId="2AE67E23">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right="0"/>
              <w:jc w:val="both"/>
              <w:textAlignment w:val="auto"/>
              <w:outlineLvl w:val="9"/>
              <w:rPr>
                <w:rFonts w:hint="eastAsia"/>
                <w:sz w:val="24"/>
                <w:szCs w:val="24"/>
                <w:highlight w:val="none"/>
                <w:u w:val="none" w:color="auto"/>
                <w:lang w:val="en-US" w:eastAsia="zh-CN"/>
              </w:rPr>
            </w:pPr>
          </w:p>
          <w:p w14:paraId="2668C9F9">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right="0"/>
              <w:jc w:val="both"/>
              <w:textAlignment w:val="auto"/>
              <w:outlineLvl w:val="9"/>
              <w:rPr>
                <w:rFonts w:hint="eastAsia"/>
                <w:sz w:val="24"/>
                <w:szCs w:val="24"/>
                <w:highlight w:val="none"/>
                <w:u w:val="none" w:color="auto"/>
                <w:lang w:val="en-US" w:eastAsia="zh-CN"/>
              </w:rPr>
            </w:pPr>
          </w:p>
          <w:p w14:paraId="3A511CA0">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right="0"/>
              <w:jc w:val="both"/>
              <w:textAlignment w:val="auto"/>
              <w:outlineLvl w:val="9"/>
              <w:rPr>
                <w:rFonts w:hint="eastAsia"/>
                <w:sz w:val="24"/>
                <w:szCs w:val="24"/>
                <w:highlight w:val="none"/>
                <w:u w:val="none" w:color="auto"/>
                <w:lang w:val="en-US" w:eastAsia="zh-CN"/>
              </w:rPr>
            </w:pPr>
          </w:p>
        </w:tc>
      </w:tr>
    </w:tbl>
    <w:p w14:paraId="40EC6C3A">
      <w:pPr>
        <w:rPr>
          <w:rFonts w:ascii="Times New Roman" w:hAnsi="Times New Roman"/>
          <w:snapToGrid w:val="0"/>
          <w:highlight w:val="yellow"/>
          <w:u w:val="none" w:color="auto"/>
        </w:rPr>
      </w:pPr>
      <w:r>
        <w:rPr>
          <w:rFonts w:ascii="Times New Roman" w:hAnsi="Times New Roman"/>
          <w:snapToGrid w:val="0"/>
          <w:highlight w:val="yellow"/>
          <w:u w:val="none" w:color="auto"/>
        </w:rPr>
        <w:br w:type="page"/>
      </w:r>
    </w:p>
    <w:p w14:paraId="11BFAAFD">
      <w:pPr>
        <w:rPr>
          <w:rFonts w:hint="eastAsia" w:eastAsia="宋体"/>
          <w:color w:val="FFFFFF" w:themeColor="background1"/>
          <w:highlight w:val="none"/>
          <w:u w:val="none" w:color="auto"/>
          <w:lang w:eastAsia="zh-CN"/>
          <w14:textFill>
            <w14:solidFill>
              <w14:schemeClr w14:val="bg1"/>
            </w14:solidFill>
          </w14:textFill>
        </w:rPr>
      </w:pPr>
    </w:p>
    <w:p w14:paraId="68C8F107">
      <w:pPr>
        <w:rPr>
          <w:rFonts w:hint="eastAsia" w:eastAsia="宋体"/>
          <w:color w:val="FFFFFF" w:themeColor="background1"/>
          <w:highlight w:val="none"/>
          <w:u w:val="none" w:color="auto"/>
          <w:lang w:eastAsia="zh-CN"/>
          <w14:textFill>
            <w14:solidFill>
              <w14:schemeClr w14:val="bg1"/>
            </w14:solidFill>
          </w14:textFill>
        </w:rPr>
        <w:sectPr>
          <w:pgSz w:w="11906" w:h="16838"/>
          <w:pgMar w:top="1440" w:right="1803" w:bottom="1440" w:left="1803"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eastAsia="宋体"/>
          <w:color w:val="FFFFFF" w:themeColor="background1"/>
          <w:highlight w:val="none"/>
          <w:u w:val="none" w:color="auto"/>
          <w:lang w:eastAsia="zh-CN"/>
          <w14:textFill>
            <w14:solidFill>
              <w14:schemeClr w14:val="bg1"/>
            </w14:solidFill>
          </w14:textFill>
        </w:rPr>
        <w:drawing>
          <wp:inline distT="0" distB="0" distL="114300" distR="114300">
            <wp:extent cx="5732780" cy="8118475"/>
            <wp:effectExtent l="0" t="0" r="0" b="0"/>
            <wp:docPr id="108" name="图片 108" descr="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1_03"/>
                    <pic:cNvPicPr>
                      <a:picLocks noChangeAspect="1"/>
                    </pic:cNvPicPr>
                  </pic:nvPicPr>
                  <pic:blipFill>
                    <a:blip r:embed="rId35"/>
                    <a:srcRect l="7079" t="7687" r="2513" b="3661"/>
                    <a:stretch>
                      <a:fillRect/>
                    </a:stretch>
                  </pic:blipFill>
                  <pic:spPr>
                    <a:xfrm>
                      <a:off x="0" y="0"/>
                      <a:ext cx="5732780" cy="8118475"/>
                    </a:xfrm>
                    <a:prstGeom prst="rect">
                      <a:avLst/>
                    </a:prstGeom>
                  </pic:spPr>
                </pic:pic>
              </a:graphicData>
            </a:graphic>
          </wp:inline>
        </w:drawing>
      </w:r>
    </w:p>
    <w:p w14:paraId="779E9813">
      <w:pPr>
        <w:pStyle w:val="29"/>
        <w:adjustRightInd w:val="0"/>
        <w:snapToGrid w:val="0"/>
        <w:spacing w:before="0" w:beforeAutospacing="0" w:after="0" w:afterAutospacing="0" w:line="360" w:lineRule="auto"/>
        <w:outlineLvl w:val="0"/>
        <w:rPr>
          <w:rFonts w:ascii="Times New Roman" w:hAnsi="Times New Roman" w:eastAsia="黑体"/>
          <w:snapToGrid w:val="0"/>
          <w:sz w:val="32"/>
          <w:szCs w:val="32"/>
          <w:u w:val="none" w:color="auto"/>
        </w:rPr>
      </w:pPr>
      <w:bookmarkStart w:id="47" w:name="_Toc1825"/>
      <w:bookmarkStart w:id="48" w:name="_Toc13773"/>
      <w:bookmarkStart w:id="49" w:name="_Toc14354"/>
      <w:r>
        <w:rPr>
          <w:rFonts w:ascii="Times New Roman" w:hAnsi="Times New Roman" w:eastAsia="黑体"/>
          <w:snapToGrid w:val="0"/>
          <w:sz w:val="32"/>
          <w:szCs w:val="32"/>
          <w:u w:val="none" w:color="auto"/>
        </w:rPr>
        <w:t>附表</w:t>
      </w:r>
      <w:bookmarkEnd w:id="47"/>
      <w:bookmarkEnd w:id="48"/>
      <w:bookmarkEnd w:id="49"/>
    </w:p>
    <w:p w14:paraId="40858EC8">
      <w:pPr>
        <w:pStyle w:val="29"/>
        <w:adjustRightInd w:val="0"/>
        <w:snapToGrid w:val="0"/>
        <w:spacing w:before="0" w:beforeAutospacing="0" w:after="0" w:afterAutospacing="0"/>
        <w:jc w:val="center"/>
        <w:outlineLvl w:val="0"/>
        <w:rPr>
          <w:rFonts w:ascii="Times New Roman" w:hAnsi="Times New Roman" w:eastAsia="方正小标宋_GBK"/>
          <w:snapToGrid w:val="0"/>
          <w:sz w:val="38"/>
          <w:szCs w:val="38"/>
          <w:u w:val="none" w:color="auto"/>
        </w:rPr>
      </w:pPr>
      <w:bookmarkStart w:id="50" w:name="_Toc14387"/>
      <w:bookmarkStart w:id="51" w:name="_Toc5634"/>
      <w:bookmarkStart w:id="52" w:name="_Toc31395"/>
      <w:bookmarkStart w:id="53" w:name="_Toc31373"/>
      <w:r>
        <w:rPr>
          <w:rFonts w:ascii="Times New Roman" w:hAnsi="Times New Roman" w:eastAsia="方正小标宋_GBK"/>
          <w:snapToGrid w:val="0"/>
          <w:sz w:val="38"/>
          <w:szCs w:val="38"/>
          <w:u w:val="none" w:color="auto"/>
        </w:rPr>
        <w:t>建设项目污染物排放量汇总表</w:t>
      </w:r>
      <w:bookmarkEnd w:id="50"/>
      <w:bookmarkEnd w:id="51"/>
      <w:bookmarkEnd w:id="52"/>
      <w:bookmarkEnd w:id="53"/>
    </w:p>
    <w:tbl>
      <w:tblPr>
        <w:tblStyle w:val="32"/>
        <w:tblW w:w="1377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1766"/>
        <w:gridCol w:w="1505"/>
        <w:gridCol w:w="1276"/>
        <w:gridCol w:w="1472"/>
        <w:gridCol w:w="1590"/>
        <w:gridCol w:w="1545"/>
        <w:gridCol w:w="1684"/>
        <w:gridCol w:w="1499"/>
      </w:tblGrid>
      <w:tr w14:paraId="6EA22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tcBorders>
              <w:tl2br w:val="single" w:color="auto" w:sz="4" w:space="0"/>
            </w:tcBorders>
            <w:noWrap w:val="0"/>
            <w:tcMar>
              <w:left w:w="28" w:type="dxa"/>
              <w:right w:w="28" w:type="dxa"/>
            </w:tcMar>
            <w:vAlign w:val="center"/>
          </w:tcPr>
          <w:p w14:paraId="11227156">
            <w:pPr>
              <w:pStyle w:val="51"/>
              <w:spacing w:beforeLines="0" w:afterLines="0" w:line="240" w:lineRule="auto"/>
              <w:ind w:firstLine="0" w:firstLineChars="0"/>
              <w:jc w:val="right"/>
              <w:rPr>
                <w:rFonts w:ascii="Times New Roman" w:eastAsia="黑体"/>
                <w:snapToGrid w:val="0"/>
                <w:spacing w:val="-6"/>
                <w:kern w:val="21"/>
                <w:szCs w:val="21"/>
                <w:u w:val="none" w:color="auto"/>
              </w:rPr>
            </w:pPr>
            <w:bookmarkStart w:id="54" w:name="_Toc26494"/>
            <w:bookmarkStart w:id="55" w:name="_Toc26583"/>
            <w:bookmarkStart w:id="56" w:name="_Toc15469"/>
            <w:bookmarkStart w:id="57" w:name="_Toc18851"/>
            <w:r>
              <w:rPr>
                <w:rFonts w:ascii="Times New Roman" w:eastAsia="黑体"/>
                <w:snapToGrid w:val="0"/>
                <w:spacing w:val="-6"/>
                <w:kern w:val="21"/>
                <w:szCs w:val="21"/>
                <w:u w:val="none" w:color="auto"/>
              </w:rPr>
              <w:t>项目</w:t>
            </w:r>
          </w:p>
          <w:p w14:paraId="510FEDD8">
            <w:pPr>
              <w:pStyle w:val="51"/>
              <w:spacing w:beforeLines="0" w:afterLines="0" w:line="240" w:lineRule="auto"/>
              <w:ind w:firstLine="0" w:firstLineChars="0"/>
              <w:jc w:val="left"/>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t>分类</w:t>
            </w:r>
          </w:p>
        </w:tc>
        <w:tc>
          <w:tcPr>
            <w:tcW w:w="1766" w:type="dxa"/>
            <w:noWrap w:val="0"/>
            <w:tcMar>
              <w:left w:w="28" w:type="dxa"/>
              <w:right w:w="28" w:type="dxa"/>
            </w:tcMar>
            <w:vAlign w:val="center"/>
          </w:tcPr>
          <w:p w14:paraId="51A1E9B6">
            <w:pPr>
              <w:pStyle w:val="51"/>
              <w:spacing w:beforeLines="0" w:afterLines="0" w:line="240" w:lineRule="auto"/>
              <w:ind w:firstLine="0" w:firstLineChars="0"/>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t>污染物名称</w:t>
            </w:r>
          </w:p>
        </w:tc>
        <w:tc>
          <w:tcPr>
            <w:tcW w:w="1505" w:type="dxa"/>
            <w:noWrap w:val="0"/>
            <w:tcMar>
              <w:left w:w="28" w:type="dxa"/>
              <w:right w:w="28" w:type="dxa"/>
            </w:tcMar>
            <w:vAlign w:val="center"/>
          </w:tcPr>
          <w:p w14:paraId="4F21C92C">
            <w:pPr>
              <w:pStyle w:val="51"/>
              <w:spacing w:beforeLines="0" w:afterLines="0" w:line="240" w:lineRule="auto"/>
              <w:ind w:firstLine="0" w:firstLineChars="0"/>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t>现有工程</w:t>
            </w:r>
          </w:p>
          <w:p w14:paraId="69F2CC8D">
            <w:pPr>
              <w:pStyle w:val="51"/>
              <w:spacing w:beforeLines="0" w:afterLines="0" w:line="240" w:lineRule="auto"/>
              <w:ind w:firstLine="0" w:firstLineChars="0"/>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t>排放量（固体废物产生量）</w:t>
            </w:r>
            <w:r>
              <w:rPr>
                <w:rFonts w:ascii="Times New Roman" w:eastAsia="黑体"/>
                <w:snapToGrid w:val="0"/>
                <w:spacing w:val="-6"/>
                <w:kern w:val="21"/>
                <w:szCs w:val="21"/>
                <w:u w:val="none" w:color="auto"/>
              </w:rPr>
              <w:fldChar w:fldCharType="begin"/>
            </w:r>
            <w:r>
              <w:rPr>
                <w:rFonts w:ascii="Times New Roman" w:eastAsia="黑体"/>
                <w:snapToGrid w:val="0"/>
                <w:spacing w:val="-6"/>
                <w:kern w:val="21"/>
                <w:szCs w:val="21"/>
                <w:u w:val="none" w:color="auto"/>
              </w:rPr>
              <w:instrText xml:space="preserve"> = 1 \* GB3 \* MERGEFORMAT </w:instrText>
            </w:r>
            <w:r>
              <w:rPr>
                <w:rFonts w:ascii="Times New Roman" w:eastAsia="黑体"/>
                <w:snapToGrid w:val="0"/>
                <w:spacing w:val="-6"/>
                <w:kern w:val="21"/>
                <w:szCs w:val="21"/>
                <w:u w:val="none" w:color="auto"/>
              </w:rPr>
              <w:fldChar w:fldCharType="separate"/>
            </w:r>
            <w:r>
              <w:rPr>
                <w:rFonts w:ascii="Times New Roman" w:eastAsia="黑体"/>
                <w:kern w:val="2"/>
                <w:szCs w:val="21"/>
                <w:u w:val="none" w:color="auto"/>
              </w:rPr>
              <w:t>①</w:t>
            </w:r>
            <w:r>
              <w:rPr>
                <w:rFonts w:ascii="Times New Roman" w:eastAsia="黑体"/>
                <w:snapToGrid w:val="0"/>
                <w:spacing w:val="-6"/>
                <w:kern w:val="21"/>
                <w:szCs w:val="21"/>
                <w:u w:val="none" w:color="auto"/>
              </w:rPr>
              <w:fldChar w:fldCharType="end"/>
            </w:r>
          </w:p>
        </w:tc>
        <w:tc>
          <w:tcPr>
            <w:tcW w:w="1276" w:type="dxa"/>
            <w:noWrap w:val="0"/>
            <w:tcMar>
              <w:left w:w="28" w:type="dxa"/>
              <w:right w:w="28" w:type="dxa"/>
            </w:tcMar>
            <w:vAlign w:val="center"/>
          </w:tcPr>
          <w:p w14:paraId="49ED636B">
            <w:pPr>
              <w:pStyle w:val="51"/>
              <w:spacing w:beforeLines="0" w:afterLines="0" w:line="240" w:lineRule="auto"/>
              <w:ind w:firstLine="0" w:firstLineChars="0"/>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t>现有工程</w:t>
            </w:r>
          </w:p>
          <w:p w14:paraId="641B0CDD">
            <w:pPr>
              <w:pStyle w:val="51"/>
              <w:spacing w:beforeLines="0" w:afterLines="0" w:line="240" w:lineRule="auto"/>
              <w:ind w:firstLine="0" w:firstLineChars="0"/>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t>许可排放量</w:t>
            </w:r>
          </w:p>
          <w:p w14:paraId="49AB1816">
            <w:pPr>
              <w:pStyle w:val="51"/>
              <w:spacing w:beforeLines="0" w:afterLines="0"/>
              <w:ind w:firstLine="0" w:firstLineChars="0"/>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fldChar w:fldCharType="begin"/>
            </w:r>
            <w:r>
              <w:rPr>
                <w:rFonts w:ascii="Times New Roman" w:eastAsia="黑体"/>
                <w:snapToGrid w:val="0"/>
                <w:spacing w:val="-6"/>
                <w:kern w:val="21"/>
                <w:szCs w:val="21"/>
                <w:u w:val="none" w:color="auto"/>
              </w:rPr>
              <w:instrText xml:space="preserve"> = 2 \* GB3 \* MERGEFORMAT </w:instrText>
            </w:r>
            <w:r>
              <w:rPr>
                <w:rFonts w:ascii="Times New Roman" w:eastAsia="黑体"/>
                <w:snapToGrid w:val="0"/>
                <w:spacing w:val="-6"/>
                <w:kern w:val="21"/>
                <w:szCs w:val="21"/>
                <w:u w:val="none" w:color="auto"/>
              </w:rPr>
              <w:fldChar w:fldCharType="separate"/>
            </w:r>
            <w:r>
              <w:rPr>
                <w:rFonts w:ascii="Times New Roman" w:eastAsia="黑体"/>
                <w:snapToGrid w:val="0"/>
                <w:spacing w:val="-6"/>
                <w:kern w:val="21"/>
                <w:szCs w:val="21"/>
                <w:u w:val="none" w:color="auto"/>
              </w:rPr>
              <w:t>②</w:t>
            </w:r>
            <w:r>
              <w:rPr>
                <w:rFonts w:ascii="Times New Roman" w:eastAsia="黑体"/>
                <w:snapToGrid w:val="0"/>
                <w:spacing w:val="-6"/>
                <w:kern w:val="21"/>
                <w:szCs w:val="21"/>
                <w:u w:val="none" w:color="auto"/>
              </w:rPr>
              <w:fldChar w:fldCharType="end"/>
            </w:r>
          </w:p>
        </w:tc>
        <w:tc>
          <w:tcPr>
            <w:tcW w:w="1472" w:type="dxa"/>
            <w:noWrap w:val="0"/>
            <w:tcMar>
              <w:left w:w="28" w:type="dxa"/>
              <w:right w:w="28" w:type="dxa"/>
            </w:tcMar>
            <w:vAlign w:val="center"/>
          </w:tcPr>
          <w:p w14:paraId="7BCE7DBB">
            <w:pPr>
              <w:pStyle w:val="51"/>
              <w:spacing w:beforeLines="0" w:afterLines="0" w:line="240" w:lineRule="auto"/>
              <w:ind w:firstLine="0" w:firstLineChars="0"/>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t>在建工程</w:t>
            </w:r>
          </w:p>
          <w:p w14:paraId="787F743F">
            <w:pPr>
              <w:pStyle w:val="51"/>
              <w:spacing w:beforeLines="0" w:afterLines="0" w:line="240" w:lineRule="auto"/>
              <w:ind w:firstLine="0" w:firstLineChars="0"/>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t>排放量（固体废物产生量）</w:t>
            </w:r>
            <w:r>
              <w:rPr>
                <w:rFonts w:ascii="Times New Roman" w:eastAsia="黑体"/>
                <w:snapToGrid w:val="0"/>
                <w:spacing w:val="-6"/>
                <w:kern w:val="21"/>
                <w:szCs w:val="21"/>
                <w:u w:val="none" w:color="auto"/>
              </w:rPr>
              <w:fldChar w:fldCharType="begin"/>
            </w:r>
            <w:r>
              <w:rPr>
                <w:rFonts w:ascii="Times New Roman" w:eastAsia="黑体"/>
                <w:snapToGrid w:val="0"/>
                <w:spacing w:val="-6"/>
                <w:kern w:val="21"/>
                <w:szCs w:val="21"/>
                <w:u w:val="none" w:color="auto"/>
              </w:rPr>
              <w:instrText xml:space="preserve"> = 3 \* GB3 \* MERGEFORMAT </w:instrText>
            </w:r>
            <w:r>
              <w:rPr>
                <w:rFonts w:ascii="Times New Roman" w:eastAsia="黑体"/>
                <w:snapToGrid w:val="0"/>
                <w:spacing w:val="-6"/>
                <w:kern w:val="21"/>
                <w:szCs w:val="21"/>
                <w:u w:val="none" w:color="auto"/>
              </w:rPr>
              <w:fldChar w:fldCharType="separate"/>
            </w:r>
            <w:r>
              <w:rPr>
                <w:rFonts w:ascii="Times New Roman" w:eastAsia="黑体"/>
                <w:kern w:val="2"/>
                <w:szCs w:val="21"/>
                <w:u w:val="none" w:color="auto"/>
              </w:rPr>
              <w:t>③</w:t>
            </w:r>
            <w:r>
              <w:rPr>
                <w:rFonts w:ascii="Times New Roman" w:eastAsia="黑体"/>
                <w:snapToGrid w:val="0"/>
                <w:spacing w:val="-6"/>
                <w:kern w:val="21"/>
                <w:szCs w:val="21"/>
                <w:u w:val="none" w:color="auto"/>
              </w:rPr>
              <w:fldChar w:fldCharType="end"/>
            </w:r>
          </w:p>
        </w:tc>
        <w:tc>
          <w:tcPr>
            <w:tcW w:w="1590" w:type="dxa"/>
            <w:noWrap w:val="0"/>
            <w:tcMar>
              <w:left w:w="28" w:type="dxa"/>
              <w:right w:w="28" w:type="dxa"/>
            </w:tcMar>
            <w:vAlign w:val="center"/>
          </w:tcPr>
          <w:p w14:paraId="1824719E">
            <w:pPr>
              <w:pStyle w:val="51"/>
              <w:spacing w:beforeLines="0" w:afterLines="0" w:line="240" w:lineRule="auto"/>
              <w:ind w:firstLine="0" w:firstLineChars="0"/>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t>本项目</w:t>
            </w:r>
          </w:p>
          <w:p w14:paraId="44E4B454">
            <w:pPr>
              <w:pStyle w:val="51"/>
              <w:spacing w:beforeLines="0" w:afterLines="0" w:line="240" w:lineRule="auto"/>
              <w:ind w:firstLine="0" w:firstLineChars="0"/>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t>排放量（固体废物产生量）</w:t>
            </w:r>
            <w:r>
              <w:rPr>
                <w:rFonts w:ascii="Times New Roman" w:eastAsia="黑体"/>
                <w:snapToGrid w:val="0"/>
                <w:spacing w:val="-6"/>
                <w:kern w:val="21"/>
                <w:szCs w:val="21"/>
                <w:u w:val="none" w:color="auto"/>
              </w:rPr>
              <w:fldChar w:fldCharType="begin"/>
            </w:r>
            <w:r>
              <w:rPr>
                <w:rFonts w:ascii="Times New Roman" w:eastAsia="黑体"/>
                <w:snapToGrid w:val="0"/>
                <w:spacing w:val="-6"/>
                <w:kern w:val="21"/>
                <w:szCs w:val="21"/>
                <w:u w:val="none" w:color="auto"/>
              </w:rPr>
              <w:instrText xml:space="preserve"> = 4 \* GB3 \* MERGEFORMAT </w:instrText>
            </w:r>
            <w:r>
              <w:rPr>
                <w:rFonts w:ascii="Times New Roman" w:eastAsia="黑体"/>
                <w:snapToGrid w:val="0"/>
                <w:spacing w:val="-6"/>
                <w:kern w:val="21"/>
                <w:szCs w:val="21"/>
                <w:u w:val="none" w:color="auto"/>
              </w:rPr>
              <w:fldChar w:fldCharType="separate"/>
            </w:r>
            <w:r>
              <w:rPr>
                <w:rFonts w:ascii="Times New Roman" w:eastAsia="黑体"/>
                <w:kern w:val="2"/>
                <w:szCs w:val="21"/>
                <w:u w:val="none" w:color="auto"/>
              </w:rPr>
              <w:t>④</w:t>
            </w:r>
            <w:r>
              <w:rPr>
                <w:rFonts w:ascii="Times New Roman" w:eastAsia="黑体"/>
                <w:snapToGrid w:val="0"/>
                <w:spacing w:val="-6"/>
                <w:kern w:val="21"/>
                <w:szCs w:val="21"/>
                <w:u w:val="none" w:color="auto"/>
              </w:rPr>
              <w:fldChar w:fldCharType="end"/>
            </w:r>
          </w:p>
        </w:tc>
        <w:tc>
          <w:tcPr>
            <w:tcW w:w="1545" w:type="dxa"/>
            <w:noWrap w:val="0"/>
            <w:tcMar>
              <w:left w:w="28" w:type="dxa"/>
              <w:right w:w="28" w:type="dxa"/>
            </w:tcMar>
            <w:vAlign w:val="center"/>
          </w:tcPr>
          <w:p w14:paraId="19DFA469">
            <w:pPr>
              <w:pStyle w:val="51"/>
              <w:spacing w:beforeLines="0" w:afterLines="0" w:line="240" w:lineRule="auto"/>
              <w:ind w:firstLine="0" w:firstLineChars="0"/>
              <w:rPr>
                <w:rFonts w:ascii="Times New Roman" w:eastAsia="黑体"/>
                <w:snapToGrid w:val="0"/>
                <w:spacing w:val="-16"/>
                <w:kern w:val="21"/>
                <w:szCs w:val="21"/>
                <w:u w:val="none" w:color="auto"/>
              </w:rPr>
            </w:pPr>
            <w:r>
              <w:rPr>
                <w:rFonts w:ascii="Times New Roman" w:eastAsia="黑体"/>
                <w:snapToGrid w:val="0"/>
                <w:spacing w:val="-16"/>
                <w:kern w:val="21"/>
                <w:szCs w:val="21"/>
                <w:u w:val="none" w:color="auto"/>
              </w:rPr>
              <w:t>以新带老削减量</w:t>
            </w:r>
          </w:p>
          <w:p w14:paraId="5A8E1347">
            <w:pPr>
              <w:pStyle w:val="51"/>
              <w:spacing w:beforeLines="0" w:afterLines="0" w:line="240" w:lineRule="auto"/>
              <w:ind w:firstLine="0" w:firstLineChars="0"/>
              <w:rPr>
                <w:rFonts w:ascii="Times New Roman" w:eastAsia="黑体"/>
                <w:snapToGrid w:val="0"/>
                <w:spacing w:val="-16"/>
                <w:kern w:val="21"/>
                <w:szCs w:val="21"/>
                <w:u w:val="none" w:color="auto"/>
              </w:rPr>
            </w:pPr>
            <w:r>
              <w:rPr>
                <w:rFonts w:ascii="Times New Roman" w:eastAsia="黑体"/>
                <w:snapToGrid w:val="0"/>
                <w:spacing w:val="-16"/>
                <w:kern w:val="21"/>
                <w:szCs w:val="21"/>
                <w:u w:val="none" w:color="auto"/>
              </w:rPr>
              <w:t>（新建项目不填）</w:t>
            </w:r>
            <w:r>
              <w:rPr>
                <w:rFonts w:ascii="Times New Roman" w:eastAsia="黑体"/>
                <w:snapToGrid w:val="0"/>
                <w:spacing w:val="-16"/>
                <w:kern w:val="21"/>
                <w:szCs w:val="21"/>
                <w:u w:val="none" w:color="auto"/>
              </w:rPr>
              <w:fldChar w:fldCharType="begin"/>
            </w:r>
            <w:r>
              <w:rPr>
                <w:rFonts w:ascii="Times New Roman" w:eastAsia="黑体"/>
                <w:snapToGrid w:val="0"/>
                <w:spacing w:val="-16"/>
                <w:kern w:val="21"/>
                <w:szCs w:val="21"/>
                <w:u w:val="none" w:color="auto"/>
              </w:rPr>
              <w:instrText xml:space="preserve"> = 5 \* GB3 \* MERGEFORMAT </w:instrText>
            </w:r>
            <w:r>
              <w:rPr>
                <w:rFonts w:ascii="Times New Roman" w:eastAsia="黑体"/>
                <w:snapToGrid w:val="0"/>
                <w:spacing w:val="-16"/>
                <w:kern w:val="21"/>
                <w:szCs w:val="21"/>
                <w:u w:val="none" w:color="auto"/>
              </w:rPr>
              <w:fldChar w:fldCharType="separate"/>
            </w:r>
            <w:r>
              <w:rPr>
                <w:rFonts w:ascii="Times New Roman" w:eastAsia="黑体"/>
                <w:kern w:val="2"/>
                <w:szCs w:val="21"/>
                <w:u w:val="none" w:color="auto"/>
              </w:rPr>
              <w:t>⑤</w:t>
            </w:r>
            <w:r>
              <w:rPr>
                <w:rFonts w:ascii="Times New Roman" w:eastAsia="黑体"/>
                <w:snapToGrid w:val="0"/>
                <w:spacing w:val="-16"/>
                <w:kern w:val="21"/>
                <w:szCs w:val="21"/>
                <w:u w:val="none" w:color="auto"/>
              </w:rPr>
              <w:fldChar w:fldCharType="end"/>
            </w:r>
          </w:p>
        </w:tc>
        <w:tc>
          <w:tcPr>
            <w:tcW w:w="1684" w:type="dxa"/>
            <w:noWrap w:val="0"/>
            <w:tcMar>
              <w:left w:w="28" w:type="dxa"/>
              <w:right w:w="28" w:type="dxa"/>
            </w:tcMar>
            <w:vAlign w:val="center"/>
          </w:tcPr>
          <w:p w14:paraId="1BBE313F">
            <w:pPr>
              <w:pStyle w:val="51"/>
              <w:spacing w:beforeLines="0" w:afterLines="0" w:line="240" w:lineRule="auto"/>
              <w:ind w:firstLine="0" w:firstLineChars="0"/>
              <w:rPr>
                <w:rFonts w:ascii="Times New Roman" w:eastAsia="黑体"/>
                <w:snapToGrid w:val="0"/>
                <w:spacing w:val="-16"/>
                <w:kern w:val="21"/>
                <w:szCs w:val="21"/>
                <w:u w:val="none" w:color="auto"/>
              </w:rPr>
            </w:pPr>
            <w:r>
              <w:rPr>
                <w:rFonts w:ascii="Times New Roman" w:eastAsia="黑体"/>
                <w:snapToGrid w:val="0"/>
                <w:spacing w:val="-16"/>
                <w:kern w:val="21"/>
                <w:szCs w:val="21"/>
                <w:u w:val="none" w:color="auto"/>
              </w:rPr>
              <w:t>本项目建成后</w:t>
            </w:r>
          </w:p>
          <w:p w14:paraId="07D4D005">
            <w:pPr>
              <w:pStyle w:val="51"/>
              <w:spacing w:beforeLines="0" w:afterLines="0" w:line="240" w:lineRule="auto"/>
              <w:ind w:firstLine="0" w:firstLineChars="0"/>
              <w:rPr>
                <w:rFonts w:ascii="Times New Roman" w:eastAsia="黑体"/>
                <w:snapToGrid w:val="0"/>
                <w:spacing w:val="-16"/>
                <w:kern w:val="21"/>
                <w:szCs w:val="21"/>
                <w:u w:val="none" w:color="auto"/>
              </w:rPr>
            </w:pPr>
            <w:r>
              <w:rPr>
                <w:rFonts w:ascii="Times New Roman" w:eastAsia="黑体"/>
                <w:snapToGrid w:val="0"/>
                <w:spacing w:val="-16"/>
                <w:kern w:val="21"/>
                <w:szCs w:val="21"/>
                <w:u w:val="none" w:color="auto"/>
              </w:rPr>
              <w:t>全厂排放量（固体废物产生量）</w:t>
            </w:r>
            <w:r>
              <w:rPr>
                <w:rFonts w:ascii="Times New Roman" w:eastAsia="黑体"/>
                <w:snapToGrid w:val="0"/>
                <w:spacing w:val="-16"/>
                <w:kern w:val="21"/>
                <w:szCs w:val="21"/>
                <w:u w:val="none" w:color="auto"/>
              </w:rPr>
              <w:fldChar w:fldCharType="begin"/>
            </w:r>
            <w:r>
              <w:rPr>
                <w:rFonts w:ascii="Times New Roman" w:eastAsia="黑体"/>
                <w:snapToGrid w:val="0"/>
                <w:spacing w:val="-16"/>
                <w:kern w:val="21"/>
                <w:szCs w:val="21"/>
                <w:u w:val="none" w:color="auto"/>
              </w:rPr>
              <w:instrText xml:space="preserve"> = 6 \* GB3 \* MERGEFORMAT </w:instrText>
            </w:r>
            <w:r>
              <w:rPr>
                <w:rFonts w:ascii="Times New Roman" w:eastAsia="黑体"/>
                <w:snapToGrid w:val="0"/>
                <w:spacing w:val="-16"/>
                <w:kern w:val="21"/>
                <w:szCs w:val="21"/>
                <w:u w:val="none" w:color="auto"/>
              </w:rPr>
              <w:fldChar w:fldCharType="separate"/>
            </w:r>
            <w:r>
              <w:rPr>
                <w:rFonts w:ascii="Times New Roman" w:eastAsia="黑体"/>
                <w:kern w:val="2"/>
                <w:szCs w:val="21"/>
                <w:u w:val="none" w:color="auto"/>
              </w:rPr>
              <w:t>⑥</w:t>
            </w:r>
            <w:r>
              <w:rPr>
                <w:rFonts w:ascii="Times New Roman" w:eastAsia="黑体"/>
                <w:snapToGrid w:val="0"/>
                <w:spacing w:val="-16"/>
                <w:kern w:val="21"/>
                <w:szCs w:val="21"/>
                <w:u w:val="none" w:color="auto"/>
              </w:rPr>
              <w:fldChar w:fldCharType="end"/>
            </w:r>
          </w:p>
        </w:tc>
        <w:tc>
          <w:tcPr>
            <w:tcW w:w="1499" w:type="dxa"/>
            <w:noWrap w:val="0"/>
            <w:tcMar>
              <w:left w:w="28" w:type="dxa"/>
              <w:right w:w="28" w:type="dxa"/>
            </w:tcMar>
            <w:vAlign w:val="center"/>
          </w:tcPr>
          <w:p w14:paraId="0BEA3E92">
            <w:pPr>
              <w:pStyle w:val="51"/>
              <w:spacing w:beforeLines="0" w:afterLines="0" w:line="240" w:lineRule="auto"/>
              <w:ind w:firstLine="0" w:firstLineChars="0"/>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t>变化量</w:t>
            </w:r>
          </w:p>
          <w:p w14:paraId="2EAB7878">
            <w:pPr>
              <w:pStyle w:val="51"/>
              <w:spacing w:beforeLines="0" w:afterLines="0" w:line="240" w:lineRule="auto"/>
              <w:ind w:firstLine="0" w:firstLineChars="0"/>
              <w:rPr>
                <w:rFonts w:ascii="Times New Roman" w:eastAsia="黑体"/>
                <w:snapToGrid w:val="0"/>
                <w:spacing w:val="-6"/>
                <w:kern w:val="21"/>
                <w:szCs w:val="21"/>
                <w:u w:val="none" w:color="auto"/>
              </w:rPr>
            </w:pPr>
            <w:r>
              <w:rPr>
                <w:rFonts w:ascii="Times New Roman" w:eastAsia="黑体"/>
                <w:snapToGrid w:val="0"/>
                <w:spacing w:val="-6"/>
                <w:kern w:val="21"/>
                <w:szCs w:val="21"/>
                <w:u w:val="none" w:color="auto"/>
              </w:rPr>
              <w:fldChar w:fldCharType="begin"/>
            </w:r>
            <w:r>
              <w:rPr>
                <w:rFonts w:ascii="Times New Roman" w:eastAsia="黑体"/>
                <w:snapToGrid w:val="0"/>
                <w:spacing w:val="-6"/>
                <w:kern w:val="21"/>
                <w:szCs w:val="21"/>
                <w:u w:val="none" w:color="auto"/>
              </w:rPr>
              <w:instrText xml:space="preserve"> = 7 \* GB3 \* MERGEFORMAT </w:instrText>
            </w:r>
            <w:r>
              <w:rPr>
                <w:rFonts w:ascii="Times New Roman" w:eastAsia="黑体"/>
                <w:snapToGrid w:val="0"/>
                <w:spacing w:val="-6"/>
                <w:kern w:val="21"/>
                <w:szCs w:val="21"/>
                <w:u w:val="none" w:color="auto"/>
              </w:rPr>
              <w:fldChar w:fldCharType="separate"/>
            </w:r>
            <w:r>
              <w:rPr>
                <w:rFonts w:ascii="Times New Roman" w:eastAsia="黑体"/>
                <w:kern w:val="2"/>
                <w:szCs w:val="21"/>
                <w:u w:val="none" w:color="auto"/>
              </w:rPr>
              <w:t>⑦</w:t>
            </w:r>
            <w:r>
              <w:rPr>
                <w:rFonts w:ascii="Times New Roman" w:eastAsia="黑体"/>
                <w:snapToGrid w:val="0"/>
                <w:spacing w:val="-6"/>
                <w:kern w:val="21"/>
                <w:szCs w:val="21"/>
                <w:u w:val="none" w:color="auto"/>
              </w:rPr>
              <w:fldChar w:fldCharType="end"/>
            </w:r>
          </w:p>
        </w:tc>
      </w:tr>
      <w:tr w14:paraId="0AD1BB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restart"/>
            <w:noWrap w:val="0"/>
            <w:vAlign w:val="center"/>
          </w:tcPr>
          <w:p w14:paraId="6BFD8739">
            <w:pPr>
              <w:pStyle w:val="51"/>
              <w:spacing w:beforeLines="0" w:afterLines="0" w:line="240" w:lineRule="auto"/>
              <w:ind w:firstLine="0" w:firstLineChars="0"/>
              <w:rPr>
                <w:rFonts w:ascii="Times New Roman"/>
                <w:snapToGrid w:val="0"/>
                <w:kern w:val="21"/>
                <w:szCs w:val="21"/>
                <w:u w:val="none" w:color="auto"/>
              </w:rPr>
            </w:pPr>
            <w:r>
              <w:rPr>
                <w:rFonts w:hint="eastAsia" w:ascii="Times New Roman"/>
                <w:snapToGrid w:val="0"/>
                <w:kern w:val="21"/>
                <w:szCs w:val="21"/>
                <w:u w:val="none" w:color="auto"/>
              </w:rPr>
              <w:t>废气</w:t>
            </w:r>
          </w:p>
        </w:tc>
        <w:tc>
          <w:tcPr>
            <w:tcW w:w="1766" w:type="dxa"/>
            <w:noWrap w:val="0"/>
            <w:vAlign w:val="center"/>
          </w:tcPr>
          <w:p w14:paraId="474DE2E6">
            <w:pPr>
              <w:jc w:val="center"/>
              <w:rPr>
                <w:rFonts w:hint="eastAsia"/>
                <w:szCs w:val="21"/>
                <w:u w:val="none" w:color="auto"/>
              </w:rPr>
            </w:pPr>
            <w:r>
              <w:rPr>
                <w:rFonts w:hint="eastAsia"/>
                <w:szCs w:val="21"/>
                <w:u w:val="none" w:color="auto"/>
              </w:rPr>
              <w:t>非甲烷总烃</w:t>
            </w:r>
          </w:p>
        </w:tc>
        <w:tc>
          <w:tcPr>
            <w:tcW w:w="1505" w:type="dxa"/>
            <w:noWrap w:val="0"/>
            <w:vAlign w:val="center"/>
          </w:tcPr>
          <w:p w14:paraId="767ED903">
            <w:pPr>
              <w:adjustRightInd w:val="0"/>
              <w:snapToGrid w:val="0"/>
              <w:jc w:val="center"/>
              <w:rPr>
                <w:rFonts w:hint="eastAsia"/>
                <w:szCs w:val="21"/>
                <w:u w:val="none" w:color="auto"/>
              </w:rPr>
            </w:pPr>
            <w:r>
              <w:rPr>
                <w:rFonts w:hint="eastAsia"/>
                <w:szCs w:val="21"/>
                <w:u w:val="none" w:color="auto"/>
              </w:rPr>
              <w:t>/</w:t>
            </w:r>
          </w:p>
        </w:tc>
        <w:tc>
          <w:tcPr>
            <w:tcW w:w="1276" w:type="dxa"/>
            <w:noWrap w:val="0"/>
            <w:vAlign w:val="center"/>
          </w:tcPr>
          <w:p w14:paraId="608FC8D6">
            <w:pPr>
              <w:adjustRightInd w:val="0"/>
              <w:snapToGrid w:val="0"/>
              <w:jc w:val="center"/>
              <w:rPr>
                <w:rFonts w:hint="eastAsia"/>
                <w:szCs w:val="21"/>
                <w:u w:val="none" w:color="auto"/>
              </w:rPr>
            </w:pPr>
            <w:r>
              <w:rPr>
                <w:rFonts w:hint="eastAsia"/>
                <w:szCs w:val="21"/>
                <w:u w:val="none" w:color="auto"/>
              </w:rPr>
              <w:t>/</w:t>
            </w:r>
          </w:p>
        </w:tc>
        <w:tc>
          <w:tcPr>
            <w:tcW w:w="1472" w:type="dxa"/>
            <w:noWrap w:val="0"/>
            <w:vAlign w:val="center"/>
          </w:tcPr>
          <w:p w14:paraId="08B128B7">
            <w:pPr>
              <w:adjustRightInd w:val="0"/>
              <w:snapToGrid w:val="0"/>
              <w:jc w:val="center"/>
              <w:rPr>
                <w:rFonts w:hint="eastAsia"/>
                <w:szCs w:val="21"/>
                <w:u w:val="none" w:color="auto"/>
              </w:rPr>
            </w:pPr>
            <w:r>
              <w:rPr>
                <w:rFonts w:hint="eastAsia"/>
                <w:szCs w:val="21"/>
                <w:u w:val="none" w:color="auto"/>
              </w:rPr>
              <w:t>/</w:t>
            </w:r>
          </w:p>
        </w:tc>
        <w:tc>
          <w:tcPr>
            <w:tcW w:w="1590" w:type="dxa"/>
            <w:noWrap w:val="0"/>
            <w:vAlign w:val="center"/>
          </w:tcPr>
          <w:p w14:paraId="51C6FD41">
            <w:pPr>
              <w:adjustRightInd w:val="0"/>
              <w:snapToGrid w:val="0"/>
              <w:jc w:val="center"/>
              <w:rPr>
                <w:rFonts w:hint="default" w:eastAsia="宋体"/>
                <w:szCs w:val="21"/>
                <w:u w:val="none" w:color="auto"/>
                <w:lang w:val="en-US" w:eastAsia="zh-CN"/>
              </w:rPr>
            </w:pPr>
            <w:r>
              <w:rPr>
                <w:rFonts w:hint="eastAsia" w:cs="Times New Roman"/>
                <w:i w:val="0"/>
                <w:iCs w:val="0"/>
                <w:color w:val="000000"/>
                <w:kern w:val="0"/>
                <w:sz w:val="21"/>
                <w:szCs w:val="21"/>
                <w:highlight w:val="none"/>
                <w:u w:val="none" w:color="auto"/>
                <w:lang w:val="en-US" w:eastAsia="zh-CN" w:bidi="ar"/>
              </w:rPr>
              <w:t>1.88</w:t>
            </w:r>
            <w:r>
              <w:rPr>
                <w:rFonts w:hint="eastAsia"/>
                <w:szCs w:val="21"/>
                <w:u w:val="none" w:color="auto"/>
                <w:lang w:val="en-US" w:eastAsia="zh-CN"/>
              </w:rPr>
              <w:t>t/a</w:t>
            </w:r>
          </w:p>
        </w:tc>
        <w:tc>
          <w:tcPr>
            <w:tcW w:w="1545" w:type="dxa"/>
            <w:noWrap w:val="0"/>
            <w:vAlign w:val="center"/>
          </w:tcPr>
          <w:p w14:paraId="0D8BDA5A">
            <w:pPr>
              <w:adjustRightInd w:val="0"/>
              <w:snapToGrid w:val="0"/>
              <w:jc w:val="center"/>
              <w:rPr>
                <w:szCs w:val="21"/>
                <w:u w:val="none" w:color="auto"/>
              </w:rPr>
            </w:pPr>
            <w:r>
              <w:rPr>
                <w:rFonts w:hint="eastAsia"/>
                <w:szCs w:val="21"/>
                <w:u w:val="none" w:color="auto"/>
              </w:rPr>
              <w:t>/</w:t>
            </w:r>
          </w:p>
        </w:tc>
        <w:tc>
          <w:tcPr>
            <w:tcW w:w="1684" w:type="dxa"/>
            <w:noWrap w:val="0"/>
            <w:vAlign w:val="center"/>
          </w:tcPr>
          <w:p w14:paraId="21ADB217">
            <w:pPr>
              <w:adjustRightInd w:val="0"/>
              <w:snapToGrid w:val="0"/>
              <w:jc w:val="center"/>
              <w:rPr>
                <w:rFonts w:hint="eastAsia"/>
                <w:szCs w:val="21"/>
                <w:u w:val="none" w:color="auto"/>
              </w:rPr>
            </w:pPr>
            <w:r>
              <w:rPr>
                <w:rFonts w:hint="eastAsia" w:cs="Times New Roman"/>
                <w:i w:val="0"/>
                <w:iCs w:val="0"/>
                <w:color w:val="000000"/>
                <w:kern w:val="0"/>
                <w:sz w:val="21"/>
                <w:szCs w:val="21"/>
                <w:highlight w:val="none"/>
                <w:u w:val="none" w:color="auto"/>
                <w:lang w:val="en-US" w:eastAsia="zh-CN" w:bidi="ar"/>
              </w:rPr>
              <w:t>1.88</w:t>
            </w:r>
            <w:r>
              <w:rPr>
                <w:rFonts w:hint="eastAsia"/>
                <w:szCs w:val="21"/>
                <w:u w:val="none" w:color="auto"/>
                <w:lang w:val="en-US" w:eastAsia="zh-CN"/>
              </w:rPr>
              <w:t>t/a</w:t>
            </w:r>
          </w:p>
        </w:tc>
        <w:tc>
          <w:tcPr>
            <w:tcW w:w="1499" w:type="dxa"/>
            <w:noWrap w:val="0"/>
            <w:vAlign w:val="center"/>
          </w:tcPr>
          <w:p w14:paraId="7F66FBD6">
            <w:pPr>
              <w:adjustRightInd w:val="0"/>
              <w:snapToGrid w:val="0"/>
              <w:jc w:val="center"/>
              <w:rPr>
                <w:rFonts w:hint="eastAsia"/>
                <w:szCs w:val="21"/>
                <w:u w:val="none" w:color="auto"/>
              </w:rPr>
            </w:pPr>
            <w:r>
              <w:rPr>
                <w:rFonts w:hint="eastAsia" w:cs="Times New Roman"/>
                <w:i w:val="0"/>
                <w:iCs w:val="0"/>
                <w:color w:val="000000"/>
                <w:kern w:val="0"/>
                <w:sz w:val="21"/>
                <w:szCs w:val="21"/>
                <w:highlight w:val="none"/>
                <w:u w:val="none" w:color="auto"/>
                <w:lang w:val="en-US" w:eastAsia="zh-CN" w:bidi="ar"/>
              </w:rPr>
              <w:t>1.88</w:t>
            </w:r>
            <w:r>
              <w:rPr>
                <w:rFonts w:hint="eastAsia"/>
                <w:szCs w:val="21"/>
                <w:u w:val="none" w:color="auto"/>
                <w:lang w:val="en-US" w:eastAsia="zh-CN"/>
              </w:rPr>
              <w:t>t/a</w:t>
            </w:r>
          </w:p>
        </w:tc>
      </w:tr>
      <w:tr w14:paraId="0B4403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6AA36115">
            <w:pPr>
              <w:pStyle w:val="51"/>
              <w:spacing w:beforeLines="0" w:afterLines="0" w:line="240" w:lineRule="auto"/>
              <w:ind w:firstLine="0" w:firstLineChars="0"/>
              <w:rPr>
                <w:rFonts w:hint="eastAsia" w:ascii="Times New Roman"/>
                <w:snapToGrid w:val="0"/>
                <w:kern w:val="21"/>
                <w:szCs w:val="21"/>
                <w:u w:val="none" w:color="auto"/>
              </w:rPr>
            </w:pPr>
          </w:p>
        </w:tc>
        <w:tc>
          <w:tcPr>
            <w:tcW w:w="1766" w:type="dxa"/>
            <w:noWrap w:val="0"/>
            <w:vAlign w:val="center"/>
          </w:tcPr>
          <w:p w14:paraId="01E95748">
            <w:pPr>
              <w:jc w:val="center"/>
              <w:rPr>
                <w:rFonts w:hint="eastAsia" w:eastAsia="宋体"/>
                <w:szCs w:val="21"/>
                <w:u w:val="none" w:color="auto"/>
                <w:lang w:val="en-US" w:eastAsia="zh-CN"/>
              </w:rPr>
            </w:pPr>
            <w:r>
              <w:rPr>
                <w:rFonts w:hint="eastAsia"/>
                <w:szCs w:val="21"/>
                <w:u w:val="none" w:color="auto"/>
                <w:lang w:val="en-US" w:eastAsia="zh-CN"/>
              </w:rPr>
              <w:t>颗粒物</w:t>
            </w:r>
          </w:p>
        </w:tc>
        <w:tc>
          <w:tcPr>
            <w:tcW w:w="1505" w:type="dxa"/>
            <w:noWrap w:val="0"/>
            <w:vAlign w:val="center"/>
          </w:tcPr>
          <w:p w14:paraId="23090986">
            <w:pPr>
              <w:adjustRightInd w:val="0"/>
              <w:snapToGrid w:val="0"/>
              <w:jc w:val="center"/>
              <w:rPr>
                <w:rFonts w:hint="eastAsia"/>
                <w:szCs w:val="21"/>
                <w:u w:val="none" w:color="auto"/>
              </w:rPr>
            </w:pPr>
            <w:r>
              <w:rPr>
                <w:rFonts w:hint="eastAsia"/>
                <w:szCs w:val="21"/>
                <w:u w:val="none" w:color="auto"/>
              </w:rPr>
              <w:t>/</w:t>
            </w:r>
          </w:p>
        </w:tc>
        <w:tc>
          <w:tcPr>
            <w:tcW w:w="1276" w:type="dxa"/>
            <w:noWrap w:val="0"/>
            <w:vAlign w:val="center"/>
          </w:tcPr>
          <w:p w14:paraId="2B00C396">
            <w:pPr>
              <w:adjustRightInd w:val="0"/>
              <w:snapToGrid w:val="0"/>
              <w:jc w:val="center"/>
              <w:rPr>
                <w:rFonts w:hint="eastAsia"/>
                <w:szCs w:val="21"/>
                <w:u w:val="none" w:color="auto"/>
              </w:rPr>
            </w:pPr>
            <w:r>
              <w:rPr>
                <w:rFonts w:hint="eastAsia"/>
                <w:szCs w:val="21"/>
                <w:u w:val="none" w:color="auto"/>
              </w:rPr>
              <w:t>/</w:t>
            </w:r>
          </w:p>
        </w:tc>
        <w:tc>
          <w:tcPr>
            <w:tcW w:w="1472" w:type="dxa"/>
            <w:noWrap w:val="0"/>
            <w:vAlign w:val="center"/>
          </w:tcPr>
          <w:p w14:paraId="3309525B">
            <w:pPr>
              <w:adjustRightInd w:val="0"/>
              <w:snapToGrid w:val="0"/>
              <w:jc w:val="center"/>
              <w:rPr>
                <w:rFonts w:hint="eastAsia"/>
                <w:szCs w:val="21"/>
                <w:u w:val="none" w:color="auto"/>
              </w:rPr>
            </w:pPr>
            <w:r>
              <w:rPr>
                <w:rFonts w:hint="eastAsia"/>
                <w:szCs w:val="21"/>
                <w:u w:val="none" w:color="auto"/>
              </w:rPr>
              <w:t>/</w:t>
            </w:r>
          </w:p>
        </w:tc>
        <w:tc>
          <w:tcPr>
            <w:tcW w:w="1590" w:type="dxa"/>
            <w:noWrap w:val="0"/>
            <w:vAlign w:val="center"/>
          </w:tcPr>
          <w:p w14:paraId="6A7C1CD8">
            <w:pPr>
              <w:adjustRightInd w:val="0"/>
              <w:snapToGrid w:val="0"/>
              <w:jc w:val="center"/>
              <w:rPr>
                <w:rFonts w:hint="default"/>
                <w:szCs w:val="21"/>
                <w:u w:val="none" w:color="auto"/>
                <w:lang w:val="en-US" w:eastAsia="zh-CN"/>
              </w:rPr>
            </w:pPr>
            <w:r>
              <w:rPr>
                <w:rFonts w:hint="eastAsia" w:cs="Times New Roman"/>
                <w:color w:val="auto"/>
                <w:sz w:val="21"/>
                <w:szCs w:val="21"/>
                <w:highlight w:val="none"/>
                <w:u w:val="none" w:color="auto"/>
                <w:lang w:val="en-US" w:eastAsia="zh-CN"/>
              </w:rPr>
              <w:t>0.0293</w:t>
            </w:r>
            <w:r>
              <w:rPr>
                <w:rFonts w:hint="eastAsia"/>
                <w:szCs w:val="21"/>
                <w:u w:val="none" w:color="auto"/>
                <w:lang w:val="en-US" w:eastAsia="zh-CN"/>
              </w:rPr>
              <w:t>t/a</w:t>
            </w:r>
          </w:p>
        </w:tc>
        <w:tc>
          <w:tcPr>
            <w:tcW w:w="1545" w:type="dxa"/>
            <w:noWrap w:val="0"/>
            <w:vAlign w:val="center"/>
          </w:tcPr>
          <w:p w14:paraId="50661EC0">
            <w:pPr>
              <w:adjustRightInd w:val="0"/>
              <w:snapToGrid w:val="0"/>
              <w:jc w:val="center"/>
              <w:rPr>
                <w:rFonts w:hint="eastAsia"/>
                <w:szCs w:val="21"/>
                <w:u w:val="none" w:color="auto"/>
              </w:rPr>
            </w:pPr>
            <w:r>
              <w:rPr>
                <w:rFonts w:hint="eastAsia"/>
                <w:szCs w:val="21"/>
                <w:u w:val="none" w:color="auto"/>
              </w:rPr>
              <w:t>/</w:t>
            </w:r>
          </w:p>
        </w:tc>
        <w:tc>
          <w:tcPr>
            <w:tcW w:w="1684" w:type="dxa"/>
            <w:noWrap w:val="0"/>
            <w:vAlign w:val="center"/>
          </w:tcPr>
          <w:p w14:paraId="7E772270">
            <w:pPr>
              <w:adjustRightInd w:val="0"/>
              <w:snapToGrid w:val="0"/>
              <w:jc w:val="center"/>
              <w:rPr>
                <w:rFonts w:hint="eastAsia"/>
                <w:szCs w:val="21"/>
                <w:u w:val="none" w:color="auto"/>
              </w:rPr>
            </w:pPr>
            <w:r>
              <w:rPr>
                <w:rFonts w:hint="eastAsia" w:cs="Times New Roman"/>
                <w:color w:val="auto"/>
                <w:sz w:val="21"/>
                <w:szCs w:val="21"/>
                <w:highlight w:val="none"/>
                <w:u w:val="none" w:color="auto"/>
                <w:lang w:val="en-US" w:eastAsia="zh-CN"/>
              </w:rPr>
              <w:t>0.0293</w:t>
            </w:r>
            <w:r>
              <w:rPr>
                <w:rFonts w:hint="eastAsia"/>
                <w:szCs w:val="21"/>
                <w:u w:val="none" w:color="auto"/>
                <w:lang w:val="en-US" w:eastAsia="zh-CN"/>
              </w:rPr>
              <w:t>t/a</w:t>
            </w:r>
          </w:p>
        </w:tc>
        <w:tc>
          <w:tcPr>
            <w:tcW w:w="1499" w:type="dxa"/>
            <w:noWrap w:val="0"/>
            <w:vAlign w:val="center"/>
          </w:tcPr>
          <w:p w14:paraId="5B579753">
            <w:pPr>
              <w:adjustRightInd w:val="0"/>
              <w:snapToGrid w:val="0"/>
              <w:jc w:val="center"/>
              <w:rPr>
                <w:rFonts w:hint="eastAsia"/>
                <w:szCs w:val="21"/>
                <w:u w:val="none" w:color="auto"/>
              </w:rPr>
            </w:pPr>
            <w:r>
              <w:rPr>
                <w:rFonts w:hint="eastAsia"/>
                <w:szCs w:val="21"/>
                <w:u w:val="none" w:color="auto"/>
                <w:lang w:val="en-US" w:eastAsia="zh-CN"/>
              </w:rPr>
              <w:t>+</w:t>
            </w:r>
            <w:r>
              <w:rPr>
                <w:rFonts w:hint="eastAsia" w:cs="Times New Roman"/>
                <w:color w:val="auto"/>
                <w:sz w:val="21"/>
                <w:szCs w:val="21"/>
                <w:highlight w:val="none"/>
                <w:u w:val="none" w:color="auto"/>
                <w:lang w:val="en-US" w:eastAsia="zh-CN"/>
              </w:rPr>
              <w:t>0.0293</w:t>
            </w:r>
            <w:r>
              <w:rPr>
                <w:rFonts w:hint="eastAsia"/>
                <w:szCs w:val="21"/>
                <w:u w:val="none" w:color="auto"/>
                <w:lang w:val="en-US" w:eastAsia="zh-CN"/>
              </w:rPr>
              <w:t>t/a</w:t>
            </w:r>
          </w:p>
        </w:tc>
      </w:tr>
      <w:tr w14:paraId="519767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499856F3">
            <w:pPr>
              <w:pStyle w:val="51"/>
              <w:spacing w:beforeLines="0" w:afterLines="0" w:line="240" w:lineRule="auto"/>
              <w:ind w:firstLine="0" w:firstLineChars="0"/>
              <w:rPr>
                <w:rFonts w:hint="eastAsia" w:ascii="Times New Roman"/>
                <w:snapToGrid w:val="0"/>
                <w:kern w:val="21"/>
                <w:szCs w:val="21"/>
                <w:u w:val="none" w:color="auto"/>
              </w:rPr>
            </w:pPr>
          </w:p>
        </w:tc>
        <w:tc>
          <w:tcPr>
            <w:tcW w:w="1766" w:type="dxa"/>
            <w:noWrap w:val="0"/>
            <w:vAlign w:val="center"/>
          </w:tcPr>
          <w:p w14:paraId="3267EA94">
            <w:pPr>
              <w:jc w:val="center"/>
              <w:rPr>
                <w:rFonts w:hint="default"/>
                <w:szCs w:val="21"/>
                <w:u w:val="none" w:color="auto"/>
                <w:lang w:val="en-US" w:eastAsia="zh-CN"/>
              </w:rPr>
            </w:pPr>
            <w:r>
              <w:rPr>
                <w:rFonts w:hint="eastAsia"/>
                <w:szCs w:val="21"/>
                <w:u w:val="none" w:color="auto"/>
                <w:lang w:val="en-US" w:eastAsia="zh-CN"/>
              </w:rPr>
              <w:t>硫化氢</w:t>
            </w:r>
          </w:p>
        </w:tc>
        <w:tc>
          <w:tcPr>
            <w:tcW w:w="1505" w:type="dxa"/>
            <w:noWrap w:val="0"/>
            <w:vAlign w:val="center"/>
          </w:tcPr>
          <w:p w14:paraId="6D4F6AE0">
            <w:pPr>
              <w:adjustRightInd w:val="0"/>
              <w:snapToGrid w:val="0"/>
              <w:jc w:val="center"/>
              <w:rPr>
                <w:rFonts w:hint="eastAsia"/>
                <w:szCs w:val="21"/>
                <w:u w:val="none" w:color="auto"/>
              </w:rPr>
            </w:pPr>
          </w:p>
        </w:tc>
        <w:tc>
          <w:tcPr>
            <w:tcW w:w="1276" w:type="dxa"/>
            <w:noWrap w:val="0"/>
            <w:vAlign w:val="center"/>
          </w:tcPr>
          <w:p w14:paraId="04FE3B43">
            <w:pPr>
              <w:adjustRightInd w:val="0"/>
              <w:snapToGrid w:val="0"/>
              <w:jc w:val="center"/>
              <w:rPr>
                <w:rFonts w:hint="eastAsia"/>
                <w:szCs w:val="21"/>
                <w:u w:val="none" w:color="auto"/>
              </w:rPr>
            </w:pPr>
          </w:p>
        </w:tc>
        <w:tc>
          <w:tcPr>
            <w:tcW w:w="1472" w:type="dxa"/>
            <w:noWrap w:val="0"/>
            <w:vAlign w:val="center"/>
          </w:tcPr>
          <w:p w14:paraId="3582F792">
            <w:pPr>
              <w:adjustRightInd w:val="0"/>
              <w:snapToGrid w:val="0"/>
              <w:jc w:val="center"/>
              <w:rPr>
                <w:rFonts w:hint="eastAsia"/>
                <w:szCs w:val="21"/>
                <w:u w:val="none" w:color="auto"/>
              </w:rPr>
            </w:pPr>
          </w:p>
        </w:tc>
        <w:tc>
          <w:tcPr>
            <w:tcW w:w="1590" w:type="dxa"/>
            <w:noWrap w:val="0"/>
            <w:vAlign w:val="center"/>
          </w:tcPr>
          <w:p w14:paraId="51FF2C15">
            <w:pPr>
              <w:keepNext w:val="0"/>
              <w:keepLines w:val="0"/>
              <w:widowControl/>
              <w:suppressLineNumbers w:val="0"/>
              <w:jc w:val="center"/>
              <w:textAlignment w:val="center"/>
              <w:rPr>
                <w:rFonts w:hint="eastAsia"/>
                <w:szCs w:val="21"/>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0.000</w:t>
            </w:r>
            <w:r>
              <w:rPr>
                <w:rFonts w:hint="eastAsia" w:cs="Times New Roman"/>
                <w:color w:val="auto"/>
                <w:sz w:val="21"/>
                <w:szCs w:val="21"/>
                <w:highlight w:val="none"/>
                <w:u w:val="none" w:color="auto"/>
                <w:lang w:val="en-US" w:eastAsia="zh-CN"/>
              </w:rPr>
              <w:t>2</w:t>
            </w:r>
            <w:r>
              <w:rPr>
                <w:rFonts w:hint="eastAsia"/>
                <w:szCs w:val="21"/>
                <w:u w:val="none" w:color="auto"/>
                <w:lang w:val="en-US" w:eastAsia="zh-CN"/>
              </w:rPr>
              <w:t>t/a</w:t>
            </w:r>
          </w:p>
        </w:tc>
        <w:tc>
          <w:tcPr>
            <w:tcW w:w="1545" w:type="dxa"/>
            <w:noWrap w:val="0"/>
            <w:vAlign w:val="center"/>
          </w:tcPr>
          <w:p w14:paraId="121B8770">
            <w:pPr>
              <w:adjustRightInd w:val="0"/>
              <w:snapToGrid w:val="0"/>
              <w:jc w:val="center"/>
              <w:rPr>
                <w:rFonts w:hint="eastAsia"/>
                <w:szCs w:val="21"/>
                <w:u w:val="none" w:color="auto"/>
              </w:rPr>
            </w:pPr>
            <w:r>
              <w:rPr>
                <w:rFonts w:hint="eastAsia"/>
                <w:szCs w:val="21"/>
                <w:u w:val="none" w:color="auto"/>
              </w:rPr>
              <w:t>/</w:t>
            </w:r>
          </w:p>
        </w:tc>
        <w:tc>
          <w:tcPr>
            <w:tcW w:w="1684" w:type="dxa"/>
            <w:noWrap w:val="0"/>
            <w:vAlign w:val="center"/>
          </w:tcPr>
          <w:p w14:paraId="05185FDC">
            <w:pPr>
              <w:keepNext w:val="0"/>
              <w:keepLines w:val="0"/>
              <w:widowControl/>
              <w:suppressLineNumbers w:val="0"/>
              <w:jc w:val="center"/>
              <w:textAlignment w:val="center"/>
              <w:rPr>
                <w:rFonts w:hint="eastAsia"/>
                <w:szCs w:val="21"/>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0.000</w:t>
            </w:r>
            <w:r>
              <w:rPr>
                <w:rFonts w:hint="eastAsia" w:cs="Times New Roman"/>
                <w:color w:val="auto"/>
                <w:sz w:val="21"/>
                <w:szCs w:val="21"/>
                <w:highlight w:val="none"/>
                <w:u w:val="none" w:color="auto"/>
                <w:lang w:val="en-US" w:eastAsia="zh-CN"/>
              </w:rPr>
              <w:t>2</w:t>
            </w:r>
            <w:r>
              <w:rPr>
                <w:rFonts w:hint="eastAsia"/>
                <w:szCs w:val="21"/>
                <w:u w:val="none" w:color="auto"/>
                <w:lang w:val="en-US" w:eastAsia="zh-CN"/>
              </w:rPr>
              <w:t>t/a</w:t>
            </w:r>
          </w:p>
        </w:tc>
        <w:tc>
          <w:tcPr>
            <w:tcW w:w="1499" w:type="dxa"/>
            <w:shd w:val="clear" w:color="auto" w:fill="auto"/>
            <w:noWrap w:val="0"/>
            <w:vAlign w:val="center"/>
          </w:tcPr>
          <w:p w14:paraId="6B0714DB">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eastAsia" w:ascii="Times New Roman" w:hAnsi="Times New Roman" w:eastAsia="宋体" w:cs="Times New Roman"/>
                <w:color w:val="auto"/>
                <w:sz w:val="21"/>
                <w:szCs w:val="21"/>
                <w:highlight w:val="none"/>
                <w:u w:val="none" w:color="auto"/>
                <w:lang w:val="en-US" w:eastAsia="zh-CN"/>
              </w:rPr>
              <w:t>+</w:t>
            </w:r>
            <w:r>
              <w:rPr>
                <w:rFonts w:hint="default" w:ascii="Times New Roman" w:hAnsi="Times New Roman" w:eastAsia="宋体" w:cs="Times New Roman"/>
                <w:color w:val="auto"/>
                <w:sz w:val="21"/>
                <w:szCs w:val="21"/>
                <w:highlight w:val="none"/>
                <w:u w:val="none" w:color="auto"/>
                <w:lang w:val="en-US" w:eastAsia="zh-CN"/>
              </w:rPr>
              <w:t>0.000</w:t>
            </w:r>
            <w:r>
              <w:rPr>
                <w:rFonts w:hint="eastAsia" w:cs="Times New Roman"/>
                <w:color w:val="auto"/>
                <w:sz w:val="21"/>
                <w:szCs w:val="21"/>
                <w:highlight w:val="none"/>
                <w:u w:val="none" w:color="auto"/>
                <w:lang w:val="en-US" w:eastAsia="zh-CN"/>
              </w:rPr>
              <w:t>2</w:t>
            </w:r>
            <w:r>
              <w:rPr>
                <w:rFonts w:hint="eastAsia"/>
                <w:szCs w:val="21"/>
                <w:u w:val="none" w:color="auto"/>
                <w:lang w:val="en-US" w:eastAsia="zh-CN"/>
              </w:rPr>
              <w:t>t/a</w:t>
            </w:r>
          </w:p>
        </w:tc>
      </w:tr>
      <w:tr w14:paraId="08E59A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06592B8F">
            <w:pPr>
              <w:pStyle w:val="51"/>
              <w:spacing w:beforeLines="0" w:afterLines="0" w:line="240" w:lineRule="auto"/>
              <w:ind w:firstLine="0" w:firstLineChars="0"/>
              <w:rPr>
                <w:rFonts w:hint="eastAsia" w:ascii="Times New Roman"/>
                <w:snapToGrid w:val="0"/>
                <w:kern w:val="21"/>
                <w:szCs w:val="21"/>
                <w:u w:val="none" w:color="auto"/>
              </w:rPr>
            </w:pPr>
          </w:p>
        </w:tc>
        <w:tc>
          <w:tcPr>
            <w:tcW w:w="1766" w:type="dxa"/>
            <w:noWrap w:val="0"/>
            <w:vAlign w:val="center"/>
          </w:tcPr>
          <w:p w14:paraId="3C9A4A15">
            <w:pPr>
              <w:jc w:val="center"/>
              <w:rPr>
                <w:rFonts w:hint="default"/>
                <w:szCs w:val="21"/>
                <w:u w:val="none" w:color="auto"/>
                <w:lang w:val="en-US" w:eastAsia="zh-CN"/>
              </w:rPr>
            </w:pPr>
            <w:r>
              <w:rPr>
                <w:rFonts w:hint="eastAsia"/>
                <w:szCs w:val="21"/>
                <w:u w:val="none" w:color="auto"/>
                <w:lang w:val="en-US" w:eastAsia="zh-CN"/>
              </w:rPr>
              <w:t>氨</w:t>
            </w:r>
          </w:p>
        </w:tc>
        <w:tc>
          <w:tcPr>
            <w:tcW w:w="1505" w:type="dxa"/>
            <w:noWrap w:val="0"/>
            <w:vAlign w:val="center"/>
          </w:tcPr>
          <w:p w14:paraId="3B6F8863">
            <w:pPr>
              <w:adjustRightInd w:val="0"/>
              <w:snapToGrid w:val="0"/>
              <w:jc w:val="center"/>
              <w:rPr>
                <w:rFonts w:hint="eastAsia"/>
                <w:szCs w:val="21"/>
                <w:u w:val="none" w:color="auto"/>
              </w:rPr>
            </w:pPr>
            <w:r>
              <w:rPr>
                <w:rFonts w:hint="eastAsia"/>
                <w:szCs w:val="21"/>
                <w:u w:val="none" w:color="auto"/>
              </w:rPr>
              <w:t>/</w:t>
            </w:r>
          </w:p>
        </w:tc>
        <w:tc>
          <w:tcPr>
            <w:tcW w:w="1276" w:type="dxa"/>
            <w:noWrap w:val="0"/>
            <w:vAlign w:val="center"/>
          </w:tcPr>
          <w:p w14:paraId="4C7E234C">
            <w:pPr>
              <w:adjustRightInd w:val="0"/>
              <w:snapToGrid w:val="0"/>
              <w:jc w:val="center"/>
              <w:rPr>
                <w:rFonts w:hint="eastAsia"/>
                <w:szCs w:val="21"/>
                <w:u w:val="none" w:color="auto"/>
              </w:rPr>
            </w:pPr>
            <w:r>
              <w:rPr>
                <w:rFonts w:hint="eastAsia"/>
                <w:szCs w:val="21"/>
                <w:u w:val="none" w:color="auto"/>
              </w:rPr>
              <w:t>/</w:t>
            </w:r>
          </w:p>
        </w:tc>
        <w:tc>
          <w:tcPr>
            <w:tcW w:w="1472" w:type="dxa"/>
            <w:noWrap w:val="0"/>
            <w:vAlign w:val="center"/>
          </w:tcPr>
          <w:p w14:paraId="79136B2C">
            <w:pPr>
              <w:adjustRightInd w:val="0"/>
              <w:snapToGrid w:val="0"/>
              <w:jc w:val="center"/>
              <w:rPr>
                <w:rFonts w:hint="eastAsia"/>
                <w:szCs w:val="21"/>
                <w:u w:val="none" w:color="auto"/>
              </w:rPr>
            </w:pPr>
            <w:r>
              <w:rPr>
                <w:rFonts w:hint="eastAsia"/>
                <w:szCs w:val="21"/>
                <w:u w:val="none" w:color="auto"/>
              </w:rPr>
              <w:t>/</w:t>
            </w:r>
          </w:p>
        </w:tc>
        <w:tc>
          <w:tcPr>
            <w:tcW w:w="1590" w:type="dxa"/>
            <w:noWrap w:val="0"/>
            <w:vAlign w:val="center"/>
          </w:tcPr>
          <w:p w14:paraId="28B4AD9B">
            <w:pPr>
              <w:keepNext w:val="0"/>
              <w:keepLines w:val="0"/>
              <w:widowControl/>
              <w:suppressLineNumbers w:val="0"/>
              <w:jc w:val="center"/>
              <w:textAlignment w:val="center"/>
              <w:rPr>
                <w:rFonts w:hint="default"/>
                <w:szCs w:val="21"/>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w:t>
            </w:r>
            <w:r>
              <w:rPr>
                <w:rFonts w:hint="eastAsia" w:cs="Times New Roman"/>
                <w:color w:val="auto"/>
                <w:sz w:val="21"/>
                <w:szCs w:val="21"/>
                <w:highlight w:val="none"/>
                <w:u w:val="none" w:color="auto"/>
                <w:lang w:val="en-US" w:eastAsia="zh-CN"/>
              </w:rPr>
              <w:t>113</w:t>
            </w:r>
            <w:r>
              <w:rPr>
                <w:rFonts w:hint="eastAsia"/>
                <w:szCs w:val="21"/>
                <w:u w:val="none" w:color="auto"/>
                <w:lang w:val="en-US" w:eastAsia="zh-CN"/>
              </w:rPr>
              <w:t>t/a</w:t>
            </w:r>
          </w:p>
        </w:tc>
        <w:tc>
          <w:tcPr>
            <w:tcW w:w="1545" w:type="dxa"/>
            <w:noWrap w:val="0"/>
            <w:vAlign w:val="center"/>
          </w:tcPr>
          <w:p w14:paraId="391B76F6">
            <w:pPr>
              <w:adjustRightInd w:val="0"/>
              <w:snapToGrid w:val="0"/>
              <w:jc w:val="center"/>
              <w:rPr>
                <w:rFonts w:hint="eastAsia"/>
                <w:szCs w:val="21"/>
                <w:u w:val="none" w:color="auto"/>
              </w:rPr>
            </w:pPr>
            <w:r>
              <w:rPr>
                <w:rFonts w:hint="eastAsia"/>
                <w:szCs w:val="21"/>
                <w:u w:val="none" w:color="auto"/>
              </w:rPr>
              <w:t>/</w:t>
            </w:r>
          </w:p>
        </w:tc>
        <w:tc>
          <w:tcPr>
            <w:tcW w:w="1684" w:type="dxa"/>
            <w:noWrap w:val="0"/>
            <w:vAlign w:val="center"/>
          </w:tcPr>
          <w:p w14:paraId="75885329">
            <w:pPr>
              <w:keepNext w:val="0"/>
              <w:keepLines w:val="0"/>
              <w:widowControl/>
              <w:suppressLineNumbers w:val="0"/>
              <w:jc w:val="center"/>
              <w:textAlignment w:val="center"/>
              <w:rPr>
                <w:rFonts w:hint="eastAsia"/>
                <w:szCs w:val="21"/>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w:t>
            </w:r>
            <w:r>
              <w:rPr>
                <w:rFonts w:hint="eastAsia" w:cs="Times New Roman"/>
                <w:color w:val="auto"/>
                <w:sz w:val="21"/>
                <w:szCs w:val="21"/>
                <w:highlight w:val="none"/>
                <w:u w:val="none" w:color="auto"/>
                <w:lang w:val="en-US" w:eastAsia="zh-CN"/>
              </w:rPr>
              <w:t>113</w:t>
            </w:r>
            <w:r>
              <w:rPr>
                <w:rFonts w:hint="eastAsia"/>
                <w:szCs w:val="21"/>
                <w:u w:val="none" w:color="auto"/>
                <w:lang w:val="en-US" w:eastAsia="zh-CN"/>
              </w:rPr>
              <w:t>t/a</w:t>
            </w:r>
          </w:p>
        </w:tc>
        <w:tc>
          <w:tcPr>
            <w:tcW w:w="1499" w:type="dxa"/>
            <w:shd w:val="clear" w:color="auto" w:fill="auto"/>
            <w:noWrap w:val="0"/>
            <w:vAlign w:val="center"/>
          </w:tcPr>
          <w:p w14:paraId="6A9B30C1">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eastAsia" w:ascii="Times New Roman" w:hAnsi="Times New Roman" w:eastAsia="宋体" w:cs="Times New Roman"/>
                <w:color w:val="auto"/>
                <w:sz w:val="21"/>
                <w:szCs w:val="21"/>
                <w:highlight w:val="none"/>
                <w:u w:val="none" w:color="auto"/>
                <w:lang w:val="en-US" w:eastAsia="zh-CN"/>
              </w:rPr>
              <w:t>+</w:t>
            </w:r>
            <w:r>
              <w:rPr>
                <w:rFonts w:hint="default" w:ascii="Times New Roman" w:hAnsi="Times New Roman" w:eastAsia="宋体" w:cs="Times New Roman"/>
                <w:color w:val="auto"/>
                <w:sz w:val="21"/>
                <w:szCs w:val="21"/>
                <w:highlight w:val="none"/>
                <w:u w:val="none" w:color="auto"/>
                <w:lang w:val="en-US" w:eastAsia="zh-CN"/>
              </w:rPr>
              <w:t>0.0</w:t>
            </w:r>
            <w:r>
              <w:rPr>
                <w:rFonts w:hint="eastAsia" w:cs="Times New Roman"/>
                <w:color w:val="auto"/>
                <w:sz w:val="21"/>
                <w:szCs w:val="21"/>
                <w:highlight w:val="none"/>
                <w:u w:val="none" w:color="auto"/>
                <w:lang w:val="en-US" w:eastAsia="zh-CN"/>
              </w:rPr>
              <w:t>113</w:t>
            </w:r>
            <w:r>
              <w:rPr>
                <w:rFonts w:hint="eastAsia"/>
                <w:szCs w:val="21"/>
                <w:u w:val="none" w:color="auto"/>
                <w:lang w:val="en-US" w:eastAsia="zh-CN"/>
              </w:rPr>
              <w:t>t/a</w:t>
            </w:r>
          </w:p>
        </w:tc>
      </w:tr>
      <w:tr w14:paraId="3F78B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restart"/>
            <w:noWrap w:val="0"/>
            <w:vAlign w:val="center"/>
          </w:tcPr>
          <w:p w14:paraId="025A2344">
            <w:pPr>
              <w:pStyle w:val="51"/>
              <w:spacing w:beforeLines="0" w:afterLines="0" w:line="240" w:lineRule="auto"/>
              <w:ind w:firstLine="0" w:firstLineChars="0"/>
              <w:rPr>
                <w:rFonts w:ascii="Times New Roman"/>
                <w:snapToGrid w:val="0"/>
                <w:kern w:val="21"/>
                <w:szCs w:val="21"/>
                <w:u w:val="none" w:color="auto"/>
              </w:rPr>
            </w:pPr>
            <w:r>
              <w:rPr>
                <w:rFonts w:ascii="Times New Roman"/>
                <w:snapToGrid w:val="0"/>
                <w:kern w:val="21"/>
                <w:szCs w:val="21"/>
                <w:u w:val="none" w:color="auto"/>
              </w:rPr>
              <w:t>废水</w:t>
            </w:r>
          </w:p>
        </w:tc>
        <w:tc>
          <w:tcPr>
            <w:tcW w:w="1766" w:type="dxa"/>
            <w:noWrap w:val="0"/>
            <w:vAlign w:val="center"/>
          </w:tcPr>
          <w:p w14:paraId="56609E73">
            <w:pPr>
              <w:jc w:val="center"/>
              <w:rPr>
                <w:rFonts w:hint="eastAsia" w:eastAsia="宋体"/>
                <w:snapToGrid w:val="0"/>
                <w:kern w:val="21"/>
                <w:szCs w:val="21"/>
                <w:u w:val="none" w:color="auto"/>
                <w:lang w:val="en-US" w:eastAsia="zh-CN"/>
              </w:rPr>
            </w:pPr>
            <w:r>
              <w:rPr>
                <w:rFonts w:hint="eastAsia"/>
                <w:snapToGrid w:val="0"/>
                <w:kern w:val="21"/>
                <w:szCs w:val="21"/>
                <w:u w:val="none" w:color="auto"/>
                <w:lang w:val="en-US" w:eastAsia="zh-CN"/>
              </w:rPr>
              <w:t>废水量</w:t>
            </w:r>
          </w:p>
        </w:tc>
        <w:tc>
          <w:tcPr>
            <w:tcW w:w="1505" w:type="dxa"/>
            <w:noWrap w:val="0"/>
            <w:vAlign w:val="center"/>
          </w:tcPr>
          <w:p w14:paraId="50FE17AF">
            <w:pPr>
              <w:adjustRightInd w:val="0"/>
              <w:snapToGrid w:val="0"/>
              <w:jc w:val="center"/>
              <w:rPr>
                <w:szCs w:val="21"/>
                <w:u w:val="none" w:color="auto"/>
              </w:rPr>
            </w:pPr>
            <w:r>
              <w:rPr>
                <w:rFonts w:hint="eastAsia"/>
                <w:szCs w:val="21"/>
                <w:u w:val="none" w:color="auto"/>
              </w:rPr>
              <w:t>/</w:t>
            </w:r>
          </w:p>
        </w:tc>
        <w:tc>
          <w:tcPr>
            <w:tcW w:w="1276" w:type="dxa"/>
            <w:noWrap w:val="0"/>
            <w:vAlign w:val="center"/>
          </w:tcPr>
          <w:p w14:paraId="72763565">
            <w:pPr>
              <w:adjustRightInd w:val="0"/>
              <w:snapToGrid w:val="0"/>
              <w:jc w:val="center"/>
              <w:rPr>
                <w:szCs w:val="21"/>
                <w:u w:val="none" w:color="auto"/>
              </w:rPr>
            </w:pPr>
            <w:r>
              <w:rPr>
                <w:rFonts w:hint="eastAsia"/>
                <w:szCs w:val="21"/>
                <w:u w:val="none" w:color="auto"/>
              </w:rPr>
              <w:t>/</w:t>
            </w:r>
          </w:p>
        </w:tc>
        <w:tc>
          <w:tcPr>
            <w:tcW w:w="1472" w:type="dxa"/>
            <w:noWrap w:val="0"/>
            <w:vAlign w:val="center"/>
          </w:tcPr>
          <w:p w14:paraId="7C5FDDF0">
            <w:pPr>
              <w:adjustRightInd w:val="0"/>
              <w:snapToGrid w:val="0"/>
              <w:jc w:val="center"/>
              <w:rPr>
                <w:szCs w:val="21"/>
                <w:u w:val="none" w:color="auto"/>
              </w:rPr>
            </w:pPr>
            <w:r>
              <w:rPr>
                <w:rFonts w:hint="eastAsia"/>
                <w:szCs w:val="21"/>
                <w:u w:val="none" w:color="auto"/>
              </w:rPr>
              <w:t>/</w:t>
            </w:r>
          </w:p>
        </w:tc>
        <w:tc>
          <w:tcPr>
            <w:tcW w:w="1590" w:type="dxa"/>
            <w:shd w:val="clear" w:color="auto" w:fill="auto"/>
            <w:noWrap w:val="0"/>
            <w:vAlign w:val="center"/>
          </w:tcPr>
          <w:p w14:paraId="207119B3">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29855.1</w:t>
            </w:r>
            <w:r>
              <w:rPr>
                <w:rFonts w:hint="eastAsia"/>
                <w:szCs w:val="21"/>
                <w:u w:val="none" w:color="auto"/>
                <w:lang w:val="en-US" w:eastAsia="zh-CN"/>
              </w:rPr>
              <w:t>t/a</w:t>
            </w:r>
          </w:p>
        </w:tc>
        <w:tc>
          <w:tcPr>
            <w:tcW w:w="1545" w:type="dxa"/>
            <w:noWrap w:val="0"/>
            <w:vAlign w:val="center"/>
          </w:tcPr>
          <w:p w14:paraId="22A2DAFA">
            <w:pPr>
              <w:keepNext w:val="0"/>
              <w:keepLines w:val="0"/>
              <w:widowControl/>
              <w:suppressLineNumbers w:val="0"/>
              <w:jc w:val="center"/>
              <w:textAlignment w:val="center"/>
              <w:rPr>
                <w:rFonts w:hint="eastAsia" w:ascii="Times New Roman" w:hAnsi="Times New Roman" w:eastAsia="宋体" w:cs="Times New Roman"/>
                <w:color w:val="auto"/>
                <w:sz w:val="21"/>
                <w:szCs w:val="21"/>
                <w:highlight w:val="none"/>
                <w:u w:val="none" w:color="auto"/>
                <w:lang w:val="en-US" w:eastAsia="zh-CN"/>
              </w:rPr>
            </w:pPr>
            <w:r>
              <w:rPr>
                <w:rFonts w:hint="eastAsia"/>
                <w:szCs w:val="21"/>
                <w:u w:val="none" w:color="auto"/>
              </w:rPr>
              <w:t>/</w:t>
            </w:r>
          </w:p>
        </w:tc>
        <w:tc>
          <w:tcPr>
            <w:tcW w:w="1684" w:type="dxa"/>
            <w:noWrap w:val="0"/>
            <w:vAlign w:val="center"/>
          </w:tcPr>
          <w:p w14:paraId="3F0B961D">
            <w:pPr>
              <w:jc w:val="center"/>
              <w:rPr>
                <w:b/>
                <w:szCs w:val="21"/>
                <w:u w:val="none" w:color="auto"/>
              </w:rPr>
            </w:pPr>
            <w:r>
              <w:rPr>
                <w:rFonts w:hint="eastAsia" w:ascii="Times New Roman" w:hAnsi="Times New Roman" w:eastAsia="宋体" w:cs="Times New Roman"/>
                <w:color w:val="auto"/>
                <w:sz w:val="21"/>
                <w:szCs w:val="21"/>
                <w:highlight w:val="none"/>
                <w:u w:val="none" w:color="auto"/>
                <w:lang w:val="en-US" w:eastAsia="zh-CN"/>
              </w:rPr>
              <w:t>29855.1</w:t>
            </w:r>
            <w:r>
              <w:rPr>
                <w:rFonts w:hint="eastAsia"/>
                <w:szCs w:val="21"/>
                <w:u w:val="none" w:color="auto"/>
                <w:lang w:val="en-US" w:eastAsia="zh-CN"/>
              </w:rPr>
              <w:t>t/a</w:t>
            </w:r>
          </w:p>
        </w:tc>
        <w:tc>
          <w:tcPr>
            <w:tcW w:w="1499" w:type="dxa"/>
            <w:noWrap w:val="0"/>
            <w:vAlign w:val="center"/>
          </w:tcPr>
          <w:p w14:paraId="2A3ED277">
            <w:pPr>
              <w:jc w:val="center"/>
              <w:rPr>
                <w:b/>
                <w:szCs w:val="21"/>
                <w:u w:val="none" w:color="auto"/>
              </w:rPr>
            </w:pPr>
            <w:r>
              <w:rPr>
                <w:rFonts w:hint="eastAsia"/>
                <w:color w:val="000000" w:themeColor="text1"/>
                <w:szCs w:val="21"/>
                <w:u w:val="none" w:color="auto"/>
                <w:lang w:val="en-US" w:eastAsia="zh-CN"/>
                <w14:textFill>
                  <w14:solidFill>
                    <w14:schemeClr w14:val="tx1"/>
                  </w14:solidFill>
                </w14:textFill>
              </w:rPr>
              <w:t>+</w:t>
            </w:r>
            <w:r>
              <w:rPr>
                <w:rFonts w:hint="eastAsia" w:ascii="Times New Roman" w:hAnsi="Times New Roman" w:eastAsia="宋体" w:cs="Times New Roman"/>
                <w:color w:val="auto"/>
                <w:sz w:val="21"/>
                <w:szCs w:val="21"/>
                <w:highlight w:val="none"/>
                <w:u w:val="none" w:color="auto"/>
                <w:lang w:val="en-US" w:eastAsia="zh-CN"/>
              </w:rPr>
              <w:t>29855.1</w:t>
            </w:r>
            <w:r>
              <w:rPr>
                <w:rFonts w:hint="eastAsia"/>
                <w:szCs w:val="21"/>
                <w:u w:val="none" w:color="auto"/>
                <w:lang w:val="en-US" w:eastAsia="zh-CN"/>
              </w:rPr>
              <w:t>t/a</w:t>
            </w:r>
          </w:p>
        </w:tc>
      </w:tr>
      <w:tr w14:paraId="3D9EE5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732D82F8">
            <w:pPr>
              <w:pStyle w:val="51"/>
              <w:spacing w:beforeLines="0" w:afterLines="0" w:line="240" w:lineRule="auto"/>
              <w:ind w:firstLine="0" w:firstLineChars="0"/>
              <w:rPr>
                <w:rFonts w:ascii="Times New Roman"/>
                <w:snapToGrid w:val="0"/>
                <w:kern w:val="21"/>
                <w:szCs w:val="21"/>
                <w:u w:val="none" w:color="auto"/>
              </w:rPr>
            </w:pPr>
          </w:p>
        </w:tc>
        <w:tc>
          <w:tcPr>
            <w:tcW w:w="1766" w:type="dxa"/>
            <w:noWrap w:val="0"/>
            <w:vAlign w:val="center"/>
          </w:tcPr>
          <w:p w14:paraId="6C9FFAC3">
            <w:pPr>
              <w:jc w:val="center"/>
              <w:rPr>
                <w:rFonts w:hint="eastAsia"/>
                <w:snapToGrid w:val="0"/>
                <w:kern w:val="21"/>
                <w:szCs w:val="21"/>
                <w:u w:val="none" w:color="auto"/>
                <w:lang w:val="en-US" w:eastAsia="zh-CN"/>
              </w:rPr>
            </w:pPr>
            <w:r>
              <w:rPr>
                <w:rFonts w:hint="eastAsia"/>
                <w:snapToGrid w:val="0"/>
                <w:kern w:val="21"/>
                <w:szCs w:val="21"/>
                <w:u w:val="none" w:color="auto"/>
                <w:lang w:val="en-US" w:eastAsia="zh-CN"/>
              </w:rPr>
              <w:t>COD</w:t>
            </w:r>
          </w:p>
        </w:tc>
        <w:tc>
          <w:tcPr>
            <w:tcW w:w="1505" w:type="dxa"/>
            <w:noWrap w:val="0"/>
            <w:vAlign w:val="center"/>
          </w:tcPr>
          <w:p w14:paraId="0518E467">
            <w:pPr>
              <w:adjustRightInd w:val="0"/>
              <w:snapToGrid w:val="0"/>
              <w:jc w:val="center"/>
              <w:rPr>
                <w:rFonts w:hint="eastAsia"/>
                <w:szCs w:val="21"/>
                <w:u w:val="none" w:color="auto"/>
              </w:rPr>
            </w:pPr>
            <w:r>
              <w:rPr>
                <w:rFonts w:hint="eastAsia"/>
                <w:szCs w:val="21"/>
                <w:u w:val="none" w:color="auto"/>
              </w:rPr>
              <w:t>/</w:t>
            </w:r>
          </w:p>
        </w:tc>
        <w:tc>
          <w:tcPr>
            <w:tcW w:w="1276" w:type="dxa"/>
            <w:noWrap w:val="0"/>
            <w:vAlign w:val="center"/>
          </w:tcPr>
          <w:p w14:paraId="7BC4E0E4">
            <w:pPr>
              <w:adjustRightInd w:val="0"/>
              <w:snapToGrid w:val="0"/>
              <w:jc w:val="center"/>
              <w:rPr>
                <w:rFonts w:hint="eastAsia"/>
                <w:szCs w:val="21"/>
                <w:u w:val="none" w:color="auto"/>
              </w:rPr>
            </w:pPr>
            <w:r>
              <w:rPr>
                <w:rFonts w:hint="eastAsia"/>
                <w:szCs w:val="21"/>
                <w:u w:val="none" w:color="auto"/>
              </w:rPr>
              <w:t>/</w:t>
            </w:r>
          </w:p>
        </w:tc>
        <w:tc>
          <w:tcPr>
            <w:tcW w:w="1472" w:type="dxa"/>
            <w:noWrap w:val="0"/>
            <w:vAlign w:val="center"/>
          </w:tcPr>
          <w:p w14:paraId="3A549FAB">
            <w:pPr>
              <w:adjustRightInd w:val="0"/>
              <w:snapToGrid w:val="0"/>
              <w:jc w:val="center"/>
              <w:rPr>
                <w:rFonts w:hint="eastAsia"/>
                <w:szCs w:val="21"/>
                <w:u w:val="none" w:color="auto"/>
              </w:rPr>
            </w:pPr>
            <w:r>
              <w:rPr>
                <w:rFonts w:hint="eastAsia"/>
                <w:szCs w:val="21"/>
                <w:u w:val="none" w:color="auto"/>
              </w:rPr>
              <w:t>/</w:t>
            </w:r>
          </w:p>
        </w:tc>
        <w:tc>
          <w:tcPr>
            <w:tcW w:w="1590" w:type="dxa"/>
            <w:noWrap w:val="0"/>
            <w:vAlign w:val="center"/>
          </w:tcPr>
          <w:p w14:paraId="5DDF1D50">
            <w:pPr>
              <w:keepNext w:val="0"/>
              <w:keepLines w:val="0"/>
              <w:widowControl/>
              <w:suppressLineNumbers w:val="0"/>
              <w:jc w:val="center"/>
              <w:textAlignment w:val="center"/>
              <w:rPr>
                <w:rFonts w:hint="default" w:eastAsia="宋体"/>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1.1942</w:t>
            </w:r>
            <w:r>
              <w:rPr>
                <w:rFonts w:hint="eastAsia"/>
                <w:szCs w:val="21"/>
                <w:u w:val="none" w:color="auto"/>
                <w:lang w:val="en-US" w:eastAsia="zh-CN"/>
              </w:rPr>
              <w:t>t/a</w:t>
            </w:r>
          </w:p>
        </w:tc>
        <w:tc>
          <w:tcPr>
            <w:tcW w:w="1545" w:type="dxa"/>
            <w:noWrap w:val="0"/>
            <w:vAlign w:val="center"/>
          </w:tcPr>
          <w:p w14:paraId="60B98F7A">
            <w:pPr>
              <w:adjustRightInd w:val="0"/>
              <w:snapToGrid w:val="0"/>
              <w:jc w:val="center"/>
              <w:rPr>
                <w:rFonts w:hint="eastAsia"/>
                <w:szCs w:val="21"/>
                <w:u w:val="none" w:color="auto"/>
              </w:rPr>
            </w:pPr>
            <w:r>
              <w:rPr>
                <w:rFonts w:hint="eastAsia"/>
                <w:szCs w:val="21"/>
                <w:u w:val="none" w:color="auto"/>
              </w:rPr>
              <w:t>/</w:t>
            </w:r>
          </w:p>
        </w:tc>
        <w:tc>
          <w:tcPr>
            <w:tcW w:w="1684" w:type="dxa"/>
            <w:shd w:val="clear" w:color="auto" w:fill="auto"/>
            <w:noWrap w:val="0"/>
            <w:vAlign w:val="center"/>
          </w:tcPr>
          <w:p w14:paraId="074CF9C1">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1.1942</w:t>
            </w:r>
            <w:r>
              <w:rPr>
                <w:rFonts w:hint="eastAsia"/>
                <w:szCs w:val="21"/>
                <w:u w:val="none" w:color="auto"/>
                <w:lang w:val="en-US" w:eastAsia="zh-CN"/>
              </w:rPr>
              <w:t>t/a</w:t>
            </w:r>
          </w:p>
        </w:tc>
        <w:tc>
          <w:tcPr>
            <w:tcW w:w="1499" w:type="dxa"/>
            <w:shd w:val="clear" w:color="auto" w:fill="auto"/>
            <w:noWrap w:val="0"/>
            <w:vAlign w:val="center"/>
          </w:tcPr>
          <w:p w14:paraId="213A33A9">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1.1942</w:t>
            </w:r>
            <w:r>
              <w:rPr>
                <w:rFonts w:hint="eastAsia"/>
                <w:szCs w:val="21"/>
                <w:u w:val="none" w:color="auto"/>
                <w:lang w:val="en-US" w:eastAsia="zh-CN"/>
              </w:rPr>
              <w:t>t/a</w:t>
            </w:r>
          </w:p>
        </w:tc>
      </w:tr>
      <w:tr w14:paraId="7CCC1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5276A24F">
            <w:pPr>
              <w:pStyle w:val="51"/>
              <w:spacing w:beforeLines="0" w:afterLines="0" w:line="240" w:lineRule="auto"/>
              <w:ind w:firstLine="0" w:firstLineChars="0"/>
              <w:rPr>
                <w:rFonts w:ascii="Times New Roman"/>
                <w:snapToGrid w:val="0"/>
                <w:kern w:val="21"/>
                <w:szCs w:val="21"/>
                <w:u w:val="none" w:color="auto"/>
              </w:rPr>
            </w:pPr>
          </w:p>
        </w:tc>
        <w:tc>
          <w:tcPr>
            <w:tcW w:w="1766" w:type="dxa"/>
            <w:noWrap w:val="0"/>
            <w:vAlign w:val="center"/>
          </w:tcPr>
          <w:p w14:paraId="722ECA8D">
            <w:pPr>
              <w:jc w:val="center"/>
              <w:rPr>
                <w:rFonts w:hint="eastAsia"/>
                <w:snapToGrid w:val="0"/>
                <w:kern w:val="21"/>
                <w:szCs w:val="21"/>
                <w:u w:val="none" w:color="auto"/>
                <w:lang w:val="en-US" w:eastAsia="zh-CN"/>
              </w:rPr>
            </w:pPr>
            <w:r>
              <w:rPr>
                <w:rFonts w:hint="eastAsia"/>
                <w:snapToGrid w:val="0"/>
                <w:kern w:val="21"/>
                <w:szCs w:val="21"/>
                <w:u w:val="none" w:color="auto"/>
                <w:lang w:val="en-US" w:eastAsia="zh-CN"/>
              </w:rPr>
              <w:t>SS</w:t>
            </w:r>
          </w:p>
        </w:tc>
        <w:tc>
          <w:tcPr>
            <w:tcW w:w="1505" w:type="dxa"/>
            <w:noWrap w:val="0"/>
            <w:vAlign w:val="center"/>
          </w:tcPr>
          <w:p w14:paraId="51B9E5EF">
            <w:pPr>
              <w:adjustRightInd w:val="0"/>
              <w:snapToGrid w:val="0"/>
              <w:jc w:val="center"/>
              <w:rPr>
                <w:rFonts w:hint="eastAsia"/>
                <w:szCs w:val="21"/>
                <w:u w:val="none" w:color="auto"/>
              </w:rPr>
            </w:pPr>
            <w:r>
              <w:rPr>
                <w:rFonts w:hint="eastAsia"/>
                <w:szCs w:val="21"/>
                <w:u w:val="none" w:color="auto"/>
                <w:lang w:val="en-US" w:eastAsia="zh-CN"/>
              </w:rPr>
              <w:t>/</w:t>
            </w:r>
          </w:p>
        </w:tc>
        <w:tc>
          <w:tcPr>
            <w:tcW w:w="1276" w:type="dxa"/>
            <w:noWrap w:val="0"/>
            <w:vAlign w:val="center"/>
          </w:tcPr>
          <w:p w14:paraId="0DDD615C">
            <w:pPr>
              <w:adjustRightInd w:val="0"/>
              <w:snapToGrid w:val="0"/>
              <w:jc w:val="center"/>
              <w:rPr>
                <w:rFonts w:hint="eastAsia"/>
                <w:szCs w:val="21"/>
                <w:u w:val="none" w:color="auto"/>
              </w:rPr>
            </w:pPr>
            <w:r>
              <w:rPr>
                <w:rFonts w:hint="eastAsia"/>
                <w:szCs w:val="21"/>
                <w:u w:val="none" w:color="auto"/>
                <w:lang w:val="en-US" w:eastAsia="zh-CN"/>
              </w:rPr>
              <w:t>/</w:t>
            </w:r>
          </w:p>
        </w:tc>
        <w:tc>
          <w:tcPr>
            <w:tcW w:w="1472" w:type="dxa"/>
            <w:noWrap w:val="0"/>
            <w:vAlign w:val="center"/>
          </w:tcPr>
          <w:p w14:paraId="7F4215C3">
            <w:pPr>
              <w:adjustRightInd w:val="0"/>
              <w:snapToGrid w:val="0"/>
              <w:jc w:val="center"/>
              <w:rPr>
                <w:rFonts w:hint="eastAsia"/>
                <w:szCs w:val="21"/>
                <w:u w:val="none" w:color="auto"/>
              </w:rPr>
            </w:pPr>
            <w:r>
              <w:rPr>
                <w:rFonts w:hint="eastAsia"/>
                <w:szCs w:val="21"/>
                <w:u w:val="none" w:color="auto"/>
                <w:lang w:val="en-US" w:eastAsia="zh-CN"/>
              </w:rPr>
              <w:t>/</w:t>
            </w:r>
          </w:p>
        </w:tc>
        <w:tc>
          <w:tcPr>
            <w:tcW w:w="1590" w:type="dxa"/>
            <w:noWrap w:val="0"/>
            <w:vAlign w:val="center"/>
          </w:tcPr>
          <w:p w14:paraId="4F8A20A5">
            <w:pPr>
              <w:keepNext w:val="0"/>
              <w:keepLines w:val="0"/>
              <w:widowControl/>
              <w:suppressLineNumbers w:val="0"/>
              <w:jc w:val="center"/>
              <w:textAlignment w:val="center"/>
              <w:rPr>
                <w:rFonts w:hint="default" w:eastAsia="宋体"/>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0.2986</w:t>
            </w:r>
            <w:r>
              <w:rPr>
                <w:rFonts w:hint="eastAsia"/>
                <w:szCs w:val="21"/>
                <w:u w:val="none" w:color="auto"/>
                <w:lang w:val="en-US" w:eastAsia="zh-CN"/>
              </w:rPr>
              <w:t>t/a</w:t>
            </w:r>
          </w:p>
        </w:tc>
        <w:tc>
          <w:tcPr>
            <w:tcW w:w="1545" w:type="dxa"/>
            <w:noWrap w:val="0"/>
            <w:vAlign w:val="center"/>
          </w:tcPr>
          <w:p w14:paraId="22ADC093">
            <w:pPr>
              <w:adjustRightInd w:val="0"/>
              <w:snapToGrid w:val="0"/>
              <w:jc w:val="center"/>
              <w:rPr>
                <w:rFonts w:hint="eastAsia"/>
                <w:szCs w:val="21"/>
                <w:u w:val="none" w:color="auto"/>
              </w:rPr>
            </w:pPr>
            <w:r>
              <w:rPr>
                <w:rFonts w:hint="eastAsia"/>
                <w:szCs w:val="21"/>
                <w:u w:val="none" w:color="auto"/>
              </w:rPr>
              <w:t>/</w:t>
            </w:r>
          </w:p>
        </w:tc>
        <w:tc>
          <w:tcPr>
            <w:tcW w:w="1684" w:type="dxa"/>
            <w:shd w:val="clear" w:color="auto" w:fill="auto"/>
            <w:noWrap w:val="0"/>
            <w:vAlign w:val="center"/>
          </w:tcPr>
          <w:p w14:paraId="0D143996">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0.2986</w:t>
            </w:r>
            <w:r>
              <w:rPr>
                <w:rFonts w:hint="eastAsia"/>
                <w:szCs w:val="21"/>
                <w:u w:val="none" w:color="auto"/>
                <w:lang w:val="en-US" w:eastAsia="zh-CN"/>
              </w:rPr>
              <w:t>t/a</w:t>
            </w:r>
          </w:p>
        </w:tc>
        <w:tc>
          <w:tcPr>
            <w:tcW w:w="1499" w:type="dxa"/>
            <w:shd w:val="clear" w:color="auto" w:fill="auto"/>
            <w:noWrap w:val="0"/>
            <w:vAlign w:val="center"/>
          </w:tcPr>
          <w:p w14:paraId="09AA752C">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0.2986</w:t>
            </w:r>
            <w:r>
              <w:rPr>
                <w:rFonts w:hint="eastAsia"/>
                <w:szCs w:val="21"/>
                <w:u w:val="none" w:color="auto"/>
                <w:lang w:val="en-US" w:eastAsia="zh-CN"/>
              </w:rPr>
              <w:t>t/a</w:t>
            </w:r>
          </w:p>
        </w:tc>
      </w:tr>
      <w:tr w14:paraId="36C0DE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09D6236C">
            <w:pPr>
              <w:pStyle w:val="51"/>
              <w:spacing w:beforeLines="0" w:afterLines="0" w:line="240" w:lineRule="auto"/>
              <w:ind w:firstLine="0" w:firstLineChars="0"/>
              <w:rPr>
                <w:rFonts w:ascii="Times New Roman"/>
                <w:snapToGrid w:val="0"/>
                <w:kern w:val="21"/>
                <w:szCs w:val="21"/>
                <w:u w:val="none" w:color="auto"/>
              </w:rPr>
            </w:pPr>
          </w:p>
        </w:tc>
        <w:tc>
          <w:tcPr>
            <w:tcW w:w="1766" w:type="dxa"/>
            <w:noWrap w:val="0"/>
            <w:vAlign w:val="center"/>
          </w:tcPr>
          <w:p w14:paraId="044674F4">
            <w:pPr>
              <w:jc w:val="center"/>
              <w:rPr>
                <w:rFonts w:hint="eastAsia"/>
                <w:snapToGrid w:val="0"/>
                <w:kern w:val="21"/>
                <w:szCs w:val="21"/>
                <w:u w:val="none" w:color="auto"/>
                <w:lang w:val="en-US" w:eastAsia="zh-CN"/>
              </w:rPr>
            </w:pPr>
            <w:r>
              <w:rPr>
                <w:rFonts w:hint="eastAsia"/>
                <w:snapToGrid w:val="0"/>
                <w:kern w:val="21"/>
                <w:szCs w:val="21"/>
                <w:u w:val="none" w:color="auto"/>
                <w:lang w:val="en-US" w:eastAsia="zh-CN"/>
              </w:rPr>
              <w:t>NH</w:t>
            </w:r>
            <w:r>
              <w:rPr>
                <w:rFonts w:hint="eastAsia"/>
                <w:snapToGrid w:val="0"/>
                <w:kern w:val="21"/>
                <w:szCs w:val="21"/>
                <w:u w:val="none" w:color="auto"/>
                <w:vertAlign w:val="subscript"/>
                <w:lang w:val="en-US" w:eastAsia="zh-CN"/>
              </w:rPr>
              <w:t>3</w:t>
            </w:r>
            <w:r>
              <w:rPr>
                <w:rFonts w:hint="eastAsia"/>
                <w:snapToGrid w:val="0"/>
                <w:kern w:val="21"/>
                <w:szCs w:val="21"/>
                <w:u w:val="none" w:color="auto"/>
                <w:lang w:val="en-US" w:eastAsia="zh-CN"/>
              </w:rPr>
              <w:t>-N</w:t>
            </w:r>
          </w:p>
        </w:tc>
        <w:tc>
          <w:tcPr>
            <w:tcW w:w="1505" w:type="dxa"/>
            <w:noWrap w:val="0"/>
            <w:vAlign w:val="center"/>
          </w:tcPr>
          <w:p w14:paraId="2A21E382">
            <w:pPr>
              <w:adjustRightInd w:val="0"/>
              <w:snapToGrid w:val="0"/>
              <w:jc w:val="center"/>
              <w:rPr>
                <w:rFonts w:hint="eastAsia"/>
                <w:szCs w:val="21"/>
                <w:u w:val="none" w:color="auto"/>
              </w:rPr>
            </w:pPr>
            <w:r>
              <w:rPr>
                <w:rFonts w:hint="eastAsia"/>
                <w:szCs w:val="21"/>
                <w:u w:val="none" w:color="auto"/>
              </w:rPr>
              <w:t>/</w:t>
            </w:r>
          </w:p>
        </w:tc>
        <w:tc>
          <w:tcPr>
            <w:tcW w:w="1276" w:type="dxa"/>
            <w:noWrap w:val="0"/>
            <w:vAlign w:val="center"/>
          </w:tcPr>
          <w:p w14:paraId="203315CE">
            <w:pPr>
              <w:adjustRightInd w:val="0"/>
              <w:snapToGrid w:val="0"/>
              <w:jc w:val="center"/>
              <w:rPr>
                <w:rFonts w:hint="eastAsia"/>
                <w:szCs w:val="21"/>
                <w:u w:val="none" w:color="auto"/>
              </w:rPr>
            </w:pPr>
            <w:r>
              <w:rPr>
                <w:rFonts w:hint="eastAsia"/>
                <w:szCs w:val="21"/>
                <w:u w:val="none" w:color="auto"/>
              </w:rPr>
              <w:t>/</w:t>
            </w:r>
          </w:p>
        </w:tc>
        <w:tc>
          <w:tcPr>
            <w:tcW w:w="1472" w:type="dxa"/>
            <w:noWrap w:val="0"/>
            <w:vAlign w:val="center"/>
          </w:tcPr>
          <w:p w14:paraId="432D22C9">
            <w:pPr>
              <w:adjustRightInd w:val="0"/>
              <w:snapToGrid w:val="0"/>
              <w:jc w:val="center"/>
              <w:rPr>
                <w:rFonts w:hint="eastAsia"/>
                <w:szCs w:val="21"/>
                <w:u w:val="none" w:color="auto"/>
              </w:rPr>
            </w:pPr>
            <w:r>
              <w:rPr>
                <w:rFonts w:hint="eastAsia"/>
                <w:szCs w:val="21"/>
                <w:u w:val="none" w:color="auto"/>
              </w:rPr>
              <w:t>/</w:t>
            </w:r>
          </w:p>
        </w:tc>
        <w:tc>
          <w:tcPr>
            <w:tcW w:w="1590" w:type="dxa"/>
            <w:noWrap w:val="0"/>
            <w:vAlign w:val="center"/>
          </w:tcPr>
          <w:p w14:paraId="74EB0F56">
            <w:pPr>
              <w:keepNext w:val="0"/>
              <w:keepLines w:val="0"/>
              <w:widowControl/>
              <w:suppressLineNumbers w:val="0"/>
              <w:jc w:val="center"/>
              <w:textAlignment w:val="center"/>
              <w:rPr>
                <w:rFonts w:hint="default" w:eastAsia="宋体"/>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0.0259</w:t>
            </w:r>
            <w:r>
              <w:rPr>
                <w:rFonts w:hint="eastAsia"/>
                <w:szCs w:val="21"/>
                <w:u w:val="none" w:color="auto"/>
                <w:lang w:val="en-US" w:eastAsia="zh-CN"/>
              </w:rPr>
              <w:t>t/a</w:t>
            </w:r>
          </w:p>
        </w:tc>
        <w:tc>
          <w:tcPr>
            <w:tcW w:w="1545" w:type="dxa"/>
            <w:noWrap w:val="0"/>
            <w:vAlign w:val="center"/>
          </w:tcPr>
          <w:p w14:paraId="1C8F691B">
            <w:pPr>
              <w:adjustRightInd w:val="0"/>
              <w:snapToGrid w:val="0"/>
              <w:jc w:val="center"/>
              <w:rPr>
                <w:rFonts w:hint="eastAsia"/>
                <w:szCs w:val="21"/>
                <w:u w:val="none" w:color="auto"/>
              </w:rPr>
            </w:pPr>
            <w:r>
              <w:rPr>
                <w:rFonts w:hint="eastAsia"/>
                <w:szCs w:val="21"/>
                <w:u w:val="none" w:color="auto"/>
              </w:rPr>
              <w:t>/</w:t>
            </w:r>
          </w:p>
        </w:tc>
        <w:tc>
          <w:tcPr>
            <w:tcW w:w="1684" w:type="dxa"/>
            <w:shd w:val="clear" w:color="auto" w:fill="auto"/>
            <w:noWrap w:val="0"/>
            <w:vAlign w:val="center"/>
          </w:tcPr>
          <w:p w14:paraId="242DDB16">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0.0259</w:t>
            </w:r>
            <w:r>
              <w:rPr>
                <w:rFonts w:hint="eastAsia"/>
                <w:szCs w:val="21"/>
                <w:u w:val="none" w:color="auto"/>
                <w:lang w:val="en-US" w:eastAsia="zh-CN"/>
              </w:rPr>
              <w:t>t/a</w:t>
            </w:r>
          </w:p>
        </w:tc>
        <w:tc>
          <w:tcPr>
            <w:tcW w:w="1499" w:type="dxa"/>
            <w:shd w:val="clear" w:color="auto" w:fill="auto"/>
            <w:noWrap w:val="0"/>
            <w:vAlign w:val="center"/>
          </w:tcPr>
          <w:p w14:paraId="2B721680">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0.0259</w:t>
            </w:r>
            <w:r>
              <w:rPr>
                <w:rFonts w:hint="eastAsia"/>
                <w:szCs w:val="21"/>
                <w:u w:val="none" w:color="auto"/>
                <w:lang w:val="en-US" w:eastAsia="zh-CN"/>
              </w:rPr>
              <w:t>t/a</w:t>
            </w:r>
          </w:p>
        </w:tc>
      </w:tr>
      <w:tr w14:paraId="69E1DB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644188CB">
            <w:pPr>
              <w:pStyle w:val="51"/>
              <w:spacing w:beforeLines="0" w:afterLines="0" w:line="240" w:lineRule="auto"/>
              <w:ind w:firstLine="0" w:firstLineChars="0"/>
              <w:rPr>
                <w:rFonts w:ascii="Times New Roman"/>
                <w:snapToGrid w:val="0"/>
                <w:kern w:val="21"/>
                <w:szCs w:val="21"/>
                <w:u w:val="none" w:color="auto"/>
              </w:rPr>
            </w:pPr>
          </w:p>
        </w:tc>
        <w:tc>
          <w:tcPr>
            <w:tcW w:w="1766" w:type="dxa"/>
            <w:noWrap w:val="0"/>
            <w:vAlign w:val="center"/>
          </w:tcPr>
          <w:p w14:paraId="4F035B10">
            <w:pPr>
              <w:jc w:val="center"/>
              <w:rPr>
                <w:rFonts w:hint="eastAsia"/>
                <w:snapToGrid w:val="0"/>
                <w:kern w:val="21"/>
                <w:szCs w:val="21"/>
                <w:u w:val="none" w:color="auto"/>
                <w:lang w:val="en-US" w:eastAsia="zh-CN"/>
              </w:rPr>
            </w:pPr>
            <w:r>
              <w:rPr>
                <w:rFonts w:hint="eastAsia"/>
                <w:snapToGrid w:val="0"/>
                <w:kern w:val="21"/>
                <w:szCs w:val="21"/>
                <w:u w:val="none" w:color="auto"/>
                <w:lang w:val="en-US" w:eastAsia="zh-CN"/>
              </w:rPr>
              <w:t>TP</w:t>
            </w:r>
          </w:p>
        </w:tc>
        <w:tc>
          <w:tcPr>
            <w:tcW w:w="1505" w:type="dxa"/>
            <w:noWrap w:val="0"/>
            <w:vAlign w:val="center"/>
          </w:tcPr>
          <w:p w14:paraId="5A674E52">
            <w:pPr>
              <w:adjustRightInd w:val="0"/>
              <w:snapToGrid w:val="0"/>
              <w:jc w:val="center"/>
              <w:rPr>
                <w:rFonts w:hint="eastAsia"/>
                <w:szCs w:val="21"/>
                <w:u w:val="none" w:color="auto"/>
              </w:rPr>
            </w:pPr>
            <w:r>
              <w:rPr>
                <w:rFonts w:hint="eastAsia"/>
                <w:szCs w:val="21"/>
                <w:u w:val="none" w:color="auto"/>
              </w:rPr>
              <w:t>/</w:t>
            </w:r>
          </w:p>
        </w:tc>
        <w:tc>
          <w:tcPr>
            <w:tcW w:w="1276" w:type="dxa"/>
            <w:noWrap w:val="0"/>
            <w:vAlign w:val="center"/>
          </w:tcPr>
          <w:p w14:paraId="47E38AF1">
            <w:pPr>
              <w:adjustRightInd w:val="0"/>
              <w:snapToGrid w:val="0"/>
              <w:jc w:val="center"/>
              <w:rPr>
                <w:rFonts w:hint="eastAsia"/>
                <w:szCs w:val="21"/>
                <w:u w:val="none" w:color="auto"/>
              </w:rPr>
            </w:pPr>
            <w:r>
              <w:rPr>
                <w:rFonts w:hint="eastAsia"/>
                <w:szCs w:val="21"/>
                <w:u w:val="none" w:color="auto"/>
              </w:rPr>
              <w:t>/</w:t>
            </w:r>
          </w:p>
        </w:tc>
        <w:tc>
          <w:tcPr>
            <w:tcW w:w="1472" w:type="dxa"/>
            <w:noWrap w:val="0"/>
            <w:vAlign w:val="center"/>
          </w:tcPr>
          <w:p w14:paraId="69EA04FB">
            <w:pPr>
              <w:adjustRightInd w:val="0"/>
              <w:snapToGrid w:val="0"/>
              <w:jc w:val="center"/>
              <w:rPr>
                <w:rFonts w:hint="eastAsia"/>
                <w:szCs w:val="21"/>
                <w:u w:val="none" w:color="auto"/>
              </w:rPr>
            </w:pPr>
            <w:r>
              <w:rPr>
                <w:rFonts w:hint="eastAsia"/>
                <w:szCs w:val="21"/>
                <w:u w:val="none" w:color="auto"/>
              </w:rPr>
              <w:t>/</w:t>
            </w:r>
          </w:p>
        </w:tc>
        <w:tc>
          <w:tcPr>
            <w:tcW w:w="1590" w:type="dxa"/>
            <w:noWrap w:val="0"/>
            <w:vAlign w:val="center"/>
          </w:tcPr>
          <w:p w14:paraId="28ADA4C6">
            <w:pPr>
              <w:keepNext w:val="0"/>
              <w:keepLines w:val="0"/>
              <w:widowControl/>
              <w:suppressLineNumbers w:val="0"/>
              <w:jc w:val="center"/>
              <w:textAlignment w:val="center"/>
              <w:rPr>
                <w:rFonts w:hint="default" w:eastAsia="宋体"/>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0.0119</w:t>
            </w:r>
            <w:r>
              <w:rPr>
                <w:rFonts w:hint="eastAsia"/>
                <w:szCs w:val="21"/>
                <w:u w:val="none" w:color="auto"/>
                <w:lang w:val="en-US" w:eastAsia="zh-CN"/>
              </w:rPr>
              <w:t>t/a</w:t>
            </w:r>
          </w:p>
        </w:tc>
        <w:tc>
          <w:tcPr>
            <w:tcW w:w="1545" w:type="dxa"/>
            <w:noWrap w:val="0"/>
            <w:vAlign w:val="center"/>
          </w:tcPr>
          <w:p w14:paraId="3195E082">
            <w:pPr>
              <w:adjustRightInd w:val="0"/>
              <w:snapToGrid w:val="0"/>
              <w:jc w:val="center"/>
              <w:rPr>
                <w:rFonts w:hint="eastAsia"/>
                <w:szCs w:val="21"/>
                <w:u w:val="none" w:color="auto"/>
              </w:rPr>
            </w:pPr>
            <w:r>
              <w:rPr>
                <w:rFonts w:hint="eastAsia"/>
                <w:szCs w:val="21"/>
                <w:u w:val="none" w:color="auto"/>
              </w:rPr>
              <w:t>/</w:t>
            </w:r>
          </w:p>
        </w:tc>
        <w:tc>
          <w:tcPr>
            <w:tcW w:w="1684" w:type="dxa"/>
            <w:shd w:val="clear" w:color="auto" w:fill="auto"/>
            <w:noWrap w:val="0"/>
            <w:vAlign w:val="center"/>
          </w:tcPr>
          <w:p w14:paraId="2711F05A">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0.0119</w:t>
            </w:r>
            <w:r>
              <w:rPr>
                <w:rFonts w:hint="eastAsia"/>
                <w:szCs w:val="21"/>
                <w:u w:val="none" w:color="auto"/>
                <w:lang w:val="en-US" w:eastAsia="zh-CN"/>
              </w:rPr>
              <w:t>t/a</w:t>
            </w:r>
          </w:p>
        </w:tc>
        <w:tc>
          <w:tcPr>
            <w:tcW w:w="1499" w:type="dxa"/>
            <w:shd w:val="clear" w:color="auto" w:fill="auto"/>
            <w:noWrap w:val="0"/>
            <w:vAlign w:val="center"/>
          </w:tcPr>
          <w:p w14:paraId="1BE5D9F8">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0.0119</w:t>
            </w:r>
            <w:r>
              <w:rPr>
                <w:rFonts w:hint="eastAsia"/>
                <w:szCs w:val="21"/>
                <w:u w:val="none" w:color="auto"/>
                <w:lang w:val="en-US" w:eastAsia="zh-CN"/>
              </w:rPr>
              <w:t>t/a</w:t>
            </w:r>
          </w:p>
        </w:tc>
      </w:tr>
      <w:tr w14:paraId="54B0B3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27E6D891">
            <w:pPr>
              <w:pStyle w:val="51"/>
              <w:spacing w:beforeLines="0" w:afterLines="0" w:line="240" w:lineRule="auto"/>
              <w:ind w:firstLine="0" w:firstLineChars="0"/>
              <w:rPr>
                <w:rFonts w:ascii="Times New Roman"/>
                <w:snapToGrid w:val="0"/>
                <w:kern w:val="21"/>
                <w:szCs w:val="21"/>
                <w:u w:val="none" w:color="auto"/>
              </w:rPr>
            </w:pPr>
          </w:p>
        </w:tc>
        <w:tc>
          <w:tcPr>
            <w:tcW w:w="1766" w:type="dxa"/>
            <w:noWrap w:val="0"/>
            <w:vAlign w:val="center"/>
          </w:tcPr>
          <w:p w14:paraId="66160B2A">
            <w:pPr>
              <w:jc w:val="center"/>
              <w:rPr>
                <w:rFonts w:hint="eastAsia"/>
                <w:snapToGrid w:val="0"/>
                <w:kern w:val="21"/>
                <w:szCs w:val="21"/>
                <w:u w:val="none" w:color="auto"/>
                <w:lang w:val="en-US" w:eastAsia="zh-CN"/>
              </w:rPr>
            </w:pPr>
            <w:r>
              <w:rPr>
                <w:rFonts w:hint="eastAsia"/>
                <w:snapToGrid w:val="0"/>
                <w:kern w:val="21"/>
                <w:szCs w:val="21"/>
                <w:u w:val="none" w:color="auto"/>
                <w:lang w:val="en-US" w:eastAsia="zh-CN"/>
              </w:rPr>
              <w:t>TN</w:t>
            </w:r>
          </w:p>
        </w:tc>
        <w:tc>
          <w:tcPr>
            <w:tcW w:w="1505" w:type="dxa"/>
            <w:noWrap w:val="0"/>
            <w:vAlign w:val="center"/>
          </w:tcPr>
          <w:p w14:paraId="031715B3">
            <w:pPr>
              <w:adjustRightInd w:val="0"/>
              <w:snapToGrid w:val="0"/>
              <w:jc w:val="center"/>
              <w:rPr>
                <w:rFonts w:hint="eastAsia"/>
                <w:szCs w:val="21"/>
                <w:u w:val="none" w:color="auto"/>
              </w:rPr>
            </w:pPr>
            <w:r>
              <w:rPr>
                <w:rFonts w:hint="eastAsia"/>
                <w:szCs w:val="21"/>
                <w:u w:val="none" w:color="auto"/>
              </w:rPr>
              <w:t>/</w:t>
            </w:r>
          </w:p>
        </w:tc>
        <w:tc>
          <w:tcPr>
            <w:tcW w:w="1276" w:type="dxa"/>
            <w:noWrap w:val="0"/>
            <w:vAlign w:val="center"/>
          </w:tcPr>
          <w:p w14:paraId="36F798BB">
            <w:pPr>
              <w:adjustRightInd w:val="0"/>
              <w:snapToGrid w:val="0"/>
              <w:jc w:val="center"/>
              <w:rPr>
                <w:rFonts w:hint="eastAsia"/>
                <w:szCs w:val="21"/>
                <w:u w:val="none" w:color="auto"/>
              </w:rPr>
            </w:pPr>
            <w:r>
              <w:rPr>
                <w:rFonts w:hint="eastAsia"/>
                <w:szCs w:val="21"/>
                <w:u w:val="none" w:color="auto"/>
              </w:rPr>
              <w:t>/</w:t>
            </w:r>
          </w:p>
        </w:tc>
        <w:tc>
          <w:tcPr>
            <w:tcW w:w="1472" w:type="dxa"/>
            <w:noWrap w:val="0"/>
            <w:vAlign w:val="center"/>
          </w:tcPr>
          <w:p w14:paraId="602E3089">
            <w:pPr>
              <w:adjustRightInd w:val="0"/>
              <w:snapToGrid w:val="0"/>
              <w:jc w:val="center"/>
              <w:rPr>
                <w:rFonts w:hint="eastAsia"/>
                <w:szCs w:val="21"/>
                <w:u w:val="none" w:color="auto"/>
              </w:rPr>
            </w:pPr>
            <w:r>
              <w:rPr>
                <w:rFonts w:hint="eastAsia"/>
                <w:szCs w:val="21"/>
                <w:u w:val="none" w:color="auto"/>
              </w:rPr>
              <w:t>/</w:t>
            </w:r>
          </w:p>
        </w:tc>
        <w:tc>
          <w:tcPr>
            <w:tcW w:w="1590" w:type="dxa"/>
            <w:noWrap w:val="0"/>
            <w:vAlign w:val="center"/>
          </w:tcPr>
          <w:p w14:paraId="6CF30047">
            <w:pPr>
              <w:keepNext w:val="0"/>
              <w:keepLines w:val="0"/>
              <w:widowControl/>
              <w:suppressLineNumbers w:val="0"/>
              <w:jc w:val="center"/>
              <w:textAlignment w:val="center"/>
              <w:rPr>
                <w:rFonts w:hint="default" w:eastAsia="宋体"/>
                <w:szCs w:val="21"/>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0.4478</w:t>
            </w:r>
            <w:r>
              <w:rPr>
                <w:rFonts w:hint="eastAsia"/>
                <w:szCs w:val="21"/>
                <w:u w:val="none" w:color="auto"/>
                <w:lang w:val="en-US" w:eastAsia="zh-CN"/>
              </w:rPr>
              <w:t>t/a</w:t>
            </w:r>
          </w:p>
        </w:tc>
        <w:tc>
          <w:tcPr>
            <w:tcW w:w="1545" w:type="dxa"/>
            <w:noWrap w:val="0"/>
            <w:vAlign w:val="center"/>
          </w:tcPr>
          <w:p w14:paraId="5CA65360">
            <w:pPr>
              <w:adjustRightInd w:val="0"/>
              <w:snapToGrid w:val="0"/>
              <w:jc w:val="center"/>
              <w:rPr>
                <w:rFonts w:hint="eastAsia"/>
                <w:szCs w:val="21"/>
                <w:u w:val="none" w:color="auto"/>
              </w:rPr>
            </w:pPr>
            <w:r>
              <w:rPr>
                <w:rFonts w:hint="eastAsia"/>
                <w:szCs w:val="21"/>
                <w:u w:val="none" w:color="auto"/>
              </w:rPr>
              <w:t>/</w:t>
            </w:r>
          </w:p>
        </w:tc>
        <w:tc>
          <w:tcPr>
            <w:tcW w:w="1684" w:type="dxa"/>
            <w:shd w:val="clear" w:color="auto" w:fill="auto"/>
            <w:noWrap w:val="0"/>
            <w:vAlign w:val="center"/>
          </w:tcPr>
          <w:p w14:paraId="6B5D14F5">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0.4478</w:t>
            </w:r>
            <w:r>
              <w:rPr>
                <w:rFonts w:hint="eastAsia"/>
                <w:szCs w:val="21"/>
                <w:u w:val="none" w:color="auto"/>
                <w:lang w:val="en-US" w:eastAsia="zh-CN"/>
              </w:rPr>
              <w:t>t/a</w:t>
            </w:r>
          </w:p>
        </w:tc>
        <w:tc>
          <w:tcPr>
            <w:tcW w:w="1499" w:type="dxa"/>
            <w:shd w:val="clear" w:color="auto" w:fill="auto"/>
            <w:noWrap w:val="0"/>
            <w:vAlign w:val="center"/>
          </w:tcPr>
          <w:p w14:paraId="5A298998">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0.4478</w:t>
            </w:r>
            <w:r>
              <w:rPr>
                <w:rFonts w:hint="eastAsia"/>
                <w:szCs w:val="21"/>
                <w:u w:val="none" w:color="auto"/>
                <w:lang w:val="en-US" w:eastAsia="zh-CN"/>
              </w:rPr>
              <w:t>t/a</w:t>
            </w:r>
          </w:p>
        </w:tc>
      </w:tr>
      <w:tr w14:paraId="2014C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13AE7DD9">
            <w:pPr>
              <w:pStyle w:val="51"/>
              <w:spacing w:beforeLines="0" w:afterLines="0" w:line="240" w:lineRule="auto"/>
              <w:ind w:firstLine="0" w:firstLineChars="0"/>
              <w:rPr>
                <w:rFonts w:ascii="Times New Roman"/>
                <w:snapToGrid w:val="0"/>
                <w:kern w:val="21"/>
                <w:szCs w:val="21"/>
                <w:u w:val="none" w:color="auto"/>
              </w:rPr>
            </w:pPr>
          </w:p>
        </w:tc>
        <w:tc>
          <w:tcPr>
            <w:tcW w:w="1766" w:type="dxa"/>
            <w:noWrap w:val="0"/>
            <w:vAlign w:val="center"/>
          </w:tcPr>
          <w:p w14:paraId="772BF01E">
            <w:pPr>
              <w:jc w:val="center"/>
              <w:rPr>
                <w:rFonts w:hint="default"/>
                <w:snapToGrid w:val="0"/>
                <w:kern w:val="21"/>
                <w:szCs w:val="21"/>
                <w:u w:val="none" w:color="auto"/>
                <w:lang w:val="en-US" w:eastAsia="zh-CN"/>
              </w:rPr>
            </w:pPr>
            <w:r>
              <w:rPr>
                <w:rFonts w:hint="eastAsia"/>
                <w:snapToGrid w:val="0"/>
                <w:kern w:val="21"/>
                <w:szCs w:val="21"/>
                <w:u w:val="none" w:color="auto"/>
                <w:lang w:val="en-US" w:eastAsia="zh-CN"/>
              </w:rPr>
              <w:t>总锰</w:t>
            </w:r>
          </w:p>
        </w:tc>
        <w:tc>
          <w:tcPr>
            <w:tcW w:w="1505" w:type="dxa"/>
            <w:noWrap w:val="0"/>
            <w:vAlign w:val="center"/>
          </w:tcPr>
          <w:p w14:paraId="5DD19CBF">
            <w:pPr>
              <w:adjustRightInd w:val="0"/>
              <w:snapToGrid w:val="0"/>
              <w:jc w:val="center"/>
              <w:rPr>
                <w:rFonts w:hint="eastAsia"/>
                <w:szCs w:val="21"/>
                <w:u w:val="none" w:color="auto"/>
              </w:rPr>
            </w:pPr>
            <w:r>
              <w:rPr>
                <w:rFonts w:hint="eastAsia"/>
                <w:szCs w:val="21"/>
                <w:u w:val="none" w:color="auto"/>
              </w:rPr>
              <w:t>/</w:t>
            </w:r>
          </w:p>
        </w:tc>
        <w:tc>
          <w:tcPr>
            <w:tcW w:w="1276" w:type="dxa"/>
            <w:noWrap w:val="0"/>
            <w:vAlign w:val="center"/>
          </w:tcPr>
          <w:p w14:paraId="3047DDC3">
            <w:pPr>
              <w:adjustRightInd w:val="0"/>
              <w:snapToGrid w:val="0"/>
              <w:jc w:val="center"/>
              <w:rPr>
                <w:rFonts w:hint="eastAsia"/>
                <w:szCs w:val="21"/>
                <w:u w:val="none" w:color="auto"/>
              </w:rPr>
            </w:pPr>
            <w:r>
              <w:rPr>
                <w:rFonts w:hint="eastAsia"/>
                <w:szCs w:val="21"/>
                <w:u w:val="none" w:color="auto"/>
              </w:rPr>
              <w:t>/</w:t>
            </w:r>
          </w:p>
        </w:tc>
        <w:tc>
          <w:tcPr>
            <w:tcW w:w="1472" w:type="dxa"/>
            <w:noWrap w:val="0"/>
            <w:vAlign w:val="center"/>
          </w:tcPr>
          <w:p w14:paraId="178DDBEF">
            <w:pPr>
              <w:adjustRightInd w:val="0"/>
              <w:snapToGrid w:val="0"/>
              <w:jc w:val="center"/>
              <w:rPr>
                <w:rFonts w:hint="eastAsia"/>
                <w:szCs w:val="21"/>
                <w:u w:val="none" w:color="auto"/>
              </w:rPr>
            </w:pPr>
            <w:r>
              <w:rPr>
                <w:rFonts w:hint="eastAsia"/>
                <w:szCs w:val="21"/>
                <w:u w:val="none" w:color="auto"/>
              </w:rPr>
              <w:t>/</w:t>
            </w:r>
          </w:p>
        </w:tc>
        <w:tc>
          <w:tcPr>
            <w:tcW w:w="1590" w:type="dxa"/>
            <w:noWrap w:val="0"/>
            <w:vAlign w:val="center"/>
          </w:tcPr>
          <w:p w14:paraId="0C0D26A7">
            <w:pPr>
              <w:keepNext w:val="0"/>
              <w:keepLines w:val="0"/>
              <w:widowControl/>
              <w:suppressLineNumbers w:val="0"/>
              <w:jc w:val="center"/>
              <w:textAlignment w:val="center"/>
              <w:rPr>
                <w:rFonts w:hint="default" w:eastAsia="宋体"/>
                <w:szCs w:val="21"/>
                <w:u w:val="none" w:color="auto"/>
                <w:lang w:val="en-US" w:eastAsia="zh-CN"/>
              </w:rPr>
            </w:pPr>
            <w:r>
              <w:rPr>
                <w:rFonts w:hint="eastAsia" w:ascii="Times New Roman" w:hAnsi="Times New Roman" w:eastAsia="宋体" w:cs="Times New Roman"/>
                <w:color w:val="000000"/>
                <w:sz w:val="21"/>
                <w:szCs w:val="21"/>
                <w:u w:val="none" w:color="auto"/>
                <w:lang w:val="en-US" w:eastAsia="zh-CN"/>
              </w:rPr>
              <w:t>0.00003</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eastAsia"/>
                <w:szCs w:val="21"/>
                <w:u w:val="none" w:color="auto"/>
                <w:lang w:val="en-US" w:eastAsia="zh-CN"/>
              </w:rPr>
              <w:t>t/a</w:t>
            </w:r>
          </w:p>
        </w:tc>
        <w:tc>
          <w:tcPr>
            <w:tcW w:w="1545" w:type="dxa"/>
            <w:noWrap w:val="0"/>
            <w:vAlign w:val="center"/>
          </w:tcPr>
          <w:p w14:paraId="6019580E">
            <w:pPr>
              <w:adjustRightInd w:val="0"/>
              <w:snapToGrid w:val="0"/>
              <w:jc w:val="center"/>
              <w:rPr>
                <w:rFonts w:hint="eastAsia"/>
                <w:szCs w:val="21"/>
                <w:u w:val="none" w:color="auto"/>
              </w:rPr>
            </w:pPr>
            <w:r>
              <w:rPr>
                <w:rFonts w:hint="eastAsia"/>
                <w:szCs w:val="21"/>
                <w:u w:val="none" w:color="auto"/>
              </w:rPr>
              <w:t>/</w:t>
            </w:r>
          </w:p>
        </w:tc>
        <w:tc>
          <w:tcPr>
            <w:tcW w:w="1684" w:type="dxa"/>
            <w:shd w:val="clear" w:color="auto" w:fill="auto"/>
            <w:noWrap w:val="0"/>
            <w:vAlign w:val="center"/>
          </w:tcPr>
          <w:p w14:paraId="7380E425">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eastAsia" w:ascii="Times New Roman" w:hAnsi="Times New Roman" w:eastAsia="宋体" w:cs="Times New Roman"/>
                <w:color w:val="000000"/>
                <w:sz w:val="21"/>
                <w:szCs w:val="21"/>
                <w:u w:val="none" w:color="auto"/>
                <w:lang w:val="en-US" w:eastAsia="zh-CN"/>
              </w:rPr>
              <w:t>0.00003</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eastAsia"/>
                <w:szCs w:val="21"/>
                <w:u w:val="none" w:color="auto"/>
                <w:lang w:val="en-US" w:eastAsia="zh-CN"/>
              </w:rPr>
              <w:t>t/a</w:t>
            </w:r>
          </w:p>
        </w:tc>
        <w:tc>
          <w:tcPr>
            <w:tcW w:w="1499" w:type="dxa"/>
            <w:shd w:val="clear" w:color="auto" w:fill="auto"/>
            <w:noWrap w:val="0"/>
            <w:vAlign w:val="center"/>
          </w:tcPr>
          <w:p w14:paraId="688A95C7">
            <w:pPr>
              <w:keepNext w:val="0"/>
              <w:keepLines w:val="0"/>
              <w:widowControl/>
              <w:suppressLineNumbers w:val="0"/>
              <w:jc w:val="center"/>
              <w:textAlignment w:val="center"/>
              <w:rPr>
                <w:rFonts w:hint="eastAsia" w:ascii="Times New Roman" w:hAnsi="Times New Roman" w:eastAsia="宋体" w:cs="Times New Roman"/>
                <w:kern w:val="2"/>
                <w:sz w:val="21"/>
                <w:szCs w:val="21"/>
                <w:u w:val="none" w:color="auto"/>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color w:val="000000"/>
                <w:sz w:val="21"/>
                <w:szCs w:val="21"/>
                <w:u w:val="none" w:color="auto"/>
                <w:lang w:val="en-US" w:eastAsia="zh-CN"/>
              </w:rPr>
              <w:t>0.00003</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eastAsia"/>
                <w:szCs w:val="21"/>
                <w:u w:val="none" w:color="auto"/>
                <w:lang w:val="en-US" w:eastAsia="zh-CN"/>
              </w:rPr>
              <w:t>t/a</w:t>
            </w:r>
          </w:p>
        </w:tc>
      </w:tr>
      <w:tr w14:paraId="5DB909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16471B34">
            <w:pPr>
              <w:pStyle w:val="51"/>
              <w:spacing w:beforeLines="0" w:afterLines="0" w:line="240" w:lineRule="auto"/>
              <w:ind w:firstLine="0" w:firstLineChars="0"/>
              <w:rPr>
                <w:rFonts w:hint="eastAsia" w:ascii="Times New Roman" w:hAnsi="Times New Roman" w:eastAsia="宋体" w:cs="Times New Roman"/>
                <w:i w:val="0"/>
                <w:iCs w:val="0"/>
                <w:color w:val="000000"/>
                <w:kern w:val="0"/>
                <w:sz w:val="21"/>
                <w:szCs w:val="21"/>
                <w:u w:val="none"/>
                <w:lang w:val="en-US" w:eastAsia="zh-CN" w:bidi="ar"/>
              </w:rPr>
            </w:pPr>
          </w:p>
        </w:tc>
        <w:tc>
          <w:tcPr>
            <w:tcW w:w="1766" w:type="dxa"/>
            <w:noWrap w:val="0"/>
            <w:vAlign w:val="center"/>
          </w:tcPr>
          <w:p w14:paraId="26B65023">
            <w:pPr>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总镍</w:t>
            </w:r>
          </w:p>
        </w:tc>
        <w:tc>
          <w:tcPr>
            <w:tcW w:w="1505" w:type="dxa"/>
            <w:noWrap w:val="0"/>
            <w:vAlign w:val="center"/>
          </w:tcPr>
          <w:p w14:paraId="56E0BE45">
            <w:pPr>
              <w:adjustRightInd w:val="0"/>
              <w:snapToGrid w:val="0"/>
              <w:jc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276" w:type="dxa"/>
            <w:noWrap w:val="0"/>
            <w:vAlign w:val="center"/>
          </w:tcPr>
          <w:p w14:paraId="76DE0F6C">
            <w:pPr>
              <w:adjustRightInd w:val="0"/>
              <w:snapToGrid w:val="0"/>
              <w:jc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472" w:type="dxa"/>
            <w:noWrap w:val="0"/>
            <w:vAlign w:val="center"/>
          </w:tcPr>
          <w:p w14:paraId="15A0EE13">
            <w:pPr>
              <w:adjustRightInd w:val="0"/>
              <w:snapToGrid w:val="0"/>
              <w:jc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590" w:type="dxa"/>
            <w:noWrap w:val="0"/>
            <w:vAlign w:val="center"/>
          </w:tcPr>
          <w:p w14:paraId="03946B0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0.000022t/a</w:t>
            </w:r>
          </w:p>
        </w:tc>
        <w:tc>
          <w:tcPr>
            <w:tcW w:w="1545" w:type="dxa"/>
            <w:noWrap w:val="0"/>
            <w:vAlign w:val="center"/>
          </w:tcPr>
          <w:p w14:paraId="48B15920">
            <w:pPr>
              <w:adjustRightInd w:val="0"/>
              <w:snapToGrid w:val="0"/>
              <w:jc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szCs w:val="21"/>
                <w:u w:val="none" w:color="auto"/>
              </w:rPr>
              <w:t>/</w:t>
            </w:r>
          </w:p>
        </w:tc>
        <w:tc>
          <w:tcPr>
            <w:tcW w:w="1684" w:type="dxa"/>
            <w:shd w:val="clear" w:color="auto" w:fill="auto"/>
            <w:noWrap w:val="0"/>
            <w:vAlign w:val="center"/>
          </w:tcPr>
          <w:p w14:paraId="4FA376C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0.000022t/a</w:t>
            </w:r>
          </w:p>
        </w:tc>
        <w:tc>
          <w:tcPr>
            <w:tcW w:w="1499" w:type="dxa"/>
            <w:shd w:val="clear" w:color="auto" w:fill="auto"/>
            <w:noWrap w:val="0"/>
            <w:vAlign w:val="center"/>
          </w:tcPr>
          <w:p w14:paraId="5DF66F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+0.000022t/a</w:t>
            </w:r>
          </w:p>
        </w:tc>
      </w:tr>
      <w:tr w14:paraId="16BDB5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7E967FF2">
            <w:pPr>
              <w:pStyle w:val="51"/>
              <w:spacing w:beforeLines="0" w:afterLines="0" w:line="240" w:lineRule="auto"/>
              <w:ind w:firstLine="0" w:firstLineChars="0"/>
              <w:rPr>
                <w:rFonts w:ascii="Times New Roman"/>
                <w:snapToGrid w:val="0"/>
                <w:kern w:val="21"/>
                <w:szCs w:val="21"/>
                <w:u w:val="none" w:color="auto"/>
              </w:rPr>
            </w:pPr>
          </w:p>
        </w:tc>
        <w:tc>
          <w:tcPr>
            <w:tcW w:w="1766" w:type="dxa"/>
            <w:noWrap w:val="0"/>
            <w:vAlign w:val="center"/>
          </w:tcPr>
          <w:p w14:paraId="71C9FBCE">
            <w:pPr>
              <w:jc w:val="center"/>
              <w:rPr>
                <w:rFonts w:hint="default"/>
                <w:snapToGrid w:val="0"/>
                <w:kern w:val="21"/>
                <w:szCs w:val="21"/>
                <w:u w:val="none" w:color="auto"/>
                <w:lang w:val="en-US" w:eastAsia="zh-CN"/>
              </w:rPr>
            </w:pPr>
            <w:r>
              <w:rPr>
                <w:rFonts w:hint="eastAsia"/>
                <w:snapToGrid w:val="0"/>
                <w:kern w:val="21"/>
                <w:szCs w:val="21"/>
                <w:u w:val="none" w:color="auto"/>
                <w:lang w:val="en-US" w:eastAsia="zh-CN"/>
              </w:rPr>
              <w:t>总钴</w:t>
            </w:r>
          </w:p>
        </w:tc>
        <w:tc>
          <w:tcPr>
            <w:tcW w:w="1505" w:type="dxa"/>
            <w:noWrap w:val="0"/>
            <w:vAlign w:val="center"/>
          </w:tcPr>
          <w:p w14:paraId="2850468E">
            <w:pPr>
              <w:adjustRightInd w:val="0"/>
              <w:snapToGrid w:val="0"/>
              <w:jc w:val="center"/>
              <w:rPr>
                <w:rFonts w:hint="eastAsia"/>
                <w:szCs w:val="21"/>
                <w:u w:val="none" w:color="auto"/>
              </w:rPr>
            </w:pPr>
            <w:r>
              <w:rPr>
                <w:rFonts w:hint="eastAsia"/>
                <w:szCs w:val="21"/>
                <w:u w:val="none" w:color="auto"/>
              </w:rPr>
              <w:t>/</w:t>
            </w:r>
          </w:p>
        </w:tc>
        <w:tc>
          <w:tcPr>
            <w:tcW w:w="1276" w:type="dxa"/>
            <w:noWrap w:val="0"/>
            <w:vAlign w:val="center"/>
          </w:tcPr>
          <w:p w14:paraId="3A11948F">
            <w:pPr>
              <w:adjustRightInd w:val="0"/>
              <w:snapToGrid w:val="0"/>
              <w:jc w:val="center"/>
              <w:rPr>
                <w:rFonts w:hint="eastAsia"/>
                <w:szCs w:val="21"/>
                <w:u w:val="none" w:color="auto"/>
              </w:rPr>
            </w:pPr>
            <w:r>
              <w:rPr>
                <w:rFonts w:hint="eastAsia"/>
                <w:szCs w:val="21"/>
                <w:u w:val="none" w:color="auto"/>
              </w:rPr>
              <w:t>/</w:t>
            </w:r>
          </w:p>
        </w:tc>
        <w:tc>
          <w:tcPr>
            <w:tcW w:w="1472" w:type="dxa"/>
            <w:noWrap w:val="0"/>
            <w:vAlign w:val="center"/>
          </w:tcPr>
          <w:p w14:paraId="7FCC36A3">
            <w:pPr>
              <w:adjustRightInd w:val="0"/>
              <w:snapToGrid w:val="0"/>
              <w:jc w:val="center"/>
              <w:rPr>
                <w:rFonts w:hint="eastAsia"/>
                <w:szCs w:val="21"/>
                <w:u w:val="none" w:color="auto"/>
              </w:rPr>
            </w:pPr>
            <w:r>
              <w:rPr>
                <w:rFonts w:hint="eastAsia"/>
                <w:szCs w:val="21"/>
                <w:u w:val="none" w:color="auto"/>
              </w:rPr>
              <w:t>/</w:t>
            </w:r>
          </w:p>
        </w:tc>
        <w:tc>
          <w:tcPr>
            <w:tcW w:w="1590" w:type="dxa"/>
            <w:noWrap w:val="0"/>
            <w:vAlign w:val="center"/>
          </w:tcPr>
          <w:p w14:paraId="554D3B7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0.000017t/a</w:t>
            </w:r>
          </w:p>
        </w:tc>
        <w:tc>
          <w:tcPr>
            <w:tcW w:w="1545" w:type="dxa"/>
            <w:noWrap w:val="0"/>
            <w:vAlign w:val="center"/>
          </w:tcPr>
          <w:p w14:paraId="000F2A4E">
            <w:pPr>
              <w:adjustRightInd w:val="0"/>
              <w:snapToGrid w:val="0"/>
              <w:jc w:val="center"/>
              <w:rPr>
                <w:rFonts w:hint="eastAsia"/>
                <w:szCs w:val="21"/>
                <w:u w:val="none" w:color="auto"/>
              </w:rPr>
            </w:pPr>
            <w:r>
              <w:rPr>
                <w:rFonts w:hint="eastAsia"/>
                <w:szCs w:val="21"/>
                <w:u w:val="none" w:color="auto"/>
              </w:rPr>
              <w:t>/</w:t>
            </w:r>
          </w:p>
        </w:tc>
        <w:tc>
          <w:tcPr>
            <w:tcW w:w="1684" w:type="dxa"/>
            <w:shd w:val="clear" w:color="auto" w:fill="auto"/>
            <w:noWrap w:val="0"/>
            <w:vAlign w:val="center"/>
          </w:tcPr>
          <w:p w14:paraId="0EBECD1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0.000017t/a</w:t>
            </w:r>
          </w:p>
        </w:tc>
        <w:tc>
          <w:tcPr>
            <w:tcW w:w="1499" w:type="dxa"/>
            <w:shd w:val="clear" w:color="auto" w:fill="auto"/>
            <w:noWrap w:val="0"/>
            <w:vAlign w:val="center"/>
          </w:tcPr>
          <w:p w14:paraId="5970EDF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0.000017t/a</w:t>
            </w:r>
          </w:p>
        </w:tc>
      </w:tr>
      <w:tr w14:paraId="561925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restart"/>
            <w:noWrap w:val="0"/>
            <w:vAlign w:val="center"/>
          </w:tcPr>
          <w:p w14:paraId="7B5097A0">
            <w:pPr>
              <w:pStyle w:val="51"/>
              <w:spacing w:beforeLines="0" w:afterLines="0" w:line="240" w:lineRule="auto"/>
              <w:ind w:firstLine="0" w:firstLineChars="0"/>
              <w:rPr>
                <w:rFonts w:ascii="Times New Roman"/>
                <w:snapToGrid w:val="0"/>
                <w:kern w:val="21"/>
                <w:szCs w:val="21"/>
                <w:u w:val="none" w:color="auto"/>
              </w:rPr>
            </w:pPr>
            <w:r>
              <w:rPr>
                <w:rFonts w:ascii="Times New Roman"/>
                <w:snapToGrid w:val="0"/>
                <w:kern w:val="21"/>
                <w:szCs w:val="21"/>
                <w:u w:val="none" w:color="auto"/>
              </w:rPr>
              <w:t>一般工业</w:t>
            </w:r>
          </w:p>
          <w:p w14:paraId="39249E59">
            <w:pPr>
              <w:pStyle w:val="51"/>
              <w:spacing w:beforeLines="0" w:afterLines="0" w:line="240" w:lineRule="auto"/>
              <w:ind w:firstLine="0" w:firstLineChars="0"/>
              <w:rPr>
                <w:rFonts w:ascii="Times New Roman"/>
                <w:snapToGrid w:val="0"/>
                <w:kern w:val="21"/>
                <w:szCs w:val="21"/>
                <w:u w:val="none" w:color="auto"/>
              </w:rPr>
            </w:pPr>
            <w:r>
              <w:rPr>
                <w:rFonts w:ascii="Times New Roman"/>
                <w:snapToGrid w:val="0"/>
                <w:kern w:val="21"/>
                <w:szCs w:val="21"/>
                <w:u w:val="none" w:color="auto"/>
              </w:rPr>
              <w:t>固体废物</w:t>
            </w:r>
          </w:p>
        </w:tc>
        <w:tc>
          <w:tcPr>
            <w:tcW w:w="1766" w:type="dxa"/>
            <w:tcBorders>
              <w:bottom w:val="single" w:color="auto" w:sz="4" w:space="0"/>
            </w:tcBorders>
            <w:noWrap w:val="0"/>
            <w:vAlign w:val="center"/>
          </w:tcPr>
          <w:p w14:paraId="09C3DCB1">
            <w:pPr>
              <w:pStyle w:val="96"/>
              <w:rPr>
                <w:snapToGrid w:val="0"/>
                <w:kern w:val="21"/>
                <w:u w:val="none" w:color="auto"/>
              </w:rPr>
            </w:pPr>
            <w:r>
              <w:rPr>
                <w:rFonts w:hint="eastAsia"/>
                <w:snapToGrid w:val="0"/>
                <w:kern w:val="21"/>
                <w:u w:val="none" w:color="auto"/>
                <w:lang w:val="en-US" w:eastAsia="zh-CN"/>
              </w:rPr>
              <w:t>废极片边角料</w:t>
            </w:r>
          </w:p>
        </w:tc>
        <w:tc>
          <w:tcPr>
            <w:tcW w:w="1505" w:type="dxa"/>
            <w:tcBorders>
              <w:bottom w:val="single" w:color="auto" w:sz="4" w:space="0"/>
            </w:tcBorders>
            <w:noWrap w:val="0"/>
            <w:vAlign w:val="center"/>
          </w:tcPr>
          <w:p w14:paraId="39897386">
            <w:pPr>
              <w:adjustRightInd w:val="0"/>
              <w:snapToGrid w:val="0"/>
              <w:jc w:val="center"/>
              <w:rPr>
                <w:rFonts w:hint="eastAsia" w:eastAsia="宋体"/>
                <w:szCs w:val="21"/>
                <w:u w:val="none" w:color="auto"/>
                <w:lang w:eastAsia="zh-CN"/>
              </w:rPr>
            </w:pPr>
            <w:r>
              <w:rPr>
                <w:rFonts w:hint="eastAsia"/>
                <w:szCs w:val="21"/>
                <w:u w:val="none" w:color="auto"/>
              </w:rPr>
              <w:t>/</w:t>
            </w:r>
          </w:p>
        </w:tc>
        <w:tc>
          <w:tcPr>
            <w:tcW w:w="1276" w:type="dxa"/>
            <w:tcBorders>
              <w:bottom w:val="single" w:color="auto" w:sz="4" w:space="0"/>
            </w:tcBorders>
            <w:noWrap w:val="0"/>
            <w:vAlign w:val="center"/>
          </w:tcPr>
          <w:p w14:paraId="22F6D80A">
            <w:pPr>
              <w:adjustRightInd w:val="0"/>
              <w:snapToGrid w:val="0"/>
              <w:jc w:val="center"/>
              <w:rPr>
                <w:szCs w:val="21"/>
                <w:u w:val="none" w:color="auto"/>
              </w:rPr>
            </w:pPr>
            <w:r>
              <w:rPr>
                <w:rFonts w:hint="eastAsia"/>
                <w:szCs w:val="21"/>
                <w:u w:val="none" w:color="auto"/>
              </w:rPr>
              <w:t>/</w:t>
            </w:r>
          </w:p>
        </w:tc>
        <w:tc>
          <w:tcPr>
            <w:tcW w:w="1472" w:type="dxa"/>
            <w:tcBorders>
              <w:bottom w:val="single" w:color="auto" w:sz="4" w:space="0"/>
            </w:tcBorders>
            <w:noWrap w:val="0"/>
            <w:vAlign w:val="center"/>
          </w:tcPr>
          <w:p w14:paraId="27966151">
            <w:pPr>
              <w:adjustRightInd w:val="0"/>
              <w:snapToGrid w:val="0"/>
              <w:jc w:val="center"/>
              <w:rPr>
                <w:szCs w:val="21"/>
                <w:u w:val="none" w:color="auto"/>
              </w:rPr>
            </w:pPr>
            <w:r>
              <w:rPr>
                <w:rFonts w:hint="eastAsia"/>
                <w:szCs w:val="21"/>
                <w:u w:val="none" w:color="auto"/>
              </w:rPr>
              <w:t>/</w:t>
            </w:r>
          </w:p>
        </w:tc>
        <w:tc>
          <w:tcPr>
            <w:tcW w:w="1590" w:type="dxa"/>
            <w:tcBorders>
              <w:bottom w:val="single" w:color="auto" w:sz="4" w:space="0"/>
            </w:tcBorders>
            <w:noWrap w:val="0"/>
            <w:vAlign w:val="center"/>
          </w:tcPr>
          <w:p w14:paraId="3D8656A5">
            <w:pPr>
              <w:pStyle w:val="96"/>
              <w:rPr>
                <w:rFonts w:hint="default" w:eastAsia="宋体"/>
                <w:u w:val="none" w:color="auto"/>
                <w:lang w:val="en-US" w:eastAsia="zh-CN"/>
              </w:rPr>
            </w:pPr>
            <w:r>
              <w:rPr>
                <w:rFonts w:hint="eastAsia"/>
                <w:u w:val="none" w:color="auto"/>
                <w:lang w:val="en-US" w:eastAsia="zh-CN"/>
              </w:rPr>
              <w:t>100t/a</w:t>
            </w:r>
          </w:p>
        </w:tc>
        <w:tc>
          <w:tcPr>
            <w:tcW w:w="1545" w:type="dxa"/>
            <w:tcBorders>
              <w:bottom w:val="single" w:color="auto" w:sz="4" w:space="0"/>
            </w:tcBorders>
            <w:noWrap w:val="0"/>
            <w:vAlign w:val="center"/>
          </w:tcPr>
          <w:p w14:paraId="3C1EEB28">
            <w:pPr>
              <w:adjustRightInd w:val="0"/>
              <w:snapToGrid w:val="0"/>
              <w:jc w:val="center"/>
              <w:rPr>
                <w:szCs w:val="21"/>
                <w:u w:val="none" w:color="auto"/>
              </w:rPr>
            </w:pPr>
            <w:r>
              <w:rPr>
                <w:rFonts w:hint="eastAsia"/>
                <w:szCs w:val="21"/>
                <w:u w:val="none" w:color="auto"/>
              </w:rPr>
              <w:t>/</w:t>
            </w:r>
          </w:p>
        </w:tc>
        <w:tc>
          <w:tcPr>
            <w:tcW w:w="1684" w:type="dxa"/>
            <w:tcBorders>
              <w:bottom w:val="single" w:color="auto" w:sz="4" w:space="0"/>
            </w:tcBorders>
            <w:noWrap w:val="0"/>
            <w:vAlign w:val="center"/>
          </w:tcPr>
          <w:p w14:paraId="1B511A47">
            <w:pPr>
              <w:pStyle w:val="96"/>
              <w:rPr>
                <w:szCs w:val="21"/>
                <w:u w:val="none" w:color="auto"/>
              </w:rPr>
            </w:pPr>
            <w:r>
              <w:rPr>
                <w:rFonts w:hint="eastAsia"/>
                <w:u w:val="none" w:color="auto"/>
                <w:lang w:val="en-US" w:eastAsia="zh-CN"/>
              </w:rPr>
              <w:t>100t/a</w:t>
            </w:r>
          </w:p>
        </w:tc>
        <w:tc>
          <w:tcPr>
            <w:tcW w:w="1499" w:type="dxa"/>
            <w:tcBorders>
              <w:bottom w:val="single" w:color="auto" w:sz="4" w:space="0"/>
            </w:tcBorders>
            <w:noWrap w:val="0"/>
            <w:vAlign w:val="center"/>
          </w:tcPr>
          <w:p w14:paraId="05DC8F60">
            <w:pPr>
              <w:pStyle w:val="96"/>
              <w:rPr>
                <w:rFonts w:hint="eastAsia" w:eastAsia="宋体"/>
                <w:szCs w:val="21"/>
                <w:u w:val="none" w:color="auto"/>
                <w:lang w:val="en-US" w:eastAsia="zh-CN"/>
              </w:rPr>
            </w:pPr>
            <w:r>
              <w:rPr>
                <w:rFonts w:hint="eastAsia"/>
                <w:szCs w:val="21"/>
                <w:u w:val="none" w:color="auto"/>
                <w:lang w:val="en-US" w:eastAsia="zh-CN"/>
              </w:rPr>
              <w:t>+</w:t>
            </w:r>
            <w:r>
              <w:rPr>
                <w:rFonts w:hint="eastAsia"/>
                <w:u w:val="none" w:color="auto"/>
                <w:lang w:val="en-US" w:eastAsia="zh-CN"/>
              </w:rPr>
              <w:t>100t/a</w:t>
            </w:r>
          </w:p>
        </w:tc>
      </w:tr>
      <w:tr w14:paraId="3EA8B8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251DD84C">
            <w:pPr>
              <w:pStyle w:val="51"/>
              <w:spacing w:beforeLines="0" w:afterLines="0" w:line="240" w:lineRule="auto"/>
              <w:ind w:firstLine="0" w:firstLineChars="0"/>
              <w:rPr>
                <w:rFonts w:ascii="Times New Roman"/>
                <w:snapToGrid w:val="0"/>
                <w:kern w:val="21"/>
                <w:szCs w:val="21"/>
                <w:u w:val="none" w:color="auto"/>
              </w:rPr>
            </w:pPr>
          </w:p>
        </w:tc>
        <w:tc>
          <w:tcPr>
            <w:tcW w:w="1766" w:type="dxa"/>
            <w:tcBorders>
              <w:bottom w:val="single" w:color="auto" w:sz="4" w:space="0"/>
            </w:tcBorders>
            <w:noWrap w:val="0"/>
            <w:vAlign w:val="center"/>
          </w:tcPr>
          <w:p w14:paraId="139A9CD7">
            <w:pPr>
              <w:pStyle w:val="96"/>
              <w:rPr>
                <w:rFonts w:hint="default"/>
                <w:szCs w:val="21"/>
                <w:u w:val="none" w:color="auto"/>
                <w:lang w:val="en-US" w:eastAsia="zh-CN"/>
              </w:rPr>
            </w:pPr>
            <w:r>
              <w:rPr>
                <w:rFonts w:hint="eastAsia"/>
                <w:szCs w:val="21"/>
                <w:u w:val="none" w:color="auto"/>
                <w:lang w:val="en-US" w:eastAsia="zh-CN"/>
              </w:rPr>
              <w:t>废反渗透膜</w:t>
            </w:r>
          </w:p>
        </w:tc>
        <w:tc>
          <w:tcPr>
            <w:tcW w:w="1505" w:type="dxa"/>
            <w:tcBorders>
              <w:bottom w:val="single" w:color="auto" w:sz="4" w:space="0"/>
            </w:tcBorders>
            <w:noWrap w:val="0"/>
            <w:vAlign w:val="center"/>
          </w:tcPr>
          <w:p w14:paraId="022DE079">
            <w:pPr>
              <w:adjustRightInd w:val="0"/>
              <w:snapToGrid w:val="0"/>
              <w:jc w:val="center"/>
              <w:rPr>
                <w:rFonts w:hint="eastAsia"/>
                <w:szCs w:val="21"/>
                <w:u w:val="none" w:color="auto"/>
              </w:rPr>
            </w:pPr>
            <w:r>
              <w:rPr>
                <w:rFonts w:hint="eastAsia"/>
                <w:szCs w:val="21"/>
                <w:u w:val="none" w:color="auto"/>
              </w:rPr>
              <w:t>/</w:t>
            </w:r>
          </w:p>
        </w:tc>
        <w:tc>
          <w:tcPr>
            <w:tcW w:w="1276" w:type="dxa"/>
            <w:tcBorders>
              <w:bottom w:val="single" w:color="auto" w:sz="4" w:space="0"/>
            </w:tcBorders>
            <w:noWrap w:val="0"/>
            <w:vAlign w:val="center"/>
          </w:tcPr>
          <w:p w14:paraId="792B8439">
            <w:pPr>
              <w:adjustRightInd w:val="0"/>
              <w:snapToGrid w:val="0"/>
              <w:jc w:val="center"/>
              <w:rPr>
                <w:rFonts w:hint="eastAsia"/>
                <w:szCs w:val="21"/>
                <w:u w:val="none" w:color="auto"/>
              </w:rPr>
            </w:pPr>
            <w:r>
              <w:rPr>
                <w:rFonts w:hint="eastAsia"/>
                <w:szCs w:val="21"/>
                <w:u w:val="none" w:color="auto"/>
              </w:rPr>
              <w:t>/</w:t>
            </w:r>
          </w:p>
        </w:tc>
        <w:tc>
          <w:tcPr>
            <w:tcW w:w="1472" w:type="dxa"/>
            <w:tcBorders>
              <w:bottom w:val="single" w:color="auto" w:sz="4" w:space="0"/>
            </w:tcBorders>
            <w:noWrap w:val="0"/>
            <w:vAlign w:val="center"/>
          </w:tcPr>
          <w:p w14:paraId="560180D9">
            <w:pPr>
              <w:adjustRightInd w:val="0"/>
              <w:snapToGrid w:val="0"/>
              <w:jc w:val="center"/>
              <w:rPr>
                <w:rFonts w:hint="eastAsia"/>
                <w:szCs w:val="21"/>
                <w:u w:val="none" w:color="auto"/>
              </w:rPr>
            </w:pPr>
            <w:r>
              <w:rPr>
                <w:rFonts w:hint="eastAsia"/>
                <w:szCs w:val="21"/>
                <w:u w:val="none" w:color="auto"/>
              </w:rPr>
              <w:t>/</w:t>
            </w:r>
          </w:p>
        </w:tc>
        <w:tc>
          <w:tcPr>
            <w:tcW w:w="1590" w:type="dxa"/>
            <w:tcBorders>
              <w:bottom w:val="single" w:color="auto" w:sz="4" w:space="0"/>
            </w:tcBorders>
            <w:noWrap w:val="0"/>
            <w:vAlign w:val="center"/>
          </w:tcPr>
          <w:p w14:paraId="493F7819">
            <w:pPr>
              <w:pStyle w:val="96"/>
              <w:rPr>
                <w:rFonts w:hint="eastAsia"/>
                <w:u w:val="none" w:color="auto"/>
                <w:lang w:val="en-US" w:eastAsia="zh-CN"/>
              </w:rPr>
            </w:pPr>
            <w:r>
              <w:rPr>
                <w:rFonts w:hint="eastAsia"/>
                <w:u w:val="none" w:color="auto"/>
                <w:lang w:val="en-US" w:eastAsia="zh-CN"/>
              </w:rPr>
              <w:t>0.2t/a</w:t>
            </w:r>
          </w:p>
        </w:tc>
        <w:tc>
          <w:tcPr>
            <w:tcW w:w="1545" w:type="dxa"/>
            <w:tcBorders>
              <w:bottom w:val="single" w:color="auto" w:sz="4" w:space="0"/>
            </w:tcBorders>
            <w:noWrap w:val="0"/>
            <w:vAlign w:val="center"/>
          </w:tcPr>
          <w:p w14:paraId="2B68E27A">
            <w:pPr>
              <w:adjustRightInd w:val="0"/>
              <w:snapToGrid w:val="0"/>
              <w:jc w:val="center"/>
              <w:rPr>
                <w:rFonts w:hint="eastAsia"/>
                <w:szCs w:val="21"/>
                <w:u w:val="none" w:color="auto"/>
              </w:rPr>
            </w:pPr>
            <w:r>
              <w:rPr>
                <w:rFonts w:hint="eastAsia"/>
                <w:szCs w:val="21"/>
                <w:u w:val="none" w:color="auto"/>
              </w:rPr>
              <w:t>/</w:t>
            </w:r>
          </w:p>
        </w:tc>
        <w:tc>
          <w:tcPr>
            <w:tcW w:w="1684" w:type="dxa"/>
            <w:tcBorders>
              <w:bottom w:val="single" w:color="auto" w:sz="4" w:space="0"/>
            </w:tcBorders>
            <w:noWrap w:val="0"/>
            <w:vAlign w:val="center"/>
          </w:tcPr>
          <w:p w14:paraId="2CDF7679">
            <w:pPr>
              <w:pStyle w:val="96"/>
              <w:rPr>
                <w:rFonts w:hint="eastAsia"/>
                <w:u w:val="none" w:color="auto"/>
                <w:lang w:val="en-US" w:eastAsia="zh-CN"/>
              </w:rPr>
            </w:pPr>
            <w:r>
              <w:rPr>
                <w:rFonts w:hint="eastAsia"/>
                <w:u w:val="none" w:color="auto"/>
                <w:lang w:val="en-US" w:eastAsia="zh-CN"/>
              </w:rPr>
              <w:t>0.2t/a</w:t>
            </w:r>
          </w:p>
        </w:tc>
        <w:tc>
          <w:tcPr>
            <w:tcW w:w="1499" w:type="dxa"/>
            <w:tcBorders>
              <w:bottom w:val="single" w:color="auto" w:sz="4" w:space="0"/>
            </w:tcBorders>
            <w:noWrap w:val="0"/>
            <w:vAlign w:val="center"/>
          </w:tcPr>
          <w:p w14:paraId="449B2A8A">
            <w:pPr>
              <w:pStyle w:val="96"/>
              <w:rPr>
                <w:rFonts w:hint="eastAsia"/>
                <w:szCs w:val="21"/>
                <w:u w:val="none" w:color="auto"/>
                <w:lang w:val="en-US" w:eastAsia="zh-CN"/>
              </w:rPr>
            </w:pPr>
            <w:r>
              <w:rPr>
                <w:rFonts w:hint="eastAsia"/>
                <w:szCs w:val="21"/>
                <w:u w:val="none" w:color="auto"/>
                <w:lang w:val="en-US" w:eastAsia="zh-CN"/>
              </w:rPr>
              <w:t>+0.</w:t>
            </w:r>
            <w:r>
              <w:rPr>
                <w:rFonts w:hint="eastAsia"/>
                <w:u w:val="none" w:color="auto"/>
                <w:lang w:val="en-US" w:eastAsia="zh-CN"/>
              </w:rPr>
              <w:t>2t/a</w:t>
            </w:r>
          </w:p>
        </w:tc>
      </w:tr>
      <w:tr w14:paraId="0D2432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1B03A03A">
            <w:pPr>
              <w:pStyle w:val="51"/>
              <w:spacing w:beforeLines="0" w:afterLines="0" w:line="240" w:lineRule="auto"/>
              <w:ind w:firstLine="0" w:firstLineChars="0"/>
              <w:rPr>
                <w:rFonts w:ascii="Times New Roman"/>
                <w:snapToGrid w:val="0"/>
                <w:kern w:val="21"/>
                <w:szCs w:val="21"/>
                <w:u w:val="none" w:color="auto"/>
              </w:rPr>
            </w:pPr>
          </w:p>
        </w:tc>
        <w:tc>
          <w:tcPr>
            <w:tcW w:w="1766" w:type="dxa"/>
            <w:tcBorders>
              <w:bottom w:val="single" w:color="auto" w:sz="4" w:space="0"/>
            </w:tcBorders>
            <w:noWrap w:val="0"/>
            <w:vAlign w:val="center"/>
          </w:tcPr>
          <w:p w14:paraId="3FCED46F">
            <w:pPr>
              <w:pStyle w:val="96"/>
              <w:rPr>
                <w:rFonts w:hint="default"/>
                <w:szCs w:val="21"/>
                <w:u w:val="none" w:color="auto"/>
                <w:lang w:val="en-US" w:eastAsia="zh-CN"/>
              </w:rPr>
            </w:pPr>
            <w:r>
              <w:rPr>
                <w:rFonts w:hint="eastAsia"/>
                <w:szCs w:val="21"/>
                <w:u w:val="none" w:color="auto"/>
                <w:lang w:val="en-US" w:eastAsia="zh-CN"/>
              </w:rPr>
              <w:t>废石英砂</w:t>
            </w:r>
          </w:p>
        </w:tc>
        <w:tc>
          <w:tcPr>
            <w:tcW w:w="1505" w:type="dxa"/>
            <w:tcBorders>
              <w:bottom w:val="single" w:color="auto" w:sz="4" w:space="0"/>
            </w:tcBorders>
            <w:noWrap w:val="0"/>
            <w:vAlign w:val="center"/>
          </w:tcPr>
          <w:p w14:paraId="27026076">
            <w:pPr>
              <w:adjustRightInd w:val="0"/>
              <w:snapToGrid w:val="0"/>
              <w:jc w:val="center"/>
              <w:rPr>
                <w:rFonts w:hint="eastAsia"/>
                <w:szCs w:val="21"/>
                <w:u w:val="none" w:color="auto"/>
              </w:rPr>
            </w:pPr>
            <w:r>
              <w:rPr>
                <w:rFonts w:hint="eastAsia"/>
                <w:szCs w:val="21"/>
                <w:u w:val="none" w:color="auto"/>
              </w:rPr>
              <w:t>/</w:t>
            </w:r>
          </w:p>
        </w:tc>
        <w:tc>
          <w:tcPr>
            <w:tcW w:w="1276" w:type="dxa"/>
            <w:tcBorders>
              <w:bottom w:val="single" w:color="auto" w:sz="4" w:space="0"/>
            </w:tcBorders>
            <w:noWrap w:val="0"/>
            <w:vAlign w:val="center"/>
          </w:tcPr>
          <w:p w14:paraId="2C1984F5">
            <w:pPr>
              <w:adjustRightInd w:val="0"/>
              <w:snapToGrid w:val="0"/>
              <w:jc w:val="center"/>
              <w:rPr>
                <w:rFonts w:hint="eastAsia"/>
                <w:szCs w:val="21"/>
                <w:u w:val="none" w:color="auto"/>
              </w:rPr>
            </w:pPr>
            <w:r>
              <w:rPr>
                <w:rFonts w:hint="eastAsia"/>
                <w:szCs w:val="21"/>
                <w:u w:val="none" w:color="auto"/>
              </w:rPr>
              <w:t>/</w:t>
            </w:r>
          </w:p>
        </w:tc>
        <w:tc>
          <w:tcPr>
            <w:tcW w:w="1472" w:type="dxa"/>
            <w:tcBorders>
              <w:bottom w:val="single" w:color="auto" w:sz="4" w:space="0"/>
            </w:tcBorders>
            <w:noWrap w:val="0"/>
            <w:vAlign w:val="center"/>
          </w:tcPr>
          <w:p w14:paraId="51C64AE3">
            <w:pPr>
              <w:adjustRightInd w:val="0"/>
              <w:snapToGrid w:val="0"/>
              <w:jc w:val="center"/>
              <w:rPr>
                <w:rFonts w:hint="eastAsia"/>
                <w:szCs w:val="21"/>
                <w:u w:val="none" w:color="auto"/>
              </w:rPr>
            </w:pPr>
            <w:r>
              <w:rPr>
                <w:rFonts w:hint="eastAsia"/>
                <w:szCs w:val="21"/>
                <w:u w:val="none" w:color="auto"/>
              </w:rPr>
              <w:t>/</w:t>
            </w:r>
          </w:p>
        </w:tc>
        <w:tc>
          <w:tcPr>
            <w:tcW w:w="1590" w:type="dxa"/>
            <w:tcBorders>
              <w:bottom w:val="single" w:color="auto" w:sz="4" w:space="0"/>
            </w:tcBorders>
            <w:noWrap w:val="0"/>
            <w:vAlign w:val="center"/>
          </w:tcPr>
          <w:p w14:paraId="54C70FB3">
            <w:pPr>
              <w:pStyle w:val="96"/>
              <w:rPr>
                <w:rFonts w:hint="default"/>
                <w:u w:val="none" w:color="auto"/>
                <w:lang w:val="en-US" w:eastAsia="zh-CN"/>
              </w:rPr>
            </w:pPr>
            <w:r>
              <w:rPr>
                <w:rFonts w:hint="eastAsia"/>
                <w:u w:val="none" w:color="auto"/>
                <w:lang w:val="en-US" w:eastAsia="zh-CN"/>
              </w:rPr>
              <w:t>1.5t/a</w:t>
            </w:r>
          </w:p>
        </w:tc>
        <w:tc>
          <w:tcPr>
            <w:tcW w:w="1545" w:type="dxa"/>
            <w:tcBorders>
              <w:bottom w:val="single" w:color="auto" w:sz="4" w:space="0"/>
            </w:tcBorders>
            <w:noWrap w:val="0"/>
            <w:vAlign w:val="center"/>
          </w:tcPr>
          <w:p w14:paraId="0BB535C4">
            <w:pPr>
              <w:adjustRightInd w:val="0"/>
              <w:snapToGrid w:val="0"/>
              <w:jc w:val="center"/>
              <w:rPr>
                <w:rFonts w:hint="eastAsia"/>
                <w:szCs w:val="21"/>
                <w:u w:val="none" w:color="auto"/>
              </w:rPr>
            </w:pPr>
            <w:r>
              <w:rPr>
                <w:rFonts w:hint="eastAsia"/>
                <w:szCs w:val="21"/>
                <w:u w:val="none" w:color="auto"/>
              </w:rPr>
              <w:t>/</w:t>
            </w:r>
          </w:p>
        </w:tc>
        <w:tc>
          <w:tcPr>
            <w:tcW w:w="1684" w:type="dxa"/>
            <w:tcBorders>
              <w:bottom w:val="single" w:color="auto" w:sz="4" w:space="0"/>
            </w:tcBorders>
            <w:noWrap w:val="0"/>
            <w:vAlign w:val="center"/>
          </w:tcPr>
          <w:p w14:paraId="4AAB2E51">
            <w:pPr>
              <w:pStyle w:val="96"/>
              <w:rPr>
                <w:rFonts w:hint="eastAsia"/>
                <w:u w:val="none" w:color="auto"/>
                <w:lang w:val="en-US" w:eastAsia="zh-CN"/>
              </w:rPr>
            </w:pPr>
            <w:r>
              <w:rPr>
                <w:rFonts w:hint="eastAsia"/>
                <w:u w:val="none" w:color="auto"/>
                <w:lang w:val="en-US" w:eastAsia="zh-CN"/>
              </w:rPr>
              <w:t>1.5t/a</w:t>
            </w:r>
          </w:p>
        </w:tc>
        <w:tc>
          <w:tcPr>
            <w:tcW w:w="1499" w:type="dxa"/>
            <w:tcBorders>
              <w:bottom w:val="single" w:color="auto" w:sz="4" w:space="0"/>
            </w:tcBorders>
            <w:noWrap w:val="0"/>
            <w:vAlign w:val="center"/>
          </w:tcPr>
          <w:p w14:paraId="616F1296">
            <w:pPr>
              <w:pStyle w:val="96"/>
              <w:rPr>
                <w:rFonts w:hint="eastAsia"/>
                <w:szCs w:val="21"/>
                <w:u w:val="none" w:color="auto"/>
                <w:lang w:val="en-US" w:eastAsia="zh-CN"/>
              </w:rPr>
            </w:pPr>
            <w:r>
              <w:rPr>
                <w:rFonts w:hint="eastAsia"/>
                <w:u w:val="none" w:color="auto"/>
                <w:lang w:val="en-US" w:eastAsia="zh-CN"/>
              </w:rPr>
              <w:t>+1.5t/a</w:t>
            </w:r>
          </w:p>
        </w:tc>
      </w:tr>
      <w:tr w14:paraId="30386B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4AA32EF1">
            <w:pPr>
              <w:pStyle w:val="51"/>
              <w:spacing w:beforeLines="0" w:afterLines="0" w:line="240" w:lineRule="auto"/>
              <w:ind w:firstLine="0" w:firstLineChars="0"/>
              <w:rPr>
                <w:rFonts w:ascii="Times New Roman"/>
                <w:snapToGrid w:val="0"/>
                <w:kern w:val="21"/>
                <w:szCs w:val="21"/>
                <w:u w:val="none" w:color="auto"/>
              </w:rPr>
            </w:pPr>
          </w:p>
        </w:tc>
        <w:tc>
          <w:tcPr>
            <w:tcW w:w="1766" w:type="dxa"/>
            <w:tcBorders>
              <w:bottom w:val="single" w:color="auto" w:sz="4" w:space="0"/>
            </w:tcBorders>
            <w:noWrap w:val="0"/>
            <w:vAlign w:val="center"/>
          </w:tcPr>
          <w:p w14:paraId="4DBD4A84">
            <w:pPr>
              <w:pStyle w:val="96"/>
              <w:rPr>
                <w:rFonts w:hint="default"/>
                <w:szCs w:val="21"/>
                <w:u w:val="none" w:color="auto"/>
                <w:lang w:val="en-US" w:eastAsia="zh-CN"/>
              </w:rPr>
            </w:pPr>
            <w:r>
              <w:rPr>
                <w:rFonts w:hint="eastAsia"/>
                <w:szCs w:val="21"/>
                <w:u w:val="none" w:color="auto"/>
                <w:lang w:val="en-US" w:eastAsia="zh-CN"/>
              </w:rPr>
              <w:t>废活性炭（纯水制备）</w:t>
            </w:r>
          </w:p>
        </w:tc>
        <w:tc>
          <w:tcPr>
            <w:tcW w:w="1505" w:type="dxa"/>
            <w:tcBorders>
              <w:bottom w:val="single" w:color="auto" w:sz="4" w:space="0"/>
            </w:tcBorders>
            <w:noWrap w:val="0"/>
            <w:vAlign w:val="center"/>
          </w:tcPr>
          <w:p w14:paraId="08C3CDA8">
            <w:pPr>
              <w:adjustRightInd w:val="0"/>
              <w:snapToGrid w:val="0"/>
              <w:jc w:val="center"/>
              <w:rPr>
                <w:rFonts w:hint="eastAsia"/>
                <w:szCs w:val="21"/>
                <w:u w:val="none" w:color="auto"/>
              </w:rPr>
            </w:pPr>
            <w:r>
              <w:rPr>
                <w:rFonts w:hint="eastAsia"/>
                <w:szCs w:val="21"/>
                <w:u w:val="none" w:color="auto"/>
              </w:rPr>
              <w:t>/</w:t>
            </w:r>
          </w:p>
        </w:tc>
        <w:tc>
          <w:tcPr>
            <w:tcW w:w="1276" w:type="dxa"/>
            <w:tcBorders>
              <w:bottom w:val="single" w:color="auto" w:sz="4" w:space="0"/>
            </w:tcBorders>
            <w:noWrap w:val="0"/>
            <w:vAlign w:val="center"/>
          </w:tcPr>
          <w:p w14:paraId="03CAA53B">
            <w:pPr>
              <w:adjustRightInd w:val="0"/>
              <w:snapToGrid w:val="0"/>
              <w:jc w:val="center"/>
              <w:rPr>
                <w:rFonts w:hint="eastAsia"/>
                <w:szCs w:val="21"/>
                <w:u w:val="none" w:color="auto"/>
              </w:rPr>
            </w:pPr>
            <w:r>
              <w:rPr>
                <w:rFonts w:hint="eastAsia"/>
                <w:szCs w:val="21"/>
                <w:u w:val="none" w:color="auto"/>
              </w:rPr>
              <w:t>/</w:t>
            </w:r>
          </w:p>
        </w:tc>
        <w:tc>
          <w:tcPr>
            <w:tcW w:w="1472" w:type="dxa"/>
            <w:tcBorders>
              <w:bottom w:val="single" w:color="auto" w:sz="4" w:space="0"/>
            </w:tcBorders>
            <w:noWrap w:val="0"/>
            <w:vAlign w:val="center"/>
          </w:tcPr>
          <w:p w14:paraId="3222473C">
            <w:pPr>
              <w:adjustRightInd w:val="0"/>
              <w:snapToGrid w:val="0"/>
              <w:jc w:val="center"/>
              <w:rPr>
                <w:rFonts w:hint="eastAsia"/>
                <w:szCs w:val="21"/>
                <w:u w:val="none" w:color="auto"/>
              </w:rPr>
            </w:pPr>
            <w:r>
              <w:rPr>
                <w:rFonts w:hint="eastAsia"/>
                <w:szCs w:val="21"/>
                <w:u w:val="none" w:color="auto"/>
              </w:rPr>
              <w:t>/</w:t>
            </w:r>
          </w:p>
        </w:tc>
        <w:tc>
          <w:tcPr>
            <w:tcW w:w="1590" w:type="dxa"/>
            <w:tcBorders>
              <w:bottom w:val="single" w:color="auto" w:sz="4" w:space="0"/>
            </w:tcBorders>
            <w:noWrap w:val="0"/>
            <w:vAlign w:val="center"/>
          </w:tcPr>
          <w:p w14:paraId="5F79F43A">
            <w:pPr>
              <w:pStyle w:val="96"/>
              <w:rPr>
                <w:rFonts w:hint="default"/>
                <w:u w:val="none" w:color="auto"/>
                <w:lang w:val="en-US" w:eastAsia="zh-CN"/>
              </w:rPr>
            </w:pPr>
            <w:r>
              <w:rPr>
                <w:rFonts w:hint="eastAsia"/>
                <w:u w:val="none" w:color="auto"/>
                <w:lang w:val="en-US" w:eastAsia="zh-CN"/>
              </w:rPr>
              <w:t>1t/a</w:t>
            </w:r>
          </w:p>
        </w:tc>
        <w:tc>
          <w:tcPr>
            <w:tcW w:w="1545" w:type="dxa"/>
            <w:tcBorders>
              <w:bottom w:val="single" w:color="auto" w:sz="4" w:space="0"/>
            </w:tcBorders>
            <w:noWrap w:val="0"/>
            <w:vAlign w:val="center"/>
          </w:tcPr>
          <w:p w14:paraId="7AC0D8B1">
            <w:pPr>
              <w:adjustRightInd w:val="0"/>
              <w:snapToGrid w:val="0"/>
              <w:jc w:val="center"/>
              <w:rPr>
                <w:rFonts w:hint="eastAsia"/>
                <w:szCs w:val="21"/>
                <w:u w:val="none" w:color="auto"/>
              </w:rPr>
            </w:pPr>
            <w:r>
              <w:rPr>
                <w:rFonts w:hint="eastAsia"/>
                <w:szCs w:val="21"/>
                <w:u w:val="none" w:color="auto"/>
              </w:rPr>
              <w:t>/</w:t>
            </w:r>
          </w:p>
        </w:tc>
        <w:tc>
          <w:tcPr>
            <w:tcW w:w="1684" w:type="dxa"/>
            <w:tcBorders>
              <w:bottom w:val="single" w:color="auto" w:sz="4" w:space="0"/>
            </w:tcBorders>
            <w:noWrap w:val="0"/>
            <w:vAlign w:val="center"/>
          </w:tcPr>
          <w:p w14:paraId="0FAF6850">
            <w:pPr>
              <w:pStyle w:val="96"/>
              <w:rPr>
                <w:rFonts w:hint="eastAsia"/>
                <w:u w:val="none" w:color="auto"/>
                <w:lang w:val="en-US" w:eastAsia="zh-CN"/>
              </w:rPr>
            </w:pPr>
            <w:r>
              <w:rPr>
                <w:rFonts w:hint="eastAsia"/>
                <w:u w:val="none" w:color="auto"/>
                <w:lang w:val="en-US" w:eastAsia="zh-CN"/>
              </w:rPr>
              <w:t>1t/a</w:t>
            </w:r>
          </w:p>
        </w:tc>
        <w:tc>
          <w:tcPr>
            <w:tcW w:w="1499" w:type="dxa"/>
            <w:tcBorders>
              <w:bottom w:val="single" w:color="auto" w:sz="4" w:space="0"/>
            </w:tcBorders>
            <w:noWrap w:val="0"/>
            <w:vAlign w:val="center"/>
          </w:tcPr>
          <w:p w14:paraId="7F546E46">
            <w:pPr>
              <w:pStyle w:val="96"/>
              <w:rPr>
                <w:rFonts w:hint="eastAsia"/>
                <w:szCs w:val="21"/>
                <w:u w:val="none" w:color="auto"/>
                <w:lang w:val="en-US" w:eastAsia="zh-CN"/>
              </w:rPr>
            </w:pPr>
            <w:r>
              <w:rPr>
                <w:rFonts w:hint="eastAsia"/>
                <w:u w:val="none" w:color="auto"/>
                <w:lang w:val="en-US" w:eastAsia="zh-CN"/>
              </w:rPr>
              <w:t>+1t/a</w:t>
            </w:r>
          </w:p>
        </w:tc>
      </w:tr>
      <w:tr w14:paraId="439841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0DE4B4F2">
            <w:pPr>
              <w:pStyle w:val="51"/>
              <w:spacing w:beforeLines="0" w:afterLines="0" w:line="240" w:lineRule="auto"/>
              <w:ind w:firstLine="0" w:firstLineChars="0"/>
              <w:rPr>
                <w:rFonts w:ascii="Times New Roman"/>
                <w:snapToGrid w:val="0"/>
                <w:kern w:val="21"/>
                <w:szCs w:val="21"/>
                <w:u w:val="none" w:color="auto"/>
              </w:rPr>
            </w:pPr>
          </w:p>
        </w:tc>
        <w:tc>
          <w:tcPr>
            <w:tcW w:w="1766" w:type="dxa"/>
            <w:tcBorders>
              <w:bottom w:val="single" w:color="000000" w:sz="8" w:space="0"/>
            </w:tcBorders>
            <w:noWrap w:val="0"/>
            <w:vAlign w:val="center"/>
          </w:tcPr>
          <w:p w14:paraId="273EFA51">
            <w:pPr>
              <w:pStyle w:val="96"/>
              <w:rPr>
                <w:rFonts w:hint="default"/>
                <w:szCs w:val="21"/>
                <w:u w:val="none" w:color="auto"/>
                <w:lang w:val="en-US" w:eastAsia="zh-CN"/>
              </w:rPr>
            </w:pPr>
            <w:r>
              <w:rPr>
                <w:rFonts w:hint="eastAsia"/>
                <w:szCs w:val="21"/>
                <w:u w:val="none" w:color="auto"/>
                <w:lang w:val="en-US" w:eastAsia="zh-CN"/>
              </w:rPr>
              <w:t>不合格电池</w:t>
            </w:r>
          </w:p>
        </w:tc>
        <w:tc>
          <w:tcPr>
            <w:tcW w:w="1505" w:type="dxa"/>
            <w:tcBorders>
              <w:bottom w:val="single" w:color="000000" w:sz="8" w:space="0"/>
            </w:tcBorders>
            <w:noWrap w:val="0"/>
            <w:vAlign w:val="center"/>
          </w:tcPr>
          <w:p w14:paraId="23F188BA">
            <w:pPr>
              <w:adjustRightInd w:val="0"/>
              <w:snapToGrid w:val="0"/>
              <w:jc w:val="center"/>
              <w:rPr>
                <w:rFonts w:hint="eastAsia"/>
                <w:szCs w:val="21"/>
                <w:u w:val="none" w:color="auto"/>
              </w:rPr>
            </w:pPr>
            <w:r>
              <w:rPr>
                <w:rFonts w:hint="eastAsia"/>
                <w:szCs w:val="21"/>
                <w:u w:val="none" w:color="auto"/>
              </w:rPr>
              <w:t>/</w:t>
            </w:r>
          </w:p>
        </w:tc>
        <w:tc>
          <w:tcPr>
            <w:tcW w:w="1276" w:type="dxa"/>
            <w:tcBorders>
              <w:bottom w:val="single" w:color="000000" w:sz="8" w:space="0"/>
            </w:tcBorders>
            <w:noWrap w:val="0"/>
            <w:vAlign w:val="center"/>
          </w:tcPr>
          <w:p w14:paraId="488F3255">
            <w:pPr>
              <w:adjustRightInd w:val="0"/>
              <w:snapToGrid w:val="0"/>
              <w:jc w:val="center"/>
              <w:rPr>
                <w:rFonts w:hint="eastAsia"/>
                <w:szCs w:val="21"/>
                <w:u w:val="none" w:color="auto"/>
              </w:rPr>
            </w:pPr>
            <w:r>
              <w:rPr>
                <w:rFonts w:hint="eastAsia"/>
                <w:szCs w:val="21"/>
                <w:u w:val="none" w:color="auto"/>
              </w:rPr>
              <w:t>/</w:t>
            </w:r>
          </w:p>
        </w:tc>
        <w:tc>
          <w:tcPr>
            <w:tcW w:w="1472" w:type="dxa"/>
            <w:tcBorders>
              <w:bottom w:val="single" w:color="000000" w:sz="8" w:space="0"/>
            </w:tcBorders>
            <w:noWrap w:val="0"/>
            <w:vAlign w:val="center"/>
          </w:tcPr>
          <w:p w14:paraId="59105E60">
            <w:pPr>
              <w:adjustRightInd w:val="0"/>
              <w:snapToGrid w:val="0"/>
              <w:jc w:val="center"/>
              <w:rPr>
                <w:rFonts w:hint="eastAsia"/>
                <w:szCs w:val="21"/>
                <w:u w:val="none" w:color="auto"/>
              </w:rPr>
            </w:pPr>
            <w:r>
              <w:rPr>
                <w:rFonts w:hint="eastAsia"/>
                <w:szCs w:val="21"/>
                <w:u w:val="none" w:color="auto"/>
              </w:rPr>
              <w:t>/</w:t>
            </w:r>
          </w:p>
        </w:tc>
        <w:tc>
          <w:tcPr>
            <w:tcW w:w="1590" w:type="dxa"/>
            <w:tcBorders>
              <w:bottom w:val="single" w:color="000000" w:sz="8" w:space="0"/>
            </w:tcBorders>
            <w:noWrap w:val="0"/>
            <w:vAlign w:val="center"/>
          </w:tcPr>
          <w:p w14:paraId="57F89B18">
            <w:pPr>
              <w:pStyle w:val="96"/>
              <w:rPr>
                <w:rFonts w:hint="eastAsia"/>
                <w:u w:val="none" w:color="auto"/>
                <w:lang w:val="en-US" w:eastAsia="zh-CN"/>
              </w:rPr>
            </w:pPr>
            <w:r>
              <w:rPr>
                <w:rFonts w:hint="eastAsia"/>
                <w:u w:val="none" w:color="auto"/>
                <w:lang w:val="en-US" w:eastAsia="zh-CN"/>
              </w:rPr>
              <w:t>5t/a</w:t>
            </w:r>
          </w:p>
        </w:tc>
        <w:tc>
          <w:tcPr>
            <w:tcW w:w="1545" w:type="dxa"/>
            <w:tcBorders>
              <w:bottom w:val="single" w:color="000000" w:sz="8" w:space="0"/>
            </w:tcBorders>
            <w:noWrap w:val="0"/>
            <w:vAlign w:val="center"/>
          </w:tcPr>
          <w:p w14:paraId="1EA0B6BB">
            <w:pPr>
              <w:adjustRightInd w:val="0"/>
              <w:snapToGrid w:val="0"/>
              <w:jc w:val="center"/>
              <w:rPr>
                <w:rFonts w:hint="eastAsia"/>
                <w:szCs w:val="21"/>
                <w:u w:val="none" w:color="auto"/>
              </w:rPr>
            </w:pPr>
            <w:r>
              <w:rPr>
                <w:rFonts w:hint="eastAsia"/>
                <w:szCs w:val="21"/>
                <w:u w:val="none" w:color="auto"/>
              </w:rPr>
              <w:t>/</w:t>
            </w:r>
          </w:p>
        </w:tc>
        <w:tc>
          <w:tcPr>
            <w:tcW w:w="1684" w:type="dxa"/>
            <w:tcBorders>
              <w:bottom w:val="single" w:color="000000" w:sz="8" w:space="0"/>
            </w:tcBorders>
            <w:noWrap w:val="0"/>
            <w:vAlign w:val="center"/>
          </w:tcPr>
          <w:p w14:paraId="36789225">
            <w:pPr>
              <w:pStyle w:val="96"/>
              <w:rPr>
                <w:rFonts w:hint="eastAsia"/>
                <w:u w:val="none" w:color="auto"/>
                <w:lang w:val="en-US" w:eastAsia="zh-CN"/>
              </w:rPr>
            </w:pPr>
            <w:r>
              <w:rPr>
                <w:rFonts w:hint="eastAsia"/>
                <w:u w:val="none" w:color="auto"/>
                <w:lang w:val="en-US" w:eastAsia="zh-CN"/>
              </w:rPr>
              <w:t>5t/a</w:t>
            </w:r>
          </w:p>
        </w:tc>
        <w:tc>
          <w:tcPr>
            <w:tcW w:w="1499" w:type="dxa"/>
            <w:tcBorders>
              <w:bottom w:val="single" w:color="000000" w:sz="8" w:space="0"/>
            </w:tcBorders>
            <w:noWrap w:val="0"/>
            <w:vAlign w:val="center"/>
          </w:tcPr>
          <w:p w14:paraId="6ECA8962">
            <w:pPr>
              <w:pStyle w:val="96"/>
              <w:rPr>
                <w:rFonts w:hint="eastAsia"/>
                <w:szCs w:val="21"/>
                <w:u w:val="none" w:color="auto"/>
                <w:lang w:val="en-US" w:eastAsia="zh-CN"/>
              </w:rPr>
            </w:pPr>
            <w:r>
              <w:rPr>
                <w:rFonts w:hint="eastAsia"/>
                <w:u w:val="none" w:color="auto"/>
                <w:lang w:val="en-US" w:eastAsia="zh-CN"/>
              </w:rPr>
              <w:t>5t/a</w:t>
            </w:r>
          </w:p>
        </w:tc>
      </w:tr>
      <w:tr w14:paraId="6C936D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53FE8649">
            <w:pPr>
              <w:pStyle w:val="51"/>
              <w:spacing w:beforeLines="0" w:afterLines="0" w:line="240" w:lineRule="auto"/>
              <w:ind w:firstLine="0" w:firstLineChars="0"/>
              <w:rPr>
                <w:rFonts w:ascii="Times New Roman"/>
                <w:snapToGrid w:val="0"/>
                <w:kern w:val="21"/>
                <w:szCs w:val="21"/>
                <w:u w:val="none" w:color="auto"/>
              </w:rPr>
            </w:pPr>
          </w:p>
        </w:tc>
        <w:tc>
          <w:tcPr>
            <w:tcW w:w="1766" w:type="dxa"/>
            <w:tcBorders>
              <w:top w:val="single" w:color="000000" w:sz="8" w:space="0"/>
              <w:bottom w:val="single" w:color="auto" w:sz="4" w:space="0"/>
            </w:tcBorders>
            <w:noWrap w:val="0"/>
            <w:vAlign w:val="center"/>
          </w:tcPr>
          <w:p w14:paraId="53927B64">
            <w:pPr>
              <w:pStyle w:val="96"/>
              <w:rPr>
                <w:rFonts w:hint="default"/>
                <w:szCs w:val="21"/>
                <w:u w:val="none" w:color="auto"/>
                <w:lang w:val="en-US" w:eastAsia="zh-CN"/>
              </w:rPr>
            </w:pPr>
            <w:r>
              <w:rPr>
                <w:rFonts w:hint="eastAsia"/>
                <w:szCs w:val="21"/>
                <w:u w:val="none" w:color="auto"/>
                <w:lang w:val="en-US" w:eastAsia="zh-CN"/>
              </w:rPr>
              <w:t>废包装材料</w:t>
            </w:r>
          </w:p>
        </w:tc>
        <w:tc>
          <w:tcPr>
            <w:tcW w:w="1505" w:type="dxa"/>
            <w:tcBorders>
              <w:top w:val="single" w:color="000000" w:sz="8" w:space="0"/>
              <w:bottom w:val="single" w:color="auto" w:sz="4" w:space="0"/>
            </w:tcBorders>
            <w:noWrap w:val="0"/>
            <w:vAlign w:val="center"/>
          </w:tcPr>
          <w:p w14:paraId="387FB297">
            <w:pPr>
              <w:adjustRightInd w:val="0"/>
              <w:snapToGrid w:val="0"/>
              <w:jc w:val="center"/>
              <w:rPr>
                <w:rFonts w:hint="eastAsia"/>
                <w:szCs w:val="21"/>
                <w:u w:val="none" w:color="auto"/>
              </w:rPr>
            </w:pPr>
            <w:r>
              <w:rPr>
                <w:rFonts w:hint="eastAsia"/>
                <w:szCs w:val="21"/>
                <w:u w:val="none" w:color="auto"/>
              </w:rPr>
              <w:t>/</w:t>
            </w:r>
          </w:p>
        </w:tc>
        <w:tc>
          <w:tcPr>
            <w:tcW w:w="1276" w:type="dxa"/>
            <w:tcBorders>
              <w:top w:val="single" w:color="000000" w:sz="8" w:space="0"/>
              <w:bottom w:val="single" w:color="auto" w:sz="4" w:space="0"/>
            </w:tcBorders>
            <w:noWrap w:val="0"/>
            <w:vAlign w:val="center"/>
          </w:tcPr>
          <w:p w14:paraId="39B1DF37">
            <w:pPr>
              <w:adjustRightInd w:val="0"/>
              <w:snapToGrid w:val="0"/>
              <w:jc w:val="center"/>
              <w:rPr>
                <w:rFonts w:hint="eastAsia"/>
                <w:szCs w:val="21"/>
                <w:u w:val="none" w:color="auto"/>
              </w:rPr>
            </w:pPr>
            <w:r>
              <w:rPr>
                <w:rFonts w:hint="eastAsia"/>
                <w:szCs w:val="21"/>
                <w:u w:val="none" w:color="auto"/>
              </w:rPr>
              <w:t>/</w:t>
            </w:r>
          </w:p>
        </w:tc>
        <w:tc>
          <w:tcPr>
            <w:tcW w:w="1472" w:type="dxa"/>
            <w:tcBorders>
              <w:top w:val="single" w:color="000000" w:sz="8" w:space="0"/>
              <w:bottom w:val="single" w:color="auto" w:sz="4" w:space="0"/>
            </w:tcBorders>
            <w:noWrap w:val="0"/>
            <w:vAlign w:val="center"/>
          </w:tcPr>
          <w:p w14:paraId="16E2796A">
            <w:pPr>
              <w:adjustRightInd w:val="0"/>
              <w:snapToGrid w:val="0"/>
              <w:jc w:val="center"/>
              <w:rPr>
                <w:rFonts w:hint="eastAsia"/>
                <w:szCs w:val="21"/>
                <w:u w:val="none" w:color="auto"/>
              </w:rPr>
            </w:pPr>
            <w:r>
              <w:rPr>
                <w:rFonts w:hint="eastAsia"/>
                <w:szCs w:val="21"/>
                <w:u w:val="none" w:color="auto"/>
              </w:rPr>
              <w:t>/</w:t>
            </w:r>
          </w:p>
        </w:tc>
        <w:tc>
          <w:tcPr>
            <w:tcW w:w="1590" w:type="dxa"/>
            <w:tcBorders>
              <w:top w:val="single" w:color="000000" w:sz="8" w:space="0"/>
              <w:bottom w:val="single" w:color="auto" w:sz="4" w:space="0"/>
            </w:tcBorders>
            <w:noWrap w:val="0"/>
            <w:vAlign w:val="center"/>
          </w:tcPr>
          <w:p w14:paraId="14E5C233">
            <w:pPr>
              <w:pStyle w:val="96"/>
              <w:rPr>
                <w:rFonts w:hint="default"/>
                <w:u w:val="none" w:color="auto"/>
                <w:lang w:val="en-US" w:eastAsia="zh-CN"/>
              </w:rPr>
            </w:pPr>
            <w:r>
              <w:rPr>
                <w:rFonts w:hint="eastAsia"/>
                <w:u w:val="none" w:color="auto"/>
                <w:lang w:val="en-US" w:eastAsia="zh-CN"/>
              </w:rPr>
              <w:t>82t/a</w:t>
            </w:r>
          </w:p>
        </w:tc>
        <w:tc>
          <w:tcPr>
            <w:tcW w:w="1545" w:type="dxa"/>
            <w:tcBorders>
              <w:top w:val="single" w:color="000000" w:sz="8" w:space="0"/>
              <w:bottom w:val="single" w:color="auto" w:sz="4" w:space="0"/>
            </w:tcBorders>
            <w:noWrap w:val="0"/>
            <w:vAlign w:val="center"/>
          </w:tcPr>
          <w:p w14:paraId="0D468E53">
            <w:pPr>
              <w:adjustRightInd w:val="0"/>
              <w:snapToGrid w:val="0"/>
              <w:jc w:val="center"/>
              <w:rPr>
                <w:rFonts w:hint="eastAsia"/>
                <w:szCs w:val="21"/>
                <w:u w:val="none" w:color="auto"/>
              </w:rPr>
            </w:pPr>
            <w:r>
              <w:rPr>
                <w:rFonts w:hint="eastAsia"/>
                <w:szCs w:val="21"/>
                <w:u w:val="none" w:color="auto"/>
              </w:rPr>
              <w:t>/</w:t>
            </w:r>
          </w:p>
        </w:tc>
        <w:tc>
          <w:tcPr>
            <w:tcW w:w="1684" w:type="dxa"/>
            <w:tcBorders>
              <w:top w:val="single" w:color="000000" w:sz="8" w:space="0"/>
              <w:bottom w:val="single" w:color="auto" w:sz="4" w:space="0"/>
            </w:tcBorders>
            <w:noWrap w:val="0"/>
            <w:vAlign w:val="center"/>
          </w:tcPr>
          <w:p w14:paraId="4C2C7F34">
            <w:pPr>
              <w:pStyle w:val="96"/>
              <w:rPr>
                <w:rFonts w:hint="eastAsia"/>
                <w:u w:val="none" w:color="auto"/>
                <w:lang w:val="en-US" w:eastAsia="zh-CN"/>
              </w:rPr>
            </w:pPr>
            <w:r>
              <w:rPr>
                <w:rFonts w:hint="eastAsia"/>
                <w:u w:val="none" w:color="auto"/>
                <w:lang w:val="en-US" w:eastAsia="zh-CN"/>
              </w:rPr>
              <w:t>82t/a</w:t>
            </w:r>
          </w:p>
        </w:tc>
        <w:tc>
          <w:tcPr>
            <w:tcW w:w="1499" w:type="dxa"/>
            <w:tcBorders>
              <w:top w:val="single" w:color="000000" w:sz="8" w:space="0"/>
              <w:bottom w:val="single" w:color="auto" w:sz="4" w:space="0"/>
            </w:tcBorders>
            <w:noWrap w:val="0"/>
            <w:vAlign w:val="center"/>
          </w:tcPr>
          <w:p w14:paraId="5B7F1201">
            <w:pPr>
              <w:pStyle w:val="96"/>
              <w:rPr>
                <w:rFonts w:hint="default"/>
                <w:szCs w:val="21"/>
                <w:u w:val="none" w:color="auto"/>
                <w:lang w:val="en-US" w:eastAsia="zh-CN"/>
              </w:rPr>
            </w:pPr>
            <w:r>
              <w:rPr>
                <w:rFonts w:hint="eastAsia"/>
                <w:szCs w:val="21"/>
                <w:u w:val="none" w:color="auto"/>
                <w:lang w:val="en-US" w:eastAsia="zh-CN"/>
              </w:rPr>
              <w:t>+</w:t>
            </w:r>
            <w:r>
              <w:rPr>
                <w:rFonts w:hint="eastAsia"/>
                <w:u w:val="none" w:color="auto"/>
                <w:lang w:val="en-US" w:eastAsia="zh-CN"/>
              </w:rPr>
              <w:t>82t/a</w:t>
            </w:r>
          </w:p>
        </w:tc>
      </w:tr>
      <w:tr w14:paraId="7757EC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575CE409">
            <w:pPr>
              <w:pStyle w:val="51"/>
              <w:spacing w:beforeLines="0" w:afterLines="0" w:line="240" w:lineRule="auto"/>
              <w:ind w:firstLine="0" w:firstLineChars="0"/>
              <w:rPr>
                <w:rFonts w:ascii="Times New Roman"/>
                <w:snapToGrid w:val="0"/>
                <w:kern w:val="21"/>
                <w:szCs w:val="21"/>
                <w:u w:val="none" w:color="auto"/>
              </w:rPr>
            </w:pPr>
          </w:p>
        </w:tc>
        <w:tc>
          <w:tcPr>
            <w:tcW w:w="1766" w:type="dxa"/>
            <w:tcBorders>
              <w:bottom w:val="single" w:color="auto" w:sz="4" w:space="0"/>
            </w:tcBorders>
            <w:noWrap w:val="0"/>
            <w:vAlign w:val="center"/>
          </w:tcPr>
          <w:p w14:paraId="4764449A">
            <w:pPr>
              <w:pStyle w:val="96"/>
              <w:rPr>
                <w:rFonts w:hint="eastAsia"/>
                <w:szCs w:val="21"/>
                <w:u w:val="none" w:color="auto"/>
                <w:lang w:val="en-US" w:eastAsia="zh-CN"/>
              </w:rPr>
            </w:pPr>
            <w:r>
              <w:rPr>
                <w:rFonts w:hint="eastAsia"/>
                <w:color w:val="000000" w:themeColor="text1"/>
                <w:u w:val="none" w:color="auto"/>
                <w14:textFill>
                  <w14:solidFill>
                    <w14:schemeClr w14:val="tx1"/>
                  </w14:solidFill>
                </w14:textFill>
              </w:rPr>
              <w:t>NMP</w:t>
            </w:r>
            <w:r>
              <w:rPr>
                <w:rFonts w:hint="eastAsia"/>
                <w:color w:val="000000" w:themeColor="text1"/>
                <w:u w:val="none" w:color="auto"/>
                <w:lang w:val="en-US" w:eastAsia="zh-CN"/>
                <w14:textFill>
                  <w14:solidFill>
                    <w14:schemeClr w14:val="tx1"/>
                  </w14:solidFill>
                </w14:textFill>
              </w:rPr>
              <w:t>回收液</w:t>
            </w:r>
          </w:p>
        </w:tc>
        <w:tc>
          <w:tcPr>
            <w:tcW w:w="1505" w:type="dxa"/>
            <w:tcBorders>
              <w:bottom w:val="single" w:color="auto" w:sz="4" w:space="0"/>
            </w:tcBorders>
            <w:noWrap w:val="0"/>
            <w:vAlign w:val="center"/>
          </w:tcPr>
          <w:p w14:paraId="35B265B5">
            <w:pPr>
              <w:adjustRightInd w:val="0"/>
              <w:snapToGrid w:val="0"/>
              <w:jc w:val="center"/>
              <w:rPr>
                <w:rFonts w:hint="eastAsia"/>
                <w:szCs w:val="21"/>
                <w:u w:val="none" w:color="auto"/>
              </w:rPr>
            </w:pPr>
            <w:r>
              <w:rPr>
                <w:rFonts w:hint="eastAsia"/>
                <w:szCs w:val="21"/>
                <w:u w:val="none" w:color="auto"/>
              </w:rPr>
              <w:t>/</w:t>
            </w:r>
          </w:p>
        </w:tc>
        <w:tc>
          <w:tcPr>
            <w:tcW w:w="1276" w:type="dxa"/>
            <w:tcBorders>
              <w:bottom w:val="single" w:color="auto" w:sz="4" w:space="0"/>
            </w:tcBorders>
            <w:noWrap w:val="0"/>
            <w:vAlign w:val="center"/>
          </w:tcPr>
          <w:p w14:paraId="4AC59A64">
            <w:pPr>
              <w:adjustRightInd w:val="0"/>
              <w:snapToGrid w:val="0"/>
              <w:jc w:val="center"/>
              <w:rPr>
                <w:rFonts w:hint="eastAsia"/>
                <w:szCs w:val="21"/>
                <w:u w:val="none" w:color="auto"/>
              </w:rPr>
            </w:pPr>
            <w:r>
              <w:rPr>
                <w:rFonts w:hint="eastAsia"/>
                <w:szCs w:val="21"/>
                <w:u w:val="none" w:color="auto"/>
              </w:rPr>
              <w:t>/</w:t>
            </w:r>
          </w:p>
        </w:tc>
        <w:tc>
          <w:tcPr>
            <w:tcW w:w="1472" w:type="dxa"/>
            <w:tcBorders>
              <w:bottom w:val="single" w:color="auto" w:sz="4" w:space="0"/>
            </w:tcBorders>
            <w:noWrap w:val="0"/>
            <w:vAlign w:val="center"/>
          </w:tcPr>
          <w:p w14:paraId="70EC0901">
            <w:pPr>
              <w:adjustRightInd w:val="0"/>
              <w:snapToGrid w:val="0"/>
              <w:jc w:val="center"/>
              <w:rPr>
                <w:rFonts w:hint="eastAsia"/>
                <w:szCs w:val="21"/>
                <w:u w:val="none" w:color="auto"/>
              </w:rPr>
            </w:pPr>
            <w:r>
              <w:rPr>
                <w:rFonts w:hint="eastAsia"/>
                <w:szCs w:val="21"/>
                <w:u w:val="none" w:color="auto"/>
              </w:rPr>
              <w:t>/</w:t>
            </w:r>
          </w:p>
        </w:tc>
        <w:tc>
          <w:tcPr>
            <w:tcW w:w="1590" w:type="dxa"/>
            <w:tcBorders>
              <w:bottom w:val="single" w:color="auto" w:sz="4" w:space="0"/>
            </w:tcBorders>
            <w:noWrap w:val="0"/>
            <w:vAlign w:val="center"/>
          </w:tcPr>
          <w:p w14:paraId="68323DAE">
            <w:pPr>
              <w:adjustRightInd w:val="0"/>
              <w:snapToGrid w:val="0"/>
              <w:jc w:val="center"/>
              <w:rPr>
                <w:rFonts w:hint="eastAsia"/>
                <w:u w:val="none" w:color="auto"/>
                <w:lang w:val="en-US" w:eastAsia="zh-CN"/>
              </w:rPr>
            </w:pPr>
            <w:r>
              <w:rPr>
                <w:rFonts w:hint="eastAsia" w:cs="Times New Roman"/>
                <w:color w:val="000000" w:themeColor="text1"/>
                <w:sz w:val="21"/>
                <w:szCs w:val="21"/>
                <w:highlight w:val="none"/>
                <w:u w:val="none" w:color="auto"/>
                <w:lang w:val="en-US" w:eastAsia="zh-CN"/>
                <w14:textFill>
                  <w14:solidFill>
                    <w14:schemeClr w14:val="tx1"/>
                  </w14:solidFill>
                </w14:textFill>
              </w:rPr>
              <w:t>2687.263</w:t>
            </w:r>
            <w:r>
              <w:rPr>
                <w:rFonts w:hint="eastAsia" w:ascii="Times New Roman" w:hAnsi="Times New Roman" w:eastAsia="宋体" w:cs="Times New Roman"/>
                <w:u w:val="none" w:color="auto"/>
                <w:lang w:val="en-US" w:eastAsia="zh-CN"/>
              </w:rPr>
              <w:t>t/a</w:t>
            </w:r>
          </w:p>
        </w:tc>
        <w:tc>
          <w:tcPr>
            <w:tcW w:w="1545" w:type="dxa"/>
            <w:tcBorders>
              <w:bottom w:val="single" w:color="auto" w:sz="4" w:space="0"/>
            </w:tcBorders>
            <w:noWrap w:val="0"/>
            <w:vAlign w:val="center"/>
          </w:tcPr>
          <w:p w14:paraId="63EE59DB">
            <w:pPr>
              <w:adjustRightInd w:val="0"/>
              <w:snapToGrid w:val="0"/>
              <w:jc w:val="center"/>
              <w:rPr>
                <w:rFonts w:hint="eastAsia"/>
                <w:szCs w:val="21"/>
                <w:u w:val="none" w:color="auto"/>
              </w:rPr>
            </w:pPr>
            <w:r>
              <w:rPr>
                <w:rFonts w:hint="eastAsia"/>
                <w:szCs w:val="21"/>
                <w:u w:val="none" w:color="auto"/>
              </w:rPr>
              <w:t>/</w:t>
            </w:r>
          </w:p>
        </w:tc>
        <w:tc>
          <w:tcPr>
            <w:tcW w:w="1684" w:type="dxa"/>
            <w:tcBorders>
              <w:bottom w:val="single" w:color="auto" w:sz="4" w:space="0"/>
            </w:tcBorders>
            <w:noWrap w:val="0"/>
            <w:vAlign w:val="center"/>
          </w:tcPr>
          <w:p w14:paraId="55E23937">
            <w:pPr>
              <w:adjustRightInd w:val="0"/>
              <w:snapToGrid w:val="0"/>
              <w:jc w:val="center"/>
              <w:rPr>
                <w:rFonts w:hint="eastAsia"/>
                <w:u w:val="none" w:color="auto"/>
                <w:lang w:val="en-US" w:eastAsia="zh-CN"/>
              </w:rPr>
            </w:pPr>
            <w:r>
              <w:rPr>
                <w:rFonts w:hint="eastAsia" w:cs="Times New Roman"/>
                <w:color w:val="000000" w:themeColor="text1"/>
                <w:sz w:val="21"/>
                <w:szCs w:val="21"/>
                <w:highlight w:val="none"/>
                <w:u w:val="none" w:color="auto"/>
                <w:lang w:val="en-US" w:eastAsia="zh-CN"/>
                <w14:textFill>
                  <w14:solidFill>
                    <w14:schemeClr w14:val="tx1"/>
                  </w14:solidFill>
                </w14:textFill>
              </w:rPr>
              <w:t>2687.263</w:t>
            </w:r>
            <w:r>
              <w:rPr>
                <w:rFonts w:hint="eastAsia" w:ascii="Times New Roman" w:hAnsi="Times New Roman" w:eastAsia="宋体" w:cs="Times New Roman"/>
                <w:u w:val="none" w:color="auto"/>
                <w:lang w:val="en-US" w:eastAsia="zh-CN"/>
              </w:rPr>
              <w:t>t/a</w:t>
            </w:r>
          </w:p>
        </w:tc>
        <w:tc>
          <w:tcPr>
            <w:tcW w:w="1499" w:type="dxa"/>
            <w:tcBorders>
              <w:bottom w:val="single" w:color="auto" w:sz="4" w:space="0"/>
            </w:tcBorders>
            <w:noWrap w:val="0"/>
            <w:vAlign w:val="center"/>
          </w:tcPr>
          <w:p w14:paraId="603F7FA5">
            <w:pPr>
              <w:adjustRightInd w:val="0"/>
              <w:snapToGrid w:val="0"/>
              <w:jc w:val="center"/>
              <w:rPr>
                <w:rFonts w:hint="eastAsia"/>
                <w:szCs w:val="21"/>
                <w:u w:val="none" w:color="auto"/>
                <w:lang w:val="en-US" w:eastAsia="zh-CN"/>
              </w:rPr>
            </w:pPr>
            <w:r>
              <w:rPr>
                <w:rFonts w:hint="eastAsia" w:ascii="Times New Roman" w:hAnsi="Times New Roman" w:eastAsia="宋体" w:cs="Times New Roman"/>
                <w:u w:val="none" w:color="auto"/>
                <w:lang w:val="en-US" w:eastAsia="zh-CN"/>
              </w:rPr>
              <w:t>+</w:t>
            </w:r>
            <w:r>
              <w:rPr>
                <w:rFonts w:hint="eastAsia" w:cs="Times New Roman"/>
                <w:color w:val="000000" w:themeColor="text1"/>
                <w:sz w:val="21"/>
                <w:szCs w:val="21"/>
                <w:highlight w:val="none"/>
                <w:u w:val="none" w:color="auto"/>
                <w:lang w:val="en-US" w:eastAsia="zh-CN"/>
                <w14:textFill>
                  <w14:solidFill>
                    <w14:schemeClr w14:val="tx1"/>
                  </w14:solidFill>
                </w14:textFill>
              </w:rPr>
              <w:t>2687.263</w:t>
            </w:r>
            <w:r>
              <w:rPr>
                <w:rFonts w:hint="eastAsia" w:ascii="Times New Roman" w:hAnsi="Times New Roman" w:eastAsia="宋体" w:cs="Times New Roman"/>
                <w:u w:val="none" w:color="auto"/>
                <w:lang w:val="en-US" w:eastAsia="zh-CN"/>
              </w:rPr>
              <w:t>t/a</w:t>
            </w:r>
          </w:p>
        </w:tc>
      </w:tr>
      <w:tr w14:paraId="4E7BB6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2B4489AD">
            <w:pPr>
              <w:pStyle w:val="51"/>
              <w:spacing w:beforeLines="0" w:afterLines="0" w:line="240" w:lineRule="auto"/>
              <w:ind w:firstLine="0" w:firstLineChars="0"/>
              <w:rPr>
                <w:rFonts w:ascii="Times New Roman"/>
                <w:snapToGrid w:val="0"/>
                <w:kern w:val="21"/>
                <w:szCs w:val="21"/>
                <w:u w:val="none" w:color="auto"/>
              </w:rPr>
            </w:pPr>
          </w:p>
        </w:tc>
        <w:tc>
          <w:tcPr>
            <w:tcW w:w="1766" w:type="dxa"/>
            <w:tcBorders>
              <w:bottom w:val="single" w:color="auto" w:sz="4" w:space="0"/>
            </w:tcBorders>
            <w:noWrap w:val="0"/>
            <w:vAlign w:val="center"/>
          </w:tcPr>
          <w:p w14:paraId="5636AD9D">
            <w:pPr>
              <w:pStyle w:val="96"/>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除尘器收尘</w:t>
            </w:r>
          </w:p>
        </w:tc>
        <w:tc>
          <w:tcPr>
            <w:tcW w:w="1505" w:type="dxa"/>
            <w:tcBorders>
              <w:bottom w:val="single" w:color="auto" w:sz="4" w:space="0"/>
            </w:tcBorders>
            <w:noWrap w:val="0"/>
            <w:vAlign w:val="center"/>
          </w:tcPr>
          <w:p w14:paraId="4CD70CBA">
            <w:pPr>
              <w:adjustRightInd w:val="0"/>
              <w:snapToGrid w:val="0"/>
              <w:jc w:val="center"/>
              <w:rPr>
                <w:rFonts w:hint="eastAsia"/>
                <w:szCs w:val="21"/>
                <w:u w:val="none" w:color="auto"/>
              </w:rPr>
            </w:pPr>
            <w:r>
              <w:rPr>
                <w:rFonts w:hint="eastAsia"/>
                <w:szCs w:val="21"/>
                <w:u w:val="none" w:color="auto"/>
              </w:rPr>
              <w:t>/</w:t>
            </w:r>
          </w:p>
        </w:tc>
        <w:tc>
          <w:tcPr>
            <w:tcW w:w="1276" w:type="dxa"/>
            <w:tcBorders>
              <w:bottom w:val="single" w:color="auto" w:sz="4" w:space="0"/>
            </w:tcBorders>
            <w:noWrap w:val="0"/>
            <w:vAlign w:val="center"/>
          </w:tcPr>
          <w:p w14:paraId="71EAEB24">
            <w:pPr>
              <w:adjustRightInd w:val="0"/>
              <w:snapToGrid w:val="0"/>
              <w:jc w:val="center"/>
              <w:rPr>
                <w:rFonts w:hint="eastAsia"/>
                <w:szCs w:val="21"/>
                <w:u w:val="none" w:color="auto"/>
              </w:rPr>
            </w:pPr>
            <w:r>
              <w:rPr>
                <w:rFonts w:hint="eastAsia"/>
                <w:szCs w:val="21"/>
                <w:u w:val="none" w:color="auto"/>
              </w:rPr>
              <w:t>/</w:t>
            </w:r>
          </w:p>
        </w:tc>
        <w:tc>
          <w:tcPr>
            <w:tcW w:w="1472" w:type="dxa"/>
            <w:tcBorders>
              <w:bottom w:val="single" w:color="auto" w:sz="4" w:space="0"/>
            </w:tcBorders>
            <w:noWrap w:val="0"/>
            <w:vAlign w:val="center"/>
          </w:tcPr>
          <w:p w14:paraId="0FDF9D69">
            <w:pPr>
              <w:adjustRightInd w:val="0"/>
              <w:snapToGrid w:val="0"/>
              <w:jc w:val="center"/>
              <w:rPr>
                <w:rFonts w:hint="eastAsia"/>
                <w:szCs w:val="21"/>
                <w:u w:val="none" w:color="auto"/>
              </w:rPr>
            </w:pPr>
            <w:r>
              <w:rPr>
                <w:rFonts w:hint="eastAsia"/>
                <w:szCs w:val="21"/>
                <w:u w:val="none" w:color="auto"/>
              </w:rPr>
              <w:t>/</w:t>
            </w:r>
          </w:p>
        </w:tc>
        <w:tc>
          <w:tcPr>
            <w:tcW w:w="1590" w:type="dxa"/>
            <w:tcBorders>
              <w:bottom w:val="single" w:color="auto" w:sz="4" w:space="0"/>
            </w:tcBorders>
            <w:noWrap w:val="0"/>
            <w:vAlign w:val="center"/>
          </w:tcPr>
          <w:p w14:paraId="2C18C0B9">
            <w:pPr>
              <w:adjustRightInd w:val="0"/>
              <w:snapToGrid w:val="0"/>
              <w:jc w:val="center"/>
              <w:rPr>
                <w:rFonts w:hint="default" w:cs="Times New Roman"/>
                <w:color w:val="000000" w:themeColor="text1"/>
                <w:sz w:val="21"/>
                <w:szCs w:val="21"/>
                <w:highlight w:val="none"/>
                <w:u w:val="none" w:color="auto"/>
                <w:lang w:val="en-US" w:eastAsia="zh-CN"/>
                <w14:textFill>
                  <w14:solidFill>
                    <w14:schemeClr w14:val="tx1"/>
                  </w14:solidFill>
                </w14:textFill>
              </w:rPr>
            </w:pPr>
            <w:r>
              <w:rPr>
                <w:rFonts w:hint="eastAsia" w:cs="Times New Roman"/>
                <w:u w:val="none" w:color="auto"/>
                <w:lang w:val="en-US" w:eastAsia="zh-CN"/>
              </w:rPr>
              <w:t>0.3957</w:t>
            </w:r>
            <w:r>
              <w:rPr>
                <w:rFonts w:hint="eastAsia" w:ascii="Times New Roman" w:hAnsi="Times New Roman" w:eastAsia="宋体" w:cs="Times New Roman"/>
                <w:u w:val="none" w:color="auto"/>
                <w:lang w:val="en-US" w:eastAsia="zh-CN"/>
              </w:rPr>
              <w:t>t/a</w:t>
            </w:r>
          </w:p>
        </w:tc>
        <w:tc>
          <w:tcPr>
            <w:tcW w:w="1545" w:type="dxa"/>
            <w:tcBorders>
              <w:bottom w:val="single" w:color="auto" w:sz="4" w:space="0"/>
            </w:tcBorders>
            <w:noWrap w:val="0"/>
            <w:vAlign w:val="center"/>
          </w:tcPr>
          <w:p w14:paraId="3A1C931D">
            <w:pPr>
              <w:adjustRightInd w:val="0"/>
              <w:snapToGrid w:val="0"/>
              <w:jc w:val="center"/>
              <w:rPr>
                <w:rFonts w:hint="eastAsia"/>
                <w:szCs w:val="21"/>
                <w:u w:val="none" w:color="auto"/>
              </w:rPr>
            </w:pPr>
            <w:r>
              <w:rPr>
                <w:rFonts w:hint="eastAsia"/>
                <w:szCs w:val="21"/>
                <w:u w:val="none" w:color="auto"/>
              </w:rPr>
              <w:t>/</w:t>
            </w:r>
          </w:p>
        </w:tc>
        <w:tc>
          <w:tcPr>
            <w:tcW w:w="1684" w:type="dxa"/>
            <w:tcBorders>
              <w:bottom w:val="single" w:color="auto" w:sz="4" w:space="0"/>
            </w:tcBorders>
            <w:noWrap w:val="0"/>
            <w:vAlign w:val="center"/>
          </w:tcPr>
          <w:p w14:paraId="5243B2D6">
            <w:pPr>
              <w:adjustRightInd w:val="0"/>
              <w:snapToGrid w:val="0"/>
              <w:jc w:val="center"/>
              <w:rPr>
                <w:rFonts w:hint="eastAsia" w:cs="Times New Roman"/>
                <w:color w:val="000000" w:themeColor="text1"/>
                <w:sz w:val="21"/>
                <w:szCs w:val="21"/>
                <w:highlight w:val="none"/>
                <w:u w:val="none" w:color="auto"/>
                <w:lang w:val="en-US" w:eastAsia="zh-CN"/>
                <w14:textFill>
                  <w14:solidFill>
                    <w14:schemeClr w14:val="tx1"/>
                  </w14:solidFill>
                </w14:textFill>
              </w:rPr>
            </w:pPr>
            <w:r>
              <w:rPr>
                <w:rFonts w:hint="eastAsia" w:cs="Times New Roman"/>
                <w:u w:val="none" w:color="auto"/>
                <w:lang w:val="en-US" w:eastAsia="zh-CN"/>
              </w:rPr>
              <w:t>0.3957</w:t>
            </w:r>
            <w:r>
              <w:rPr>
                <w:rFonts w:hint="eastAsia" w:ascii="Times New Roman" w:hAnsi="Times New Roman" w:eastAsia="宋体" w:cs="Times New Roman"/>
                <w:u w:val="none" w:color="auto"/>
                <w:lang w:val="en-US" w:eastAsia="zh-CN"/>
              </w:rPr>
              <w:t>t/a</w:t>
            </w:r>
          </w:p>
        </w:tc>
        <w:tc>
          <w:tcPr>
            <w:tcW w:w="1499" w:type="dxa"/>
            <w:tcBorders>
              <w:bottom w:val="single" w:color="auto" w:sz="4" w:space="0"/>
            </w:tcBorders>
            <w:noWrap w:val="0"/>
            <w:vAlign w:val="center"/>
          </w:tcPr>
          <w:p w14:paraId="0C74368F">
            <w:pPr>
              <w:adjustRightInd w:val="0"/>
              <w:snapToGrid w:val="0"/>
              <w:jc w:val="center"/>
              <w:rPr>
                <w:rFonts w:hint="default" w:ascii="Times New Roman" w:hAnsi="Times New Roman" w:eastAsia="宋体" w:cs="Times New Roman"/>
                <w:u w:val="none" w:color="auto"/>
                <w:lang w:val="en-US" w:eastAsia="zh-CN"/>
              </w:rPr>
            </w:pPr>
            <w:r>
              <w:rPr>
                <w:rFonts w:hint="eastAsia" w:cs="Times New Roman"/>
                <w:u w:val="none" w:color="auto"/>
                <w:lang w:val="en-US" w:eastAsia="zh-CN"/>
              </w:rPr>
              <w:t>+0.3957</w:t>
            </w:r>
            <w:r>
              <w:rPr>
                <w:rFonts w:hint="eastAsia" w:ascii="Times New Roman" w:hAnsi="Times New Roman" w:eastAsia="宋体" w:cs="Times New Roman"/>
                <w:u w:val="none" w:color="auto"/>
                <w:lang w:val="en-US" w:eastAsia="zh-CN"/>
              </w:rPr>
              <w:t>t/a</w:t>
            </w:r>
          </w:p>
        </w:tc>
      </w:tr>
      <w:tr w14:paraId="50DA1B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1F6BE46E">
            <w:pPr>
              <w:pStyle w:val="51"/>
              <w:spacing w:beforeLines="0" w:afterLines="0" w:line="240" w:lineRule="auto"/>
              <w:ind w:firstLine="0" w:firstLineChars="0"/>
              <w:rPr>
                <w:rFonts w:ascii="Times New Roman"/>
                <w:snapToGrid w:val="0"/>
                <w:kern w:val="21"/>
                <w:szCs w:val="21"/>
                <w:u w:val="none" w:color="auto"/>
              </w:rPr>
            </w:pPr>
          </w:p>
        </w:tc>
        <w:tc>
          <w:tcPr>
            <w:tcW w:w="1766" w:type="dxa"/>
            <w:tcBorders>
              <w:bottom w:val="single" w:color="auto" w:sz="4" w:space="0"/>
            </w:tcBorders>
            <w:noWrap w:val="0"/>
            <w:vAlign w:val="center"/>
          </w:tcPr>
          <w:p w14:paraId="3B8353EF">
            <w:pPr>
              <w:pStyle w:val="96"/>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污泥</w:t>
            </w:r>
          </w:p>
        </w:tc>
        <w:tc>
          <w:tcPr>
            <w:tcW w:w="1505" w:type="dxa"/>
            <w:tcBorders>
              <w:bottom w:val="single" w:color="auto" w:sz="4" w:space="0"/>
            </w:tcBorders>
            <w:noWrap w:val="0"/>
            <w:vAlign w:val="center"/>
          </w:tcPr>
          <w:p w14:paraId="03BA4DA3">
            <w:pPr>
              <w:adjustRightInd w:val="0"/>
              <w:snapToGrid w:val="0"/>
              <w:jc w:val="center"/>
              <w:rPr>
                <w:rFonts w:hint="eastAsia"/>
                <w:szCs w:val="21"/>
                <w:u w:val="none" w:color="auto"/>
              </w:rPr>
            </w:pPr>
            <w:r>
              <w:rPr>
                <w:rFonts w:hint="eastAsia"/>
                <w:szCs w:val="21"/>
                <w:u w:val="none" w:color="auto"/>
              </w:rPr>
              <w:t>/</w:t>
            </w:r>
          </w:p>
        </w:tc>
        <w:tc>
          <w:tcPr>
            <w:tcW w:w="1276" w:type="dxa"/>
            <w:tcBorders>
              <w:bottom w:val="single" w:color="auto" w:sz="4" w:space="0"/>
            </w:tcBorders>
            <w:noWrap w:val="0"/>
            <w:vAlign w:val="center"/>
          </w:tcPr>
          <w:p w14:paraId="07B88B2C">
            <w:pPr>
              <w:adjustRightInd w:val="0"/>
              <w:snapToGrid w:val="0"/>
              <w:jc w:val="center"/>
              <w:rPr>
                <w:rFonts w:hint="eastAsia"/>
                <w:szCs w:val="21"/>
                <w:u w:val="none" w:color="auto"/>
              </w:rPr>
            </w:pPr>
            <w:r>
              <w:rPr>
                <w:rFonts w:hint="eastAsia"/>
                <w:szCs w:val="21"/>
                <w:u w:val="none" w:color="auto"/>
              </w:rPr>
              <w:t>/</w:t>
            </w:r>
          </w:p>
        </w:tc>
        <w:tc>
          <w:tcPr>
            <w:tcW w:w="1472" w:type="dxa"/>
            <w:tcBorders>
              <w:bottom w:val="single" w:color="auto" w:sz="4" w:space="0"/>
            </w:tcBorders>
            <w:noWrap w:val="0"/>
            <w:vAlign w:val="center"/>
          </w:tcPr>
          <w:p w14:paraId="0C4187C4">
            <w:pPr>
              <w:adjustRightInd w:val="0"/>
              <w:snapToGrid w:val="0"/>
              <w:jc w:val="center"/>
              <w:rPr>
                <w:rFonts w:hint="eastAsia"/>
                <w:szCs w:val="21"/>
                <w:u w:val="none" w:color="auto"/>
              </w:rPr>
            </w:pPr>
            <w:r>
              <w:rPr>
                <w:rFonts w:hint="eastAsia"/>
                <w:szCs w:val="21"/>
                <w:u w:val="none" w:color="auto"/>
              </w:rPr>
              <w:t>/</w:t>
            </w:r>
          </w:p>
        </w:tc>
        <w:tc>
          <w:tcPr>
            <w:tcW w:w="1590" w:type="dxa"/>
            <w:tcBorders>
              <w:bottom w:val="single" w:color="auto" w:sz="4" w:space="0"/>
            </w:tcBorders>
            <w:noWrap w:val="0"/>
            <w:vAlign w:val="center"/>
          </w:tcPr>
          <w:p w14:paraId="6F67AD0D">
            <w:pPr>
              <w:adjustRightInd w:val="0"/>
              <w:snapToGrid w:val="0"/>
              <w:jc w:val="center"/>
              <w:rPr>
                <w:rFonts w:hint="default" w:cs="Times New Roman"/>
                <w:color w:val="000000" w:themeColor="text1"/>
                <w:sz w:val="21"/>
                <w:szCs w:val="21"/>
                <w:highlight w:val="none"/>
                <w:u w:val="none" w:color="auto"/>
                <w:lang w:val="en-US" w:eastAsia="zh-CN"/>
                <w14:textFill>
                  <w14:solidFill>
                    <w14:schemeClr w14:val="tx1"/>
                  </w14:solidFill>
                </w14:textFill>
              </w:rPr>
            </w:pPr>
            <w:r>
              <w:rPr>
                <w:rFonts w:hint="eastAsia" w:cs="Times New Roman"/>
                <w:color w:val="000000" w:themeColor="text1"/>
                <w:sz w:val="21"/>
                <w:szCs w:val="21"/>
                <w:highlight w:val="none"/>
                <w:u w:val="none" w:color="auto"/>
                <w:lang w:val="en-US" w:eastAsia="zh-CN"/>
                <w14:textFill>
                  <w14:solidFill>
                    <w14:schemeClr w14:val="tx1"/>
                  </w14:solidFill>
                </w14:textFill>
              </w:rPr>
              <w:t>9.74</w:t>
            </w:r>
            <w:r>
              <w:rPr>
                <w:rFonts w:hint="eastAsia" w:ascii="Times New Roman" w:hAnsi="Times New Roman" w:eastAsia="宋体" w:cs="Times New Roman"/>
                <w:u w:val="none" w:color="auto"/>
                <w:lang w:val="en-US" w:eastAsia="zh-CN"/>
              </w:rPr>
              <w:t>t/a</w:t>
            </w:r>
          </w:p>
        </w:tc>
        <w:tc>
          <w:tcPr>
            <w:tcW w:w="1545" w:type="dxa"/>
            <w:tcBorders>
              <w:bottom w:val="single" w:color="auto" w:sz="4" w:space="0"/>
            </w:tcBorders>
            <w:noWrap w:val="0"/>
            <w:vAlign w:val="center"/>
          </w:tcPr>
          <w:p w14:paraId="00B1242D">
            <w:pPr>
              <w:adjustRightInd w:val="0"/>
              <w:snapToGrid w:val="0"/>
              <w:jc w:val="center"/>
              <w:rPr>
                <w:rFonts w:hint="eastAsia"/>
                <w:szCs w:val="21"/>
                <w:u w:val="none" w:color="auto"/>
              </w:rPr>
            </w:pPr>
            <w:r>
              <w:rPr>
                <w:rFonts w:hint="eastAsia"/>
                <w:szCs w:val="21"/>
                <w:u w:val="none" w:color="auto"/>
              </w:rPr>
              <w:t>/</w:t>
            </w:r>
          </w:p>
        </w:tc>
        <w:tc>
          <w:tcPr>
            <w:tcW w:w="1684" w:type="dxa"/>
            <w:tcBorders>
              <w:bottom w:val="single" w:color="auto" w:sz="4" w:space="0"/>
            </w:tcBorders>
            <w:noWrap w:val="0"/>
            <w:vAlign w:val="center"/>
          </w:tcPr>
          <w:p w14:paraId="2823449A">
            <w:pPr>
              <w:adjustRightInd w:val="0"/>
              <w:snapToGrid w:val="0"/>
              <w:jc w:val="center"/>
              <w:rPr>
                <w:rFonts w:hint="eastAsia" w:cs="Times New Roman"/>
                <w:color w:val="000000" w:themeColor="text1"/>
                <w:sz w:val="21"/>
                <w:szCs w:val="21"/>
                <w:highlight w:val="none"/>
                <w:u w:val="none" w:color="auto"/>
                <w:lang w:val="en-US" w:eastAsia="zh-CN"/>
                <w14:textFill>
                  <w14:solidFill>
                    <w14:schemeClr w14:val="tx1"/>
                  </w14:solidFill>
                </w14:textFill>
              </w:rPr>
            </w:pPr>
            <w:r>
              <w:rPr>
                <w:rFonts w:hint="eastAsia" w:cs="Times New Roman"/>
                <w:color w:val="000000" w:themeColor="text1"/>
                <w:sz w:val="21"/>
                <w:szCs w:val="21"/>
                <w:highlight w:val="none"/>
                <w:u w:val="none" w:color="auto"/>
                <w:lang w:val="en-US" w:eastAsia="zh-CN"/>
                <w14:textFill>
                  <w14:solidFill>
                    <w14:schemeClr w14:val="tx1"/>
                  </w14:solidFill>
                </w14:textFill>
              </w:rPr>
              <w:t>9.74</w:t>
            </w:r>
            <w:r>
              <w:rPr>
                <w:rFonts w:hint="eastAsia" w:ascii="Times New Roman" w:hAnsi="Times New Roman" w:eastAsia="宋体" w:cs="Times New Roman"/>
                <w:u w:val="none" w:color="auto"/>
                <w:lang w:val="en-US" w:eastAsia="zh-CN"/>
              </w:rPr>
              <w:t>t/a</w:t>
            </w:r>
          </w:p>
        </w:tc>
        <w:tc>
          <w:tcPr>
            <w:tcW w:w="1499" w:type="dxa"/>
            <w:tcBorders>
              <w:bottom w:val="single" w:color="auto" w:sz="4" w:space="0"/>
            </w:tcBorders>
            <w:noWrap w:val="0"/>
            <w:vAlign w:val="center"/>
          </w:tcPr>
          <w:p w14:paraId="68A536C9">
            <w:pPr>
              <w:adjustRightInd w:val="0"/>
              <w:snapToGrid w:val="0"/>
              <w:jc w:val="center"/>
              <w:rPr>
                <w:rFonts w:hint="eastAsia" w:ascii="Times New Roman" w:hAnsi="Times New Roman" w:eastAsia="宋体" w:cs="Times New Roman"/>
                <w:u w:val="none" w:color="auto"/>
                <w:lang w:val="en-US" w:eastAsia="zh-CN"/>
              </w:rPr>
            </w:pPr>
            <w:r>
              <w:rPr>
                <w:rFonts w:hint="eastAsia" w:cs="Times New Roman"/>
                <w:color w:val="000000" w:themeColor="text1"/>
                <w:sz w:val="21"/>
                <w:szCs w:val="21"/>
                <w:highlight w:val="none"/>
                <w:u w:val="none" w:color="auto"/>
                <w:lang w:val="en-US" w:eastAsia="zh-CN"/>
                <w14:textFill>
                  <w14:solidFill>
                    <w14:schemeClr w14:val="tx1"/>
                  </w14:solidFill>
                </w14:textFill>
              </w:rPr>
              <w:t>+9.74</w:t>
            </w:r>
            <w:r>
              <w:rPr>
                <w:rFonts w:hint="eastAsia" w:ascii="Times New Roman" w:hAnsi="Times New Roman" w:eastAsia="宋体" w:cs="Times New Roman"/>
                <w:u w:val="none" w:color="auto"/>
                <w:lang w:val="en-US" w:eastAsia="zh-CN"/>
              </w:rPr>
              <w:t>t/a</w:t>
            </w:r>
          </w:p>
        </w:tc>
      </w:tr>
      <w:tr w14:paraId="679B33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5C756533">
            <w:pPr>
              <w:pStyle w:val="51"/>
              <w:spacing w:beforeLines="0" w:afterLines="0" w:line="240" w:lineRule="auto"/>
              <w:ind w:firstLine="0" w:firstLineChars="0"/>
              <w:rPr>
                <w:rFonts w:ascii="Times New Roman"/>
                <w:snapToGrid w:val="0"/>
                <w:kern w:val="21"/>
                <w:szCs w:val="21"/>
                <w:u w:val="none" w:color="auto"/>
              </w:rPr>
            </w:pPr>
          </w:p>
        </w:tc>
        <w:tc>
          <w:tcPr>
            <w:tcW w:w="1766" w:type="dxa"/>
            <w:tcBorders>
              <w:bottom w:val="single" w:color="auto" w:sz="4" w:space="0"/>
            </w:tcBorders>
            <w:noWrap w:val="0"/>
            <w:vAlign w:val="center"/>
          </w:tcPr>
          <w:p w14:paraId="6765C9EE">
            <w:pPr>
              <w:pStyle w:val="96"/>
              <w:rPr>
                <w:rFonts w:hint="default"/>
                <w:szCs w:val="21"/>
                <w:u w:val="none" w:color="auto"/>
                <w:lang w:val="en-US" w:eastAsia="zh-CN"/>
              </w:rPr>
            </w:pPr>
            <w:r>
              <w:rPr>
                <w:rFonts w:hint="eastAsia"/>
                <w:szCs w:val="21"/>
                <w:u w:val="none" w:color="auto"/>
                <w:lang w:val="en-US" w:eastAsia="zh-CN"/>
              </w:rPr>
              <w:t>废隔膜</w:t>
            </w:r>
          </w:p>
        </w:tc>
        <w:tc>
          <w:tcPr>
            <w:tcW w:w="1505" w:type="dxa"/>
            <w:tcBorders>
              <w:bottom w:val="single" w:color="auto" w:sz="4" w:space="0"/>
            </w:tcBorders>
            <w:noWrap w:val="0"/>
            <w:vAlign w:val="center"/>
          </w:tcPr>
          <w:p w14:paraId="0B60A1EB">
            <w:pPr>
              <w:adjustRightInd w:val="0"/>
              <w:snapToGrid w:val="0"/>
              <w:jc w:val="center"/>
              <w:rPr>
                <w:rFonts w:hint="eastAsia"/>
                <w:szCs w:val="21"/>
                <w:u w:val="none" w:color="auto"/>
              </w:rPr>
            </w:pPr>
            <w:r>
              <w:rPr>
                <w:rFonts w:hint="eastAsia"/>
                <w:szCs w:val="21"/>
                <w:u w:val="none" w:color="auto"/>
              </w:rPr>
              <w:t>/</w:t>
            </w:r>
          </w:p>
        </w:tc>
        <w:tc>
          <w:tcPr>
            <w:tcW w:w="1276" w:type="dxa"/>
            <w:tcBorders>
              <w:bottom w:val="single" w:color="auto" w:sz="4" w:space="0"/>
            </w:tcBorders>
            <w:noWrap w:val="0"/>
            <w:vAlign w:val="center"/>
          </w:tcPr>
          <w:p w14:paraId="222869E3">
            <w:pPr>
              <w:adjustRightInd w:val="0"/>
              <w:snapToGrid w:val="0"/>
              <w:jc w:val="center"/>
              <w:rPr>
                <w:rFonts w:hint="eastAsia"/>
                <w:szCs w:val="21"/>
                <w:u w:val="none" w:color="auto"/>
              </w:rPr>
            </w:pPr>
            <w:r>
              <w:rPr>
                <w:rFonts w:hint="eastAsia"/>
                <w:szCs w:val="21"/>
                <w:u w:val="none" w:color="auto"/>
              </w:rPr>
              <w:t>/</w:t>
            </w:r>
          </w:p>
        </w:tc>
        <w:tc>
          <w:tcPr>
            <w:tcW w:w="1472" w:type="dxa"/>
            <w:tcBorders>
              <w:bottom w:val="single" w:color="auto" w:sz="4" w:space="0"/>
            </w:tcBorders>
            <w:noWrap w:val="0"/>
            <w:vAlign w:val="center"/>
          </w:tcPr>
          <w:p w14:paraId="7234EAE7">
            <w:pPr>
              <w:adjustRightInd w:val="0"/>
              <w:snapToGrid w:val="0"/>
              <w:jc w:val="center"/>
              <w:rPr>
                <w:rFonts w:hint="eastAsia"/>
                <w:szCs w:val="21"/>
                <w:u w:val="none" w:color="auto"/>
              </w:rPr>
            </w:pPr>
            <w:r>
              <w:rPr>
                <w:rFonts w:hint="eastAsia"/>
                <w:szCs w:val="21"/>
                <w:u w:val="none" w:color="auto"/>
              </w:rPr>
              <w:t>/</w:t>
            </w:r>
          </w:p>
        </w:tc>
        <w:tc>
          <w:tcPr>
            <w:tcW w:w="1590" w:type="dxa"/>
            <w:tcBorders>
              <w:bottom w:val="single" w:color="auto" w:sz="4" w:space="0"/>
            </w:tcBorders>
            <w:noWrap w:val="0"/>
            <w:vAlign w:val="center"/>
          </w:tcPr>
          <w:p w14:paraId="29CD9833">
            <w:pPr>
              <w:pStyle w:val="96"/>
              <w:rPr>
                <w:rFonts w:hint="default"/>
                <w:u w:val="none" w:color="auto"/>
                <w:lang w:val="en-US" w:eastAsia="zh-CN"/>
              </w:rPr>
            </w:pPr>
            <w:r>
              <w:rPr>
                <w:rFonts w:hint="eastAsia"/>
                <w:u w:val="none" w:color="auto"/>
                <w:lang w:val="en-US" w:eastAsia="zh-CN"/>
              </w:rPr>
              <w:t>0.5t/a</w:t>
            </w:r>
          </w:p>
        </w:tc>
        <w:tc>
          <w:tcPr>
            <w:tcW w:w="1545" w:type="dxa"/>
            <w:tcBorders>
              <w:bottom w:val="single" w:color="auto" w:sz="4" w:space="0"/>
            </w:tcBorders>
            <w:noWrap w:val="0"/>
            <w:vAlign w:val="center"/>
          </w:tcPr>
          <w:p w14:paraId="64A57C7E">
            <w:pPr>
              <w:adjustRightInd w:val="0"/>
              <w:snapToGrid w:val="0"/>
              <w:jc w:val="center"/>
              <w:rPr>
                <w:rFonts w:hint="eastAsia"/>
                <w:szCs w:val="21"/>
                <w:u w:val="none" w:color="auto"/>
              </w:rPr>
            </w:pPr>
            <w:r>
              <w:rPr>
                <w:rFonts w:hint="eastAsia"/>
                <w:szCs w:val="21"/>
                <w:u w:val="none" w:color="auto"/>
              </w:rPr>
              <w:t>/</w:t>
            </w:r>
          </w:p>
        </w:tc>
        <w:tc>
          <w:tcPr>
            <w:tcW w:w="1684" w:type="dxa"/>
            <w:tcBorders>
              <w:bottom w:val="single" w:color="auto" w:sz="4" w:space="0"/>
            </w:tcBorders>
            <w:noWrap w:val="0"/>
            <w:vAlign w:val="center"/>
          </w:tcPr>
          <w:p w14:paraId="4B18D486">
            <w:pPr>
              <w:pStyle w:val="96"/>
              <w:rPr>
                <w:rFonts w:hint="eastAsia"/>
                <w:u w:val="none" w:color="auto"/>
                <w:lang w:val="en-US" w:eastAsia="zh-CN"/>
              </w:rPr>
            </w:pPr>
            <w:r>
              <w:rPr>
                <w:rFonts w:hint="eastAsia"/>
                <w:u w:val="none" w:color="auto"/>
                <w:lang w:val="en-US" w:eastAsia="zh-CN"/>
              </w:rPr>
              <w:t>0.5t/a</w:t>
            </w:r>
          </w:p>
        </w:tc>
        <w:tc>
          <w:tcPr>
            <w:tcW w:w="1499" w:type="dxa"/>
            <w:tcBorders>
              <w:bottom w:val="single" w:color="auto" w:sz="4" w:space="0"/>
            </w:tcBorders>
            <w:noWrap w:val="0"/>
            <w:vAlign w:val="center"/>
          </w:tcPr>
          <w:p w14:paraId="5AE2C47D">
            <w:pPr>
              <w:pStyle w:val="96"/>
              <w:rPr>
                <w:rFonts w:hint="default"/>
                <w:szCs w:val="21"/>
                <w:u w:val="none" w:color="auto"/>
                <w:lang w:val="en-US" w:eastAsia="zh-CN"/>
              </w:rPr>
            </w:pPr>
            <w:r>
              <w:rPr>
                <w:rFonts w:hint="eastAsia"/>
                <w:szCs w:val="21"/>
                <w:u w:val="none" w:color="auto"/>
                <w:lang w:val="en-US" w:eastAsia="zh-CN"/>
              </w:rPr>
              <w:t>+</w:t>
            </w:r>
            <w:r>
              <w:rPr>
                <w:rFonts w:hint="eastAsia"/>
                <w:u w:val="none" w:color="auto"/>
                <w:lang w:val="en-US" w:eastAsia="zh-CN"/>
              </w:rPr>
              <w:t>0.5t/a</w:t>
            </w:r>
          </w:p>
        </w:tc>
      </w:tr>
      <w:tr w14:paraId="170B19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restart"/>
            <w:noWrap w:val="0"/>
            <w:vAlign w:val="center"/>
          </w:tcPr>
          <w:p w14:paraId="4B67819D">
            <w:pPr>
              <w:pStyle w:val="51"/>
              <w:spacing w:beforeLines="0" w:afterLines="0" w:line="240" w:lineRule="auto"/>
              <w:ind w:firstLine="0" w:firstLineChars="0"/>
              <w:rPr>
                <w:rFonts w:hint="eastAsia" w:ascii="Times New Roman" w:eastAsia="宋体"/>
                <w:snapToGrid w:val="0"/>
                <w:kern w:val="21"/>
                <w:szCs w:val="21"/>
                <w:u w:val="none" w:color="auto"/>
                <w:lang w:eastAsia="zh-CN"/>
              </w:rPr>
            </w:pPr>
            <w:r>
              <w:rPr>
                <w:rFonts w:hint="eastAsia" w:ascii="Times New Roman"/>
                <w:snapToGrid w:val="0"/>
                <w:kern w:val="21"/>
                <w:szCs w:val="21"/>
                <w:u w:val="none" w:color="auto"/>
                <w:lang w:eastAsia="zh-CN"/>
              </w:rPr>
              <w:t>危险固体废物</w:t>
            </w:r>
          </w:p>
        </w:tc>
        <w:tc>
          <w:tcPr>
            <w:tcW w:w="1766" w:type="dxa"/>
            <w:noWrap w:val="0"/>
            <w:vAlign w:val="center"/>
          </w:tcPr>
          <w:p w14:paraId="40E44C2A">
            <w:pPr>
              <w:pStyle w:val="2"/>
              <w:spacing w:after="0"/>
              <w:ind w:left="0" w:leftChars="0" w:firstLine="0" w:firstLineChars="0"/>
              <w:jc w:val="center"/>
              <w:rPr>
                <w:rFonts w:hint="default" w:eastAsia="宋体"/>
                <w:szCs w:val="21"/>
                <w:u w:val="none" w:color="auto"/>
                <w:lang w:val="en-US" w:eastAsia="zh-CN"/>
              </w:rPr>
            </w:pPr>
            <w:r>
              <w:rPr>
                <w:rFonts w:hint="eastAsia" w:ascii="Times New Roman" w:hAnsi="Times New Roman" w:eastAsia="宋体" w:cs="Times New Roman"/>
                <w:kern w:val="2"/>
                <w:sz w:val="21"/>
                <w:szCs w:val="21"/>
                <w:u w:val="none" w:color="auto"/>
                <w:lang w:val="en-US" w:eastAsia="zh-CN" w:bidi="ar-SA"/>
              </w:rPr>
              <w:t>废</w:t>
            </w:r>
            <w:r>
              <w:rPr>
                <w:rFonts w:hint="eastAsia" w:cs="Times New Roman"/>
                <w:kern w:val="2"/>
                <w:sz w:val="21"/>
                <w:szCs w:val="21"/>
                <w:u w:val="none" w:color="auto"/>
                <w:lang w:val="en-US" w:eastAsia="zh-CN" w:bidi="ar-SA"/>
              </w:rPr>
              <w:t>机油</w:t>
            </w:r>
          </w:p>
        </w:tc>
        <w:tc>
          <w:tcPr>
            <w:tcW w:w="1505" w:type="dxa"/>
            <w:noWrap w:val="0"/>
            <w:vAlign w:val="center"/>
          </w:tcPr>
          <w:p w14:paraId="742BA0DD">
            <w:pPr>
              <w:adjustRightInd w:val="0"/>
              <w:snapToGrid w:val="0"/>
              <w:jc w:val="center"/>
              <w:rPr>
                <w:szCs w:val="21"/>
                <w:u w:val="none" w:color="auto"/>
              </w:rPr>
            </w:pPr>
            <w:r>
              <w:rPr>
                <w:rFonts w:hint="eastAsia"/>
                <w:szCs w:val="21"/>
                <w:u w:val="none" w:color="auto"/>
              </w:rPr>
              <w:t>/</w:t>
            </w:r>
          </w:p>
        </w:tc>
        <w:tc>
          <w:tcPr>
            <w:tcW w:w="1276" w:type="dxa"/>
            <w:noWrap w:val="0"/>
            <w:vAlign w:val="center"/>
          </w:tcPr>
          <w:p w14:paraId="28193027">
            <w:pPr>
              <w:adjustRightInd w:val="0"/>
              <w:snapToGrid w:val="0"/>
              <w:jc w:val="center"/>
              <w:rPr>
                <w:rFonts w:hint="eastAsia"/>
                <w:szCs w:val="21"/>
                <w:u w:val="none" w:color="auto"/>
              </w:rPr>
            </w:pPr>
            <w:r>
              <w:rPr>
                <w:rFonts w:hint="eastAsia"/>
                <w:szCs w:val="21"/>
                <w:u w:val="none" w:color="auto"/>
              </w:rPr>
              <w:t>/</w:t>
            </w:r>
          </w:p>
        </w:tc>
        <w:tc>
          <w:tcPr>
            <w:tcW w:w="1472" w:type="dxa"/>
            <w:noWrap w:val="0"/>
            <w:vAlign w:val="center"/>
          </w:tcPr>
          <w:p w14:paraId="3A562AE4">
            <w:pPr>
              <w:adjustRightInd w:val="0"/>
              <w:snapToGrid w:val="0"/>
              <w:jc w:val="center"/>
              <w:rPr>
                <w:rFonts w:hint="eastAsia"/>
                <w:szCs w:val="21"/>
                <w:u w:val="none" w:color="auto"/>
              </w:rPr>
            </w:pPr>
            <w:r>
              <w:rPr>
                <w:rFonts w:hint="eastAsia"/>
                <w:szCs w:val="21"/>
                <w:u w:val="none" w:color="auto"/>
              </w:rPr>
              <w:t>/</w:t>
            </w:r>
          </w:p>
        </w:tc>
        <w:tc>
          <w:tcPr>
            <w:tcW w:w="1590" w:type="dxa"/>
            <w:noWrap w:val="0"/>
            <w:vAlign w:val="center"/>
          </w:tcPr>
          <w:p w14:paraId="2822DBE6">
            <w:pPr>
              <w:adjustRightInd w:val="0"/>
              <w:snapToGrid w:val="0"/>
              <w:jc w:val="center"/>
              <w:rPr>
                <w:szCs w:val="21"/>
                <w:u w:val="none" w:color="auto"/>
              </w:rPr>
            </w:pPr>
            <w:r>
              <w:rPr>
                <w:rFonts w:hint="eastAsia"/>
                <w:u w:val="none" w:color="auto"/>
                <w:lang w:val="en-US" w:eastAsia="zh-CN"/>
              </w:rPr>
              <w:t>0.5t/a</w:t>
            </w:r>
          </w:p>
        </w:tc>
        <w:tc>
          <w:tcPr>
            <w:tcW w:w="1545" w:type="dxa"/>
            <w:noWrap w:val="0"/>
            <w:vAlign w:val="center"/>
          </w:tcPr>
          <w:p w14:paraId="3FC94345">
            <w:pPr>
              <w:adjustRightInd w:val="0"/>
              <w:snapToGrid w:val="0"/>
              <w:jc w:val="center"/>
              <w:rPr>
                <w:szCs w:val="21"/>
                <w:u w:val="none" w:color="auto"/>
              </w:rPr>
            </w:pPr>
            <w:r>
              <w:rPr>
                <w:rFonts w:hint="eastAsia"/>
                <w:szCs w:val="21"/>
                <w:u w:val="none" w:color="auto"/>
              </w:rPr>
              <w:t>/</w:t>
            </w:r>
          </w:p>
        </w:tc>
        <w:tc>
          <w:tcPr>
            <w:tcW w:w="1684" w:type="dxa"/>
            <w:noWrap w:val="0"/>
            <w:vAlign w:val="center"/>
          </w:tcPr>
          <w:p w14:paraId="4C7997C6">
            <w:pPr>
              <w:adjustRightInd w:val="0"/>
              <w:snapToGrid w:val="0"/>
              <w:jc w:val="center"/>
              <w:rPr>
                <w:szCs w:val="21"/>
                <w:u w:val="none" w:color="auto"/>
              </w:rPr>
            </w:pPr>
            <w:r>
              <w:rPr>
                <w:rFonts w:hint="eastAsia"/>
                <w:u w:val="none" w:color="auto"/>
                <w:lang w:val="en-US" w:eastAsia="zh-CN"/>
              </w:rPr>
              <w:t>0.5t/a</w:t>
            </w:r>
          </w:p>
        </w:tc>
        <w:tc>
          <w:tcPr>
            <w:tcW w:w="1499" w:type="dxa"/>
            <w:noWrap w:val="0"/>
            <w:vAlign w:val="center"/>
          </w:tcPr>
          <w:p w14:paraId="65D5A954">
            <w:pPr>
              <w:adjustRightInd w:val="0"/>
              <w:snapToGrid w:val="0"/>
              <w:jc w:val="center"/>
              <w:rPr>
                <w:rFonts w:hint="eastAsia"/>
                <w:szCs w:val="21"/>
                <w:u w:val="none" w:color="auto"/>
              </w:rPr>
            </w:pPr>
            <w:r>
              <w:rPr>
                <w:rFonts w:hint="eastAsia"/>
                <w:szCs w:val="21"/>
                <w:u w:val="none" w:color="auto"/>
                <w:lang w:val="en-US" w:eastAsia="zh-CN"/>
              </w:rPr>
              <w:t>+</w:t>
            </w:r>
            <w:r>
              <w:rPr>
                <w:rFonts w:hint="eastAsia"/>
                <w:u w:val="none" w:color="auto"/>
                <w:lang w:val="en-US" w:eastAsia="zh-CN"/>
              </w:rPr>
              <w:t>0.5t/a</w:t>
            </w:r>
          </w:p>
        </w:tc>
      </w:tr>
      <w:tr w14:paraId="290710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71900A5E">
            <w:pPr>
              <w:pStyle w:val="51"/>
              <w:spacing w:beforeLines="0" w:afterLines="0" w:line="240" w:lineRule="auto"/>
              <w:ind w:firstLine="0" w:firstLineChars="0"/>
              <w:rPr>
                <w:rFonts w:ascii="Times New Roman"/>
                <w:snapToGrid w:val="0"/>
                <w:kern w:val="21"/>
                <w:szCs w:val="21"/>
                <w:u w:val="none" w:color="auto"/>
              </w:rPr>
            </w:pPr>
          </w:p>
        </w:tc>
        <w:tc>
          <w:tcPr>
            <w:tcW w:w="1766" w:type="dxa"/>
            <w:noWrap w:val="0"/>
            <w:vAlign w:val="center"/>
          </w:tcPr>
          <w:p w14:paraId="1F423FA8">
            <w:pPr>
              <w:pStyle w:val="2"/>
              <w:spacing w:after="0"/>
              <w:ind w:left="0" w:leftChars="0" w:firstLine="0" w:firstLineChars="0"/>
              <w:jc w:val="center"/>
              <w:rPr>
                <w:rFonts w:hint="eastAsia" w:eastAsia="宋体"/>
                <w:szCs w:val="21"/>
                <w:u w:val="none" w:color="auto"/>
                <w:lang w:val="en-US" w:eastAsia="zh-CN"/>
              </w:rPr>
            </w:pPr>
            <w:r>
              <w:rPr>
                <w:rFonts w:hint="eastAsia" w:ascii="Times New Roman" w:hAnsi="Times New Roman" w:eastAsia="宋体" w:cs="Times New Roman"/>
                <w:kern w:val="2"/>
                <w:sz w:val="21"/>
                <w:szCs w:val="21"/>
                <w:u w:val="none" w:color="auto"/>
                <w:lang w:val="en-US" w:eastAsia="zh-CN" w:bidi="ar-SA"/>
              </w:rPr>
              <w:t>废</w:t>
            </w:r>
            <w:r>
              <w:rPr>
                <w:rFonts w:hint="eastAsia" w:cs="Times New Roman"/>
                <w:kern w:val="2"/>
                <w:sz w:val="21"/>
                <w:szCs w:val="21"/>
                <w:u w:val="none" w:color="auto"/>
                <w:lang w:val="en-US" w:eastAsia="zh-CN" w:bidi="ar-SA"/>
              </w:rPr>
              <w:t>活性炭（废气处理）</w:t>
            </w:r>
          </w:p>
        </w:tc>
        <w:tc>
          <w:tcPr>
            <w:tcW w:w="1505" w:type="dxa"/>
            <w:noWrap w:val="0"/>
            <w:vAlign w:val="center"/>
          </w:tcPr>
          <w:p w14:paraId="4D4A8CAE">
            <w:pPr>
              <w:adjustRightInd w:val="0"/>
              <w:snapToGrid w:val="0"/>
              <w:jc w:val="center"/>
              <w:rPr>
                <w:rFonts w:hint="eastAsia"/>
                <w:szCs w:val="21"/>
                <w:u w:val="none" w:color="auto"/>
              </w:rPr>
            </w:pPr>
            <w:r>
              <w:rPr>
                <w:rFonts w:hint="eastAsia"/>
                <w:szCs w:val="21"/>
                <w:u w:val="none" w:color="auto"/>
              </w:rPr>
              <w:t>/</w:t>
            </w:r>
          </w:p>
        </w:tc>
        <w:tc>
          <w:tcPr>
            <w:tcW w:w="1276" w:type="dxa"/>
            <w:noWrap w:val="0"/>
            <w:vAlign w:val="center"/>
          </w:tcPr>
          <w:p w14:paraId="71837F5B">
            <w:pPr>
              <w:adjustRightInd w:val="0"/>
              <w:snapToGrid w:val="0"/>
              <w:jc w:val="center"/>
              <w:rPr>
                <w:rFonts w:hint="eastAsia"/>
                <w:szCs w:val="21"/>
                <w:u w:val="none" w:color="auto"/>
              </w:rPr>
            </w:pPr>
            <w:r>
              <w:rPr>
                <w:rFonts w:hint="eastAsia"/>
                <w:szCs w:val="21"/>
                <w:u w:val="none" w:color="auto"/>
              </w:rPr>
              <w:t>/</w:t>
            </w:r>
          </w:p>
        </w:tc>
        <w:tc>
          <w:tcPr>
            <w:tcW w:w="1472" w:type="dxa"/>
            <w:noWrap w:val="0"/>
            <w:vAlign w:val="center"/>
          </w:tcPr>
          <w:p w14:paraId="10E6429D">
            <w:pPr>
              <w:adjustRightInd w:val="0"/>
              <w:snapToGrid w:val="0"/>
              <w:jc w:val="center"/>
              <w:rPr>
                <w:rFonts w:hint="eastAsia"/>
                <w:szCs w:val="21"/>
                <w:u w:val="none" w:color="auto"/>
              </w:rPr>
            </w:pPr>
            <w:r>
              <w:rPr>
                <w:rFonts w:hint="eastAsia"/>
                <w:szCs w:val="21"/>
                <w:u w:val="none" w:color="auto"/>
              </w:rPr>
              <w:t>/</w:t>
            </w:r>
          </w:p>
        </w:tc>
        <w:tc>
          <w:tcPr>
            <w:tcW w:w="1590" w:type="dxa"/>
            <w:noWrap w:val="0"/>
            <w:vAlign w:val="center"/>
          </w:tcPr>
          <w:p w14:paraId="1C731E2D">
            <w:pPr>
              <w:adjustRightInd w:val="0"/>
              <w:snapToGrid w:val="0"/>
              <w:jc w:val="center"/>
              <w:rPr>
                <w:szCs w:val="21"/>
                <w:u w:val="none" w:color="auto"/>
              </w:rPr>
            </w:pPr>
            <w:r>
              <w:rPr>
                <w:rFonts w:hint="eastAsia"/>
                <w:szCs w:val="21"/>
                <w:u w:val="none" w:color="auto"/>
                <w:lang w:val="en-US" w:eastAsia="zh-CN"/>
              </w:rPr>
              <w:t>2</w:t>
            </w:r>
            <w:r>
              <w:rPr>
                <w:rFonts w:hint="eastAsia"/>
                <w:u w:val="none" w:color="auto"/>
                <w:lang w:val="en-US" w:eastAsia="zh-CN"/>
              </w:rPr>
              <w:t>t/a</w:t>
            </w:r>
          </w:p>
        </w:tc>
        <w:tc>
          <w:tcPr>
            <w:tcW w:w="1545" w:type="dxa"/>
            <w:noWrap w:val="0"/>
            <w:vAlign w:val="center"/>
          </w:tcPr>
          <w:p w14:paraId="3521DF6C">
            <w:pPr>
              <w:adjustRightInd w:val="0"/>
              <w:snapToGrid w:val="0"/>
              <w:jc w:val="center"/>
              <w:rPr>
                <w:rFonts w:hint="eastAsia"/>
                <w:szCs w:val="21"/>
                <w:u w:val="none" w:color="auto"/>
              </w:rPr>
            </w:pPr>
            <w:r>
              <w:rPr>
                <w:rFonts w:hint="eastAsia"/>
                <w:szCs w:val="21"/>
                <w:u w:val="none" w:color="auto"/>
              </w:rPr>
              <w:t>/</w:t>
            </w:r>
          </w:p>
        </w:tc>
        <w:tc>
          <w:tcPr>
            <w:tcW w:w="1684" w:type="dxa"/>
            <w:noWrap w:val="0"/>
            <w:vAlign w:val="center"/>
          </w:tcPr>
          <w:p w14:paraId="7C0D955E">
            <w:pPr>
              <w:adjustRightInd w:val="0"/>
              <w:snapToGrid w:val="0"/>
              <w:jc w:val="center"/>
              <w:rPr>
                <w:szCs w:val="21"/>
                <w:u w:val="none" w:color="auto"/>
              </w:rPr>
            </w:pPr>
            <w:r>
              <w:rPr>
                <w:rFonts w:hint="eastAsia"/>
                <w:szCs w:val="21"/>
                <w:u w:val="none" w:color="auto"/>
                <w:lang w:val="en-US" w:eastAsia="zh-CN"/>
              </w:rPr>
              <w:t>2</w:t>
            </w:r>
            <w:r>
              <w:rPr>
                <w:rFonts w:hint="eastAsia"/>
                <w:u w:val="none" w:color="auto"/>
                <w:lang w:val="en-US" w:eastAsia="zh-CN"/>
              </w:rPr>
              <w:t>t/a</w:t>
            </w:r>
          </w:p>
        </w:tc>
        <w:tc>
          <w:tcPr>
            <w:tcW w:w="1499" w:type="dxa"/>
            <w:noWrap w:val="0"/>
            <w:vAlign w:val="center"/>
          </w:tcPr>
          <w:p w14:paraId="76CDA72D">
            <w:pPr>
              <w:adjustRightInd w:val="0"/>
              <w:snapToGrid w:val="0"/>
              <w:jc w:val="center"/>
              <w:rPr>
                <w:rFonts w:hint="eastAsia"/>
                <w:u w:val="none" w:color="auto"/>
              </w:rPr>
            </w:pPr>
            <w:r>
              <w:rPr>
                <w:rFonts w:hint="eastAsia"/>
                <w:u w:val="none" w:color="auto"/>
                <w:lang w:val="en-US" w:eastAsia="zh-CN"/>
              </w:rPr>
              <w:t>+</w:t>
            </w:r>
            <w:r>
              <w:rPr>
                <w:rFonts w:hint="eastAsia"/>
                <w:szCs w:val="21"/>
                <w:u w:val="none" w:color="auto"/>
                <w:lang w:val="en-US" w:eastAsia="zh-CN"/>
              </w:rPr>
              <w:t>2</w:t>
            </w:r>
            <w:r>
              <w:rPr>
                <w:rFonts w:hint="eastAsia"/>
                <w:u w:val="none" w:color="auto"/>
                <w:lang w:val="en-US" w:eastAsia="zh-CN"/>
              </w:rPr>
              <w:t>t/a</w:t>
            </w:r>
          </w:p>
        </w:tc>
      </w:tr>
      <w:tr w14:paraId="2E951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1F69E6CC">
            <w:pPr>
              <w:pStyle w:val="51"/>
              <w:spacing w:beforeLines="0" w:afterLines="0" w:line="240" w:lineRule="auto"/>
              <w:ind w:firstLine="0" w:firstLineChars="0"/>
              <w:rPr>
                <w:rFonts w:ascii="Times New Roman"/>
                <w:snapToGrid w:val="0"/>
                <w:kern w:val="21"/>
                <w:szCs w:val="21"/>
                <w:u w:val="none" w:color="auto"/>
              </w:rPr>
            </w:pPr>
          </w:p>
        </w:tc>
        <w:tc>
          <w:tcPr>
            <w:tcW w:w="1766" w:type="dxa"/>
            <w:noWrap w:val="0"/>
            <w:vAlign w:val="center"/>
          </w:tcPr>
          <w:p w14:paraId="2BCB4B1C">
            <w:pPr>
              <w:pStyle w:val="2"/>
              <w:spacing w:after="0"/>
              <w:ind w:left="0" w:leftChars="0" w:firstLine="0" w:firstLineChars="0"/>
              <w:jc w:val="center"/>
              <w:rPr>
                <w:rFonts w:hint="default" w:eastAsia="宋体"/>
                <w:szCs w:val="21"/>
                <w:u w:val="none" w:color="auto"/>
                <w:lang w:val="en-US" w:eastAsia="zh-CN"/>
              </w:rPr>
            </w:pPr>
            <w:r>
              <w:rPr>
                <w:rFonts w:hint="eastAsia" w:ascii="Times New Roman" w:hAnsi="Times New Roman" w:eastAsia="宋体" w:cs="Times New Roman"/>
                <w:kern w:val="2"/>
                <w:sz w:val="21"/>
                <w:szCs w:val="21"/>
                <w:u w:val="none" w:color="auto"/>
                <w:lang w:val="en-US" w:eastAsia="zh-CN" w:bidi="ar-SA"/>
              </w:rPr>
              <w:t>废催化剂</w:t>
            </w:r>
          </w:p>
        </w:tc>
        <w:tc>
          <w:tcPr>
            <w:tcW w:w="1505" w:type="dxa"/>
            <w:noWrap w:val="0"/>
            <w:vAlign w:val="center"/>
          </w:tcPr>
          <w:p w14:paraId="2A0C2CDF">
            <w:pPr>
              <w:adjustRightInd w:val="0"/>
              <w:snapToGrid w:val="0"/>
              <w:jc w:val="center"/>
              <w:rPr>
                <w:rFonts w:hint="default"/>
                <w:szCs w:val="21"/>
                <w:u w:val="none" w:color="auto"/>
                <w:lang w:val="en-US" w:eastAsia="zh-CN"/>
              </w:rPr>
            </w:pPr>
            <w:r>
              <w:rPr>
                <w:rFonts w:hint="eastAsia"/>
                <w:szCs w:val="21"/>
                <w:u w:val="none" w:color="auto"/>
              </w:rPr>
              <w:t>/</w:t>
            </w:r>
          </w:p>
        </w:tc>
        <w:tc>
          <w:tcPr>
            <w:tcW w:w="1276" w:type="dxa"/>
            <w:noWrap w:val="0"/>
            <w:vAlign w:val="center"/>
          </w:tcPr>
          <w:p w14:paraId="5D06C87D">
            <w:pPr>
              <w:adjustRightInd w:val="0"/>
              <w:snapToGrid w:val="0"/>
              <w:jc w:val="center"/>
              <w:rPr>
                <w:rFonts w:hint="eastAsia" w:eastAsia="宋体"/>
                <w:szCs w:val="21"/>
                <w:u w:val="none" w:color="auto"/>
                <w:lang w:val="en-US" w:eastAsia="zh-CN"/>
              </w:rPr>
            </w:pPr>
            <w:r>
              <w:rPr>
                <w:rFonts w:hint="eastAsia"/>
                <w:szCs w:val="21"/>
                <w:u w:val="none" w:color="auto"/>
              </w:rPr>
              <w:t>/</w:t>
            </w:r>
          </w:p>
        </w:tc>
        <w:tc>
          <w:tcPr>
            <w:tcW w:w="1472" w:type="dxa"/>
            <w:noWrap w:val="0"/>
            <w:vAlign w:val="center"/>
          </w:tcPr>
          <w:p w14:paraId="268B670D">
            <w:pPr>
              <w:adjustRightInd w:val="0"/>
              <w:snapToGrid w:val="0"/>
              <w:jc w:val="center"/>
              <w:rPr>
                <w:rFonts w:hint="eastAsia" w:eastAsia="宋体"/>
                <w:szCs w:val="21"/>
                <w:u w:val="none" w:color="auto"/>
                <w:lang w:val="en-US" w:eastAsia="zh-CN"/>
              </w:rPr>
            </w:pPr>
            <w:r>
              <w:rPr>
                <w:rFonts w:hint="eastAsia"/>
                <w:szCs w:val="21"/>
                <w:u w:val="none" w:color="auto"/>
              </w:rPr>
              <w:t>/</w:t>
            </w:r>
          </w:p>
        </w:tc>
        <w:tc>
          <w:tcPr>
            <w:tcW w:w="1590" w:type="dxa"/>
            <w:noWrap w:val="0"/>
            <w:vAlign w:val="center"/>
          </w:tcPr>
          <w:p w14:paraId="777FA055">
            <w:pPr>
              <w:adjustRightInd w:val="0"/>
              <w:snapToGrid w:val="0"/>
              <w:jc w:val="center"/>
              <w:rPr>
                <w:rFonts w:hint="default" w:eastAsia="宋体"/>
                <w:szCs w:val="21"/>
                <w:u w:val="none" w:color="auto"/>
                <w:lang w:val="en-US" w:eastAsia="zh-CN"/>
              </w:rPr>
            </w:pPr>
            <w:r>
              <w:rPr>
                <w:rFonts w:hint="eastAsia"/>
                <w:szCs w:val="21"/>
                <w:u w:val="none" w:color="auto"/>
                <w:lang w:val="en-US" w:eastAsia="zh-CN"/>
              </w:rPr>
              <w:t>0.1</w:t>
            </w:r>
            <w:r>
              <w:rPr>
                <w:rFonts w:hint="eastAsia"/>
                <w:u w:val="none" w:color="auto"/>
                <w:lang w:val="en-US" w:eastAsia="zh-CN"/>
              </w:rPr>
              <w:t>t/a</w:t>
            </w:r>
          </w:p>
        </w:tc>
        <w:tc>
          <w:tcPr>
            <w:tcW w:w="1545" w:type="dxa"/>
            <w:noWrap w:val="0"/>
            <w:vAlign w:val="center"/>
          </w:tcPr>
          <w:p w14:paraId="4926126A">
            <w:pPr>
              <w:adjustRightInd w:val="0"/>
              <w:snapToGrid w:val="0"/>
              <w:jc w:val="center"/>
              <w:rPr>
                <w:rFonts w:hint="eastAsia" w:eastAsia="宋体"/>
                <w:szCs w:val="21"/>
                <w:u w:val="none" w:color="auto"/>
                <w:lang w:val="en-US" w:eastAsia="zh-CN"/>
              </w:rPr>
            </w:pPr>
            <w:r>
              <w:rPr>
                <w:rFonts w:hint="eastAsia"/>
                <w:szCs w:val="21"/>
                <w:u w:val="none" w:color="auto"/>
              </w:rPr>
              <w:t>/</w:t>
            </w:r>
          </w:p>
        </w:tc>
        <w:tc>
          <w:tcPr>
            <w:tcW w:w="1684" w:type="dxa"/>
            <w:noWrap w:val="0"/>
            <w:vAlign w:val="center"/>
          </w:tcPr>
          <w:p w14:paraId="4138B2DF">
            <w:pPr>
              <w:adjustRightInd w:val="0"/>
              <w:snapToGrid w:val="0"/>
              <w:jc w:val="center"/>
              <w:rPr>
                <w:rFonts w:hint="eastAsia"/>
                <w:szCs w:val="21"/>
                <w:u w:val="none" w:color="auto"/>
              </w:rPr>
            </w:pPr>
            <w:r>
              <w:rPr>
                <w:rFonts w:hint="eastAsia"/>
                <w:szCs w:val="21"/>
                <w:u w:val="none" w:color="auto"/>
                <w:lang w:val="en-US" w:eastAsia="zh-CN"/>
              </w:rPr>
              <w:t>0.1</w:t>
            </w:r>
            <w:r>
              <w:rPr>
                <w:rFonts w:hint="eastAsia"/>
                <w:u w:val="none" w:color="auto"/>
                <w:lang w:val="en-US" w:eastAsia="zh-CN"/>
              </w:rPr>
              <w:t>t/a</w:t>
            </w:r>
          </w:p>
        </w:tc>
        <w:tc>
          <w:tcPr>
            <w:tcW w:w="1499" w:type="dxa"/>
            <w:noWrap w:val="0"/>
            <w:vAlign w:val="center"/>
          </w:tcPr>
          <w:p w14:paraId="34FD3ABB">
            <w:pPr>
              <w:adjustRightInd w:val="0"/>
              <w:snapToGrid w:val="0"/>
              <w:jc w:val="center"/>
              <w:rPr>
                <w:rFonts w:hint="eastAsia"/>
                <w:szCs w:val="21"/>
                <w:u w:val="none" w:color="auto"/>
              </w:rPr>
            </w:pPr>
            <w:r>
              <w:rPr>
                <w:rFonts w:hint="eastAsia"/>
                <w:szCs w:val="21"/>
                <w:u w:val="none" w:color="auto"/>
                <w:lang w:val="en-US" w:eastAsia="zh-CN"/>
              </w:rPr>
              <w:t>+0.1</w:t>
            </w:r>
            <w:r>
              <w:rPr>
                <w:rFonts w:hint="eastAsia"/>
                <w:u w:val="none" w:color="auto"/>
                <w:lang w:val="en-US" w:eastAsia="zh-CN"/>
              </w:rPr>
              <w:t>t/a</w:t>
            </w:r>
          </w:p>
        </w:tc>
      </w:tr>
      <w:tr w14:paraId="489C9B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19208793">
            <w:pPr>
              <w:pStyle w:val="51"/>
              <w:spacing w:beforeLines="0" w:afterLines="0" w:line="240" w:lineRule="auto"/>
              <w:ind w:firstLine="0" w:firstLineChars="0"/>
              <w:rPr>
                <w:rFonts w:ascii="Times New Roman"/>
                <w:snapToGrid w:val="0"/>
                <w:kern w:val="21"/>
                <w:szCs w:val="21"/>
                <w:u w:val="none" w:color="auto"/>
              </w:rPr>
            </w:pPr>
          </w:p>
        </w:tc>
        <w:tc>
          <w:tcPr>
            <w:tcW w:w="1766" w:type="dxa"/>
            <w:noWrap w:val="0"/>
            <w:vAlign w:val="center"/>
          </w:tcPr>
          <w:p w14:paraId="1CCC257F">
            <w:pPr>
              <w:pStyle w:val="2"/>
              <w:spacing w:after="0"/>
              <w:ind w:left="0" w:leftChars="0" w:firstLine="0" w:firstLineChars="0"/>
              <w:jc w:val="center"/>
              <w:rPr>
                <w:rFonts w:hint="default" w:ascii="Times New Roman" w:hAnsi="Times New Roman" w:eastAsia="宋体" w:cs="Times New Roman"/>
                <w:kern w:val="2"/>
                <w:sz w:val="21"/>
                <w:szCs w:val="21"/>
                <w:u w:val="none" w:color="auto"/>
                <w:lang w:val="en-US" w:eastAsia="zh-CN" w:bidi="ar-SA"/>
              </w:rPr>
            </w:pPr>
            <w:r>
              <w:rPr>
                <w:rFonts w:hint="eastAsia" w:cs="Times New Roman"/>
                <w:kern w:val="2"/>
                <w:sz w:val="21"/>
                <w:szCs w:val="21"/>
                <w:u w:val="none" w:color="auto"/>
                <w:lang w:val="en-US" w:eastAsia="zh-CN" w:bidi="ar-SA"/>
              </w:rPr>
              <w:t>沉淀污泥</w:t>
            </w:r>
          </w:p>
        </w:tc>
        <w:tc>
          <w:tcPr>
            <w:tcW w:w="1505" w:type="dxa"/>
            <w:noWrap w:val="0"/>
            <w:vAlign w:val="center"/>
          </w:tcPr>
          <w:p w14:paraId="101744E2">
            <w:pPr>
              <w:adjustRightInd w:val="0"/>
              <w:snapToGrid w:val="0"/>
              <w:jc w:val="center"/>
              <w:rPr>
                <w:rFonts w:hint="eastAsia"/>
                <w:szCs w:val="21"/>
                <w:u w:val="none" w:color="auto"/>
              </w:rPr>
            </w:pPr>
          </w:p>
        </w:tc>
        <w:tc>
          <w:tcPr>
            <w:tcW w:w="1276" w:type="dxa"/>
            <w:noWrap w:val="0"/>
            <w:vAlign w:val="center"/>
          </w:tcPr>
          <w:p w14:paraId="68ED4359">
            <w:pPr>
              <w:adjustRightInd w:val="0"/>
              <w:snapToGrid w:val="0"/>
              <w:jc w:val="center"/>
              <w:rPr>
                <w:rFonts w:hint="eastAsia"/>
                <w:szCs w:val="21"/>
                <w:u w:val="none" w:color="auto"/>
              </w:rPr>
            </w:pPr>
          </w:p>
        </w:tc>
        <w:tc>
          <w:tcPr>
            <w:tcW w:w="1472" w:type="dxa"/>
            <w:noWrap w:val="0"/>
            <w:vAlign w:val="center"/>
          </w:tcPr>
          <w:p w14:paraId="0DEF2CA2">
            <w:pPr>
              <w:adjustRightInd w:val="0"/>
              <w:snapToGrid w:val="0"/>
              <w:jc w:val="center"/>
              <w:rPr>
                <w:rFonts w:hint="eastAsia"/>
                <w:szCs w:val="21"/>
                <w:u w:val="none" w:color="auto"/>
              </w:rPr>
            </w:pPr>
          </w:p>
        </w:tc>
        <w:tc>
          <w:tcPr>
            <w:tcW w:w="1590" w:type="dxa"/>
            <w:noWrap w:val="0"/>
            <w:vAlign w:val="center"/>
          </w:tcPr>
          <w:p w14:paraId="7457A46C">
            <w:pPr>
              <w:adjustRightInd w:val="0"/>
              <w:snapToGrid w:val="0"/>
              <w:jc w:val="center"/>
              <w:rPr>
                <w:rFonts w:hint="default"/>
                <w:szCs w:val="21"/>
                <w:u w:val="none" w:color="auto"/>
                <w:lang w:val="en-US" w:eastAsia="zh-CN"/>
              </w:rPr>
            </w:pPr>
            <w:r>
              <w:rPr>
                <w:rFonts w:hint="eastAsia"/>
                <w:szCs w:val="21"/>
                <w:u w:val="none" w:color="auto"/>
                <w:lang w:val="en-US" w:eastAsia="zh-CN"/>
              </w:rPr>
              <w:t>0.2</w:t>
            </w:r>
            <w:r>
              <w:rPr>
                <w:rFonts w:hint="eastAsia"/>
                <w:u w:val="none" w:color="auto"/>
                <w:lang w:val="en-US" w:eastAsia="zh-CN"/>
              </w:rPr>
              <w:t>t/a</w:t>
            </w:r>
          </w:p>
        </w:tc>
        <w:tc>
          <w:tcPr>
            <w:tcW w:w="1545" w:type="dxa"/>
            <w:noWrap w:val="0"/>
            <w:vAlign w:val="center"/>
          </w:tcPr>
          <w:p w14:paraId="4EDDFC15">
            <w:pPr>
              <w:adjustRightInd w:val="0"/>
              <w:snapToGrid w:val="0"/>
              <w:jc w:val="center"/>
              <w:rPr>
                <w:rFonts w:hint="eastAsia"/>
                <w:szCs w:val="21"/>
                <w:u w:val="none" w:color="auto"/>
              </w:rPr>
            </w:pPr>
          </w:p>
        </w:tc>
        <w:tc>
          <w:tcPr>
            <w:tcW w:w="1684" w:type="dxa"/>
            <w:noWrap w:val="0"/>
            <w:vAlign w:val="center"/>
          </w:tcPr>
          <w:p w14:paraId="435347CC">
            <w:pPr>
              <w:adjustRightInd w:val="0"/>
              <w:snapToGrid w:val="0"/>
              <w:jc w:val="center"/>
              <w:rPr>
                <w:rFonts w:hint="eastAsia"/>
                <w:szCs w:val="21"/>
                <w:u w:val="none" w:color="auto"/>
                <w:lang w:val="en-US" w:eastAsia="zh-CN"/>
              </w:rPr>
            </w:pPr>
            <w:r>
              <w:rPr>
                <w:rFonts w:hint="eastAsia"/>
                <w:szCs w:val="21"/>
                <w:u w:val="none" w:color="auto"/>
                <w:lang w:val="en-US" w:eastAsia="zh-CN"/>
              </w:rPr>
              <w:t>0.2</w:t>
            </w:r>
            <w:r>
              <w:rPr>
                <w:rFonts w:hint="eastAsia"/>
                <w:u w:val="none" w:color="auto"/>
                <w:lang w:val="en-US" w:eastAsia="zh-CN"/>
              </w:rPr>
              <w:t>t/a</w:t>
            </w:r>
          </w:p>
        </w:tc>
        <w:tc>
          <w:tcPr>
            <w:tcW w:w="1499" w:type="dxa"/>
            <w:noWrap w:val="0"/>
            <w:vAlign w:val="center"/>
          </w:tcPr>
          <w:p w14:paraId="53C23E8F">
            <w:pPr>
              <w:adjustRightInd w:val="0"/>
              <w:snapToGrid w:val="0"/>
              <w:jc w:val="center"/>
              <w:rPr>
                <w:rFonts w:hint="eastAsia"/>
                <w:szCs w:val="21"/>
                <w:u w:val="none" w:color="auto"/>
                <w:lang w:val="en-US" w:eastAsia="zh-CN"/>
              </w:rPr>
            </w:pPr>
            <w:r>
              <w:rPr>
                <w:rFonts w:hint="eastAsia"/>
                <w:szCs w:val="21"/>
                <w:u w:val="none" w:color="auto"/>
                <w:lang w:val="en-US" w:eastAsia="zh-CN"/>
              </w:rPr>
              <w:t>+0.2</w:t>
            </w:r>
            <w:r>
              <w:rPr>
                <w:rFonts w:hint="eastAsia"/>
                <w:u w:val="none" w:color="auto"/>
                <w:lang w:val="en-US" w:eastAsia="zh-CN"/>
              </w:rPr>
              <w:t>t/a</w:t>
            </w:r>
          </w:p>
        </w:tc>
      </w:tr>
      <w:tr w14:paraId="19FBE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5" w:type="dxa"/>
            <w:vMerge w:val="continue"/>
            <w:noWrap w:val="0"/>
            <w:vAlign w:val="center"/>
          </w:tcPr>
          <w:p w14:paraId="3BC798C6">
            <w:pPr>
              <w:pStyle w:val="51"/>
              <w:spacing w:beforeLines="0" w:afterLines="0" w:line="240" w:lineRule="auto"/>
              <w:ind w:firstLine="0" w:firstLineChars="0"/>
              <w:rPr>
                <w:rFonts w:ascii="Times New Roman"/>
                <w:snapToGrid w:val="0"/>
                <w:kern w:val="21"/>
                <w:szCs w:val="21"/>
                <w:u w:val="none" w:color="auto"/>
              </w:rPr>
            </w:pPr>
          </w:p>
        </w:tc>
        <w:tc>
          <w:tcPr>
            <w:tcW w:w="1766" w:type="dxa"/>
            <w:noWrap w:val="0"/>
            <w:vAlign w:val="center"/>
          </w:tcPr>
          <w:p w14:paraId="451E9F7C">
            <w:pPr>
              <w:pStyle w:val="2"/>
              <w:spacing w:after="0"/>
              <w:ind w:left="0" w:leftChars="0" w:firstLine="0" w:firstLineChars="0"/>
              <w:jc w:val="center"/>
              <w:rPr>
                <w:rFonts w:hint="default" w:cs="Times New Roman"/>
                <w:kern w:val="2"/>
                <w:sz w:val="21"/>
                <w:szCs w:val="21"/>
                <w:u w:val="none" w:color="auto"/>
                <w:lang w:val="en-US" w:eastAsia="zh-CN" w:bidi="ar-SA"/>
              </w:rPr>
            </w:pPr>
            <w:r>
              <w:rPr>
                <w:rFonts w:hint="eastAsia" w:cs="Times New Roman"/>
                <w:kern w:val="2"/>
                <w:sz w:val="21"/>
                <w:szCs w:val="21"/>
                <w:u w:val="none" w:color="auto"/>
                <w:lang w:val="en-US" w:eastAsia="zh-CN" w:bidi="ar-SA"/>
              </w:rPr>
              <w:t>检测废液</w:t>
            </w:r>
          </w:p>
        </w:tc>
        <w:tc>
          <w:tcPr>
            <w:tcW w:w="1505" w:type="dxa"/>
            <w:noWrap w:val="0"/>
            <w:vAlign w:val="center"/>
          </w:tcPr>
          <w:p w14:paraId="0D81256E">
            <w:pPr>
              <w:adjustRightInd w:val="0"/>
              <w:snapToGrid w:val="0"/>
              <w:jc w:val="center"/>
              <w:rPr>
                <w:rFonts w:hint="eastAsia"/>
                <w:szCs w:val="21"/>
                <w:u w:val="none" w:color="auto"/>
              </w:rPr>
            </w:pPr>
            <w:r>
              <w:rPr>
                <w:rFonts w:hint="eastAsia"/>
                <w:szCs w:val="21"/>
                <w:u w:val="none" w:color="auto"/>
              </w:rPr>
              <w:t>/</w:t>
            </w:r>
          </w:p>
        </w:tc>
        <w:tc>
          <w:tcPr>
            <w:tcW w:w="1276" w:type="dxa"/>
            <w:noWrap w:val="0"/>
            <w:vAlign w:val="center"/>
          </w:tcPr>
          <w:p w14:paraId="6AB182EF">
            <w:pPr>
              <w:adjustRightInd w:val="0"/>
              <w:snapToGrid w:val="0"/>
              <w:jc w:val="center"/>
              <w:rPr>
                <w:rFonts w:hint="eastAsia"/>
                <w:szCs w:val="21"/>
                <w:u w:val="none" w:color="auto"/>
              </w:rPr>
            </w:pPr>
            <w:r>
              <w:rPr>
                <w:rFonts w:hint="eastAsia"/>
                <w:szCs w:val="21"/>
                <w:u w:val="none" w:color="auto"/>
              </w:rPr>
              <w:t>/</w:t>
            </w:r>
          </w:p>
        </w:tc>
        <w:tc>
          <w:tcPr>
            <w:tcW w:w="1472" w:type="dxa"/>
            <w:noWrap w:val="0"/>
            <w:vAlign w:val="center"/>
          </w:tcPr>
          <w:p w14:paraId="42EB1C61">
            <w:pPr>
              <w:adjustRightInd w:val="0"/>
              <w:snapToGrid w:val="0"/>
              <w:jc w:val="center"/>
              <w:rPr>
                <w:rFonts w:hint="eastAsia"/>
                <w:szCs w:val="21"/>
                <w:u w:val="none" w:color="auto"/>
              </w:rPr>
            </w:pPr>
            <w:r>
              <w:rPr>
                <w:rFonts w:hint="eastAsia"/>
                <w:szCs w:val="21"/>
                <w:u w:val="none" w:color="auto"/>
              </w:rPr>
              <w:t>/</w:t>
            </w:r>
          </w:p>
        </w:tc>
        <w:tc>
          <w:tcPr>
            <w:tcW w:w="1590" w:type="dxa"/>
            <w:noWrap w:val="0"/>
            <w:vAlign w:val="center"/>
          </w:tcPr>
          <w:p w14:paraId="1181AE47">
            <w:pPr>
              <w:adjustRightInd w:val="0"/>
              <w:snapToGrid w:val="0"/>
              <w:jc w:val="center"/>
              <w:rPr>
                <w:rFonts w:hint="eastAsia"/>
                <w:szCs w:val="21"/>
                <w:u w:val="none" w:color="auto"/>
                <w:lang w:val="en-US" w:eastAsia="zh-CN"/>
              </w:rPr>
            </w:pPr>
            <w:r>
              <w:rPr>
                <w:rFonts w:hint="eastAsia"/>
                <w:szCs w:val="21"/>
                <w:u w:val="none" w:color="auto"/>
                <w:lang w:val="en-US" w:eastAsia="zh-CN"/>
              </w:rPr>
              <w:t>0.3</w:t>
            </w:r>
            <w:r>
              <w:rPr>
                <w:rFonts w:hint="eastAsia"/>
                <w:u w:val="none" w:color="auto"/>
                <w:lang w:val="en-US" w:eastAsia="zh-CN"/>
              </w:rPr>
              <w:t>t/a</w:t>
            </w:r>
          </w:p>
        </w:tc>
        <w:tc>
          <w:tcPr>
            <w:tcW w:w="1545" w:type="dxa"/>
            <w:noWrap w:val="0"/>
            <w:vAlign w:val="center"/>
          </w:tcPr>
          <w:p w14:paraId="5DFEBA67">
            <w:pPr>
              <w:adjustRightInd w:val="0"/>
              <w:snapToGrid w:val="0"/>
              <w:jc w:val="center"/>
              <w:rPr>
                <w:rFonts w:hint="eastAsia"/>
                <w:szCs w:val="21"/>
                <w:u w:val="none" w:color="auto"/>
              </w:rPr>
            </w:pPr>
            <w:r>
              <w:rPr>
                <w:rFonts w:hint="eastAsia"/>
                <w:szCs w:val="21"/>
                <w:u w:val="none" w:color="auto"/>
              </w:rPr>
              <w:t>/</w:t>
            </w:r>
          </w:p>
        </w:tc>
        <w:tc>
          <w:tcPr>
            <w:tcW w:w="1684" w:type="dxa"/>
            <w:noWrap w:val="0"/>
            <w:vAlign w:val="center"/>
          </w:tcPr>
          <w:p w14:paraId="3378F16B">
            <w:pPr>
              <w:adjustRightInd w:val="0"/>
              <w:snapToGrid w:val="0"/>
              <w:jc w:val="center"/>
              <w:rPr>
                <w:rFonts w:hint="eastAsia"/>
                <w:szCs w:val="21"/>
                <w:u w:val="none" w:color="auto"/>
                <w:lang w:val="en-US" w:eastAsia="zh-CN"/>
              </w:rPr>
            </w:pPr>
            <w:r>
              <w:rPr>
                <w:rFonts w:hint="eastAsia"/>
                <w:szCs w:val="21"/>
                <w:u w:val="none" w:color="auto"/>
                <w:lang w:val="en-US" w:eastAsia="zh-CN"/>
              </w:rPr>
              <w:t>0.3</w:t>
            </w:r>
            <w:r>
              <w:rPr>
                <w:rFonts w:hint="eastAsia"/>
                <w:u w:val="none" w:color="auto"/>
                <w:lang w:val="en-US" w:eastAsia="zh-CN"/>
              </w:rPr>
              <w:t>t/a</w:t>
            </w:r>
          </w:p>
        </w:tc>
        <w:tc>
          <w:tcPr>
            <w:tcW w:w="1499" w:type="dxa"/>
            <w:noWrap w:val="0"/>
            <w:vAlign w:val="center"/>
          </w:tcPr>
          <w:p w14:paraId="6E44A034">
            <w:pPr>
              <w:adjustRightInd w:val="0"/>
              <w:snapToGrid w:val="0"/>
              <w:jc w:val="center"/>
              <w:rPr>
                <w:rFonts w:hint="default"/>
                <w:szCs w:val="21"/>
                <w:u w:val="none" w:color="auto"/>
                <w:lang w:val="en-US" w:eastAsia="zh-CN"/>
              </w:rPr>
            </w:pPr>
            <w:r>
              <w:rPr>
                <w:rFonts w:hint="eastAsia"/>
                <w:szCs w:val="21"/>
                <w:u w:val="none" w:color="auto"/>
                <w:lang w:val="en-US" w:eastAsia="zh-CN"/>
              </w:rPr>
              <w:t>+0.3</w:t>
            </w:r>
            <w:r>
              <w:rPr>
                <w:rFonts w:hint="eastAsia"/>
                <w:u w:val="none" w:color="auto"/>
                <w:lang w:val="en-US" w:eastAsia="zh-CN"/>
              </w:rPr>
              <w:t>t/a</w:t>
            </w:r>
          </w:p>
        </w:tc>
      </w:tr>
    </w:tbl>
    <w:p w14:paraId="723F3601">
      <w:pPr>
        <w:bidi w:val="0"/>
        <w:rPr>
          <w:u w:val="none" w:color="auto"/>
        </w:rPr>
      </w:pPr>
    </w:p>
    <w:p w14:paraId="37A65AFA">
      <w:pPr>
        <w:bidi w:val="0"/>
        <w:rPr>
          <w:rFonts w:hint="eastAsia"/>
          <w:u w:val="none" w:color="auto"/>
          <w:lang w:eastAsia="zh-CN"/>
        </w:rPr>
        <w:sectPr>
          <w:footerReference r:id="rId12" w:type="default"/>
          <w:pgSz w:w="16838" w:h="11906" w:orient="landscape"/>
          <w:pgMar w:top="1440" w:right="1440" w:bottom="1440"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r>
        <w:rPr>
          <w:u w:val="none" w:color="auto"/>
        </w:rPr>
        <w:t>注：</w:t>
      </w:r>
      <w:r>
        <w:rPr>
          <w:u w:val="none" w:color="auto"/>
        </w:rPr>
        <w:fldChar w:fldCharType="begin"/>
      </w:r>
      <w:r>
        <w:rPr>
          <w:u w:val="none" w:color="auto"/>
        </w:rPr>
        <w:instrText xml:space="preserve"> = 6 \* GB3 \* MERGEFORMAT </w:instrText>
      </w:r>
      <w:r>
        <w:rPr>
          <w:u w:val="none" w:color="auto"/>
        </w:rPr>
        <w:fldChar w:fldCharType="separate"/>
      </w:r>
      <w:r>
        <w:rPr>
          <w:u w:val="none" w:color="auto"/>
        </w:rPr>
        <w:t>⑥</w:t>
      </w:r>
      <w:r>
        <w:rPr>
          <w:u w:val="none" w:color="auto"/>
        </w:rPr>
        <w:fldChar w:fldCharType="end"/>
      </w:r>
      <w:r>
        <w:rPr>
          <w:u w:val="none" w:color="auto"/>
        </w:rPr>
        <w:t>=</w:t>
      </w:r>
      <w:r>
        <w:rPr>
          <w:u w:val="none" w:color="auto"/>
        </w:rPr>
        <w:fldChar w:fldCharType="begin"/>
      </w:r>
      <w:r>
        <w:rPr>
          <w:u w:val="none" w:color="auto"/>
        </w:rPr>
        <w:instrText xml:space="preserve"> = 1 \* GB3 \* MERGEFORMAT </w:instrText>
      </w:r>
      <w:r>
        <w:rPr>
          <w:u w:val="none" w:color="auto"/>
        </w:rPr>
        <w:fldChar w:fldCharType="separate"/>
      </w:r>
      <w:r>
        <w:rPr>
          <w:u w:val="none" w:color="auto"/>
        </w:rPr>
        <w:t>①</w:t>
      </w:r>
      <w:r>
        <w:rPr>
          <w:u w:val="none" w:color="auto"/>
        </w:rPr>
        <w:fldChar w:fldCharType="end"/>
      </w:r>
      <w:r>
        <w:rPr>
          <w:u w:val="none" w:color="auto"/>
        </w:rPr>
        <w:t>+</w:t>
      </w:r>
      <w:r>
        <w:rPr>
          <w:u w:val="none" w:color="auto"/>
        </w:rPr>
        <w:fldChar w:fldCharType="begin"/>
      </w:r>
      <w:r>
        <w:rPr>
          <w:u w:val="none" w:color="auto"/>
        </w:rPr>
        <w:instrText xml:space="preserve"> = 3 \* GB3 \* MERGEFORMAT </w:instrText>
      </w:r>
      <w:r>
        <w:rPr>
          <w:u w:val="none" w:color="auto"/>
        </w:rPr>
        <w:fldChar w:fldCharType="separate"/>
      </w:r>
      <w:r>
        <w:rPr>
          <w:u w:val="none" w:color="auto"/>
        </w:rPr>
        <w:t>③</w:t>
      </w:r>
      <w:r>
        <w:rPr>
          <w:u w:val="none" w:color="auto"/>
        </w:rPr>
        <w:fldChar w:fldCharType="end"/>
      </w:r>
      <w:r>
        <w:rPr>
          <w:u w:val="none" w:color="auto"/>
        </w:rPr>
        <w:t>+</w:t>
      </w:r>
      <w:r>
        <w:rPr>
          <w:u w:val="none" w:color="auto"/>
        </w:rPr>
        <w:fldChar w:fldCharType="begin"/>
      </w:r>
      <w:r>
        <w:rPr>
          <w:u w:val="none" w:color="auto"/>
        </w:rPr>
        <w:instrText xml:space="preserve"> = 4 \* GB3 \* MERGEFORMAT </w:instrText>
      </w:r>
      <w:r>
        <w:rPr>
          <w:u w:val="none" w:color="auto"/>
        </w:rPr>
        <w:fldChar w:fldCharType="separate"/>
      </w:r>
      <w:r>
        <w:rPr>
          <w:u w:val="none" w:color="auto"/>
        </w:rPr>
        <w:t>④</w:t>
      </w:r>
      <w:r>
        <w:rPr>
          <w:u w:val="none" w:color="auto"/>
        </w:rPr>
        <w:fldChar w:fldCharType="end"/>
      </w:r>
      <w:r>
        <w:rPr>
          <w:u w:val="none" w:color="auto"/>
        </w:rPr>
        <w:t>-</w:t>
      </w:r>
      <w:r>
        <w:rPr>
          <w:u w:val="none" w:color="auto"/>
        </w:rPr>
        <w:fldChar w:fldCharType="begin"/>
      </w:r>
      <w:r>
        <w:rPr>
          <w:u w:val="none" w:color="auto"/>
        </w:rPr>
        <w:instrText xml:space="preserve"> = 5 \* GB3 \* MERGEFORMAT </w:instrText>
      </w:r>
      <w:r>
        <w:rPr>
          <w:u w:val="none" w:color="auto"/>
        </w:rPr>
        <w:fldChar w:fldCharType="separate"/>
      </w:r>
      <w:r>
        <w:rPr>
          <w:u w:val="none" w:color="auto"/>
        </w:rPr>
        <w:t>⑤</w:t>
      </w:r>
      <w:r>
        <w:rPr>
          <w:u w:val="none" w:color="auto"/>
        </w:rPr>
        <w:fldChar w:fldCharType="end"/>
      </w:r>
      <w:r>
        <w:rPr>
          <w:u w:val="none" w:color="auto"/>
        </w:rPr>
        <w:t>；</w:t>
      </w:r>
      <w:r>
        <w:rPr>
          <w:u w:val="none" w:color="auto"/>
        </w:rPr>
        <w:fldChar w:fldCharType="begin"/>
      </w:r>
      <w:r>
        <w:rPr>
          <w:u w:val="none" w:color="auto"/>
        </w:rPr>
        <w:instrText xml:space="preserve"> = 7 \* GB3 \* MERGEFORMAT </w:instrText>
      </w:r>
      <w:r>
        <w:rPr>
          <w:u w:val="none" w:color="auto"/>
        </w:rPr>
        <w:fldChar w:fldCharType="separate"/>
      </w:r>
      <w:r>
        <w:rPr>
          <w:u w:val="none" w:color="auto"/>
        </w:rPr>
        <w:t>⑦</w:t>
      </w:r>
      <w:r>
        <w:rPr>
          <w:u w:val="none" w:color="auto"/>
        </w:rPr>
        <w:fldChar w:fldCharType="end"/>
      </w:r>
      <w:r>
        <w:rPr>
          <w:u w:val="none" w:color="auto"/>
        </w:rPr>
        <w:t>=</w:t>
      </w:r>
      <w:r>
        <w:rPr>
          <w:u w:val="none" w:color="auto"/>
        </w:rPr>
        <w:fldChar w:fldCharType="begin"/>
      </w:r>
      <w:r>
        <w:rPr>
          <w:u w:val="none" w:color="auto"/>
        </w:rPr>
        <w:instrText xml:space="preserve"> = 6 \* GB3 \* MERGEFORMAT </w:instrText>
      </w:r>
      <w:r>
        <w:rPr>
          <w:u w:val="none" w:color="auto"/>
        </w:rPr>
        <w:fldChar w:fldCharType="separate"/>
      </w:r>
      <w:r>
        <w:rPr>
          <w:u w:val="none" w:color="auto"/>
        </w:rPr>
        <w:t>⑥</w:t>
      </w:r>
      <w:r>
        <w:rPr>
          <w:u w:val="none" w:color="auto"/>
        </w:rPr>
        <w:fldChar w:fldCharType="end"/>
      </w:r>
      <w:r>
        <w:rPr>
          <w:u w:val="none" w:color="auto"/>
        </w:rPr>
        <w:t>-</w:t>
      </w:r>
      <w:r>
        <w:rPr>
          <w:u w:val="none" w:color="auto"/>
        </w:rPr>
        <w:fldChar w:fldCharType="begin"/>
      </w:r>
      <w:r>
        <w:rPr>
          <w:u w:val="none" w:color="auto"/>
        </w:rPr>
        <w:instrText xml:space="preserve"> = 1 \* GB3 \* MERGEFORMAT </w:instrText>
      </w:r>
      <w:r>
        <w:rPr>
          <w:u w:val="none" w:color="auto"/>
        </w:rPr>
        <w:fldChar w:fldCharType="separate"/>
      </w:r>
      <w:r>
        <w:rPr>
          <w:u w:val="none" w:color="auto"/>
        </w:rPr>
        <w:t>①</w:t>
      </w:r>
      <w:r>
        <w:rPr>
          <w:u w:val="none" w:color="auto"/>
        </w:rPr>
        <w:fldChar w:fldCharType="end"/>
      </w:r>
      <w:bookmarkEnd w:id="54"/>
      <w:bookmarkEnd w:id="55"/>
      <w:bookmarkEnd w:id="56"/>
      <w:bookmarkEnd w:id="57"/>
    </w:p>
    <w:p w14:paraId="42A1F230">
      <w:pPr>
        <w:rPr>
          <w:u w:val="none" w:color="auto"/>
        </w:rPr>
      </w:pPr>
    </w:p>
    <w:p w14:paraId="0DFCC318">
      <w:pPr>
        <w:bidi w:val="0"/>
        <w:rPr>
          <w:rFonts w:hint="eastAsia"/>
          <w:u w:val="none" w:color="auto"/>
          <w:lang w:eastAsia="zh-CN"/>
        </w:rPr>
      </w:pPr>
    </w:p>
    <w:p w14:paraId="660EF588">
      <w:pPr>
        <w:bidi w:val="0"/>
        <w:rPr>
          <w:rFonts w:hint="eastAsia"/>
          <w:u w:val="none" w:color="auto"/>
          <w:lang w:eastAsia="zh-CN"/>
        </w:rPr>
      </w:pPr>
    </w:p>
    <w:p w14:paraId="73ECDA0E">
      <w:pPr>
        <w:bidi w:val="0"/>
        <w:rPr>
          <w:rFonts w:hint="eastAsia"/>
          <w:u w:val="none" w:color="auto"/>
          <w:lang w:eastAsia="zh-CN"/>
        </w:rPr>
      </w:pPr>
    </w:p>
    <w:p w14:paraId="7BFDEF6B">
      <w:pPr>
        <w:bidi w:val="0"/>
        <w:rPr>
          <w:rFonts w:hint="eastAsia"/>
          <w:u w:val="none" w:color="auto"/>
          <w:lang w:eastAsia="zh-CN"/>
        </w:rPr>
      </w:pPr>
    </w:p>
    <w:p w14:paraId="1CFF75FC">
      <w:pPr>
        <w:bidi w:val="0"/>
        <w:rPr>
          <w:rFonts w:hint="eastAsia"/>
          <w:u w:val="none" w:color="auto"/>
          <w:lang w:eastAsia="zh-CN"/>
        </w:rPr>
      </w:pPr>
    </w:p>
    <w:p w14:paraId="0E6C2F75">
      <w:pPr>
        <w:bidi w:val="0"/>
        <w:rPr>
          <w:rFonts w:hint="eastAsia"/>
          <w:u w:val="none" w:color="auto"/>
          <w:lang w:eastAsia="zh-CN"/>
        </w:rPr>
      </w:pPr>
    </w:p>
    <w:p w14:paraId="2BD453E0">
      <w:pPr>
        <w:bidi w:val="0"/>
        <w:rPr>
          <w:rFonts w:hint="eastAsia"/>
          <w:u w:val="none" w:color="auto"/>
          <w:lang w:eastAsia="zh-CN"/>
        </w:rPr>
      </w:pPr>
    </w:p>
    <w:p w14:paraId="14794F88">
      <w:pPr>
        <w:bidi w:val="0"/>
        <w:rPr>
          <w:rFonts w:hint="eastAsia"/>
          <w:u w:val="none" w:color="auto"/>
          <w:lang w:eastAsia="zh-CN"/>
        </w:rPr>
      </w:pPr>
    </w:p>
    <w:p w14:paraId="4286C21C">
      <w:pPr>
        <w:bidi w:val="0"/>
        <w:rPr>
          <w:rFonts w:hint="eastAsia"/>
          <w:u w:val="none" w:color="auto"/>
          <w:lang w:eastAsia="zh-CN"/>
        </w:rPr>
      </w:pPr>
    </w:p>
    <w:p w14:paraId="5CF84BDA">
      <w:pPr>
        <w:bidi w:val="0"/>
        <w:rPr>
          <w:rFonts w:hint="eastAsia"/>
          <w:u w:val="none" w:color="auto"/>
          <w:lang w:eastAsia="zh-CN"/>
        </w:rPr>
      </w:pPr>
    </w:p>
    <w:p w14:paraId="476144BC">
      <w:pPr>
        <w:bidi w:val="0"/>
        <w:rPr>
          <w:rFonts w:hint="eastAsia"/>
          <w:u w:val="none" w:color="auto"/>
          <w:lang w:eastAsia="zh-CN"/>
        </w:rPr>
      </w:pPr>
    </w:p>
    <w:p w14:paraId="4DF0E044">
      <w:pPr>
        <w:bidi w:val="0"/>
        <w:rPr>
          <w:rFonts w:hint="eastAsia"/>
          <w:u w:val="none" w:color="auto"/>
          <w:lang w:eastAsia="zh-CN"/>
        </w:rPr>
      </w:pPr>
    </w:p>
    <w:p w14:paraId="48929676">
      <w:pPr>
        <w:bidi w:val="0"/>
        <w:rPr>
          <w:rFonts w:hint="eastAsia"/>
          <w:u w:val="none" w:color="auto"/>
          <w:lang w:eastAsia="zh-CN"/>
        </w:rPr>
      </w:pPr>
    </w:p>
    <w:p w14:paraId="1C8465E5">
      <w:pPr>
        <w:bidi w:val="0"/>
        <w:rPr>
          <w:rFonts w:hint="eastAsia"/>
          <w:u w:val="none" w:color="auto"/>
          <w:lang w:eastAsia="zh-CN"/>
        </w:rPr>
      </w:pPr>
    </w:p>
    <w:p w14:paraId="49373496">
      <w:pPr>
        <w:bidi w:val="0"/>
        <w:rPr>
          <w:rFonts w:hint="eastAsia"/>
          <w:u w:val="none" w:color="auto"/>
          <w:lang w:eastAsia="zh-CN"/>
        </w:rPr>
      </w:pPr>
    </w:p>
    <w:p w14:paraId="2ED00254">
      <w:pPr>
        <w:bidi w:val="0"/>
        <w:rPr>
          <w:rFonts w:hint="eastAsia"/>
          <w:u w:val="none" w:color="auto"/>
          <w:lang w:eastAsia="zh-CN"/>
        </w:rPr>
      </w:pPr>
    </w:p>
    <w:p w14:paraId="32878E80">
      <w:pPr>
        <w:bidi w:val="0"/>
        <w:rPr>
          <w:rFonts w:hint="eastAsia"/>
          <w:u w:val="none" w:color="auto"/>
          <w:lang w:eastAsia="zh-CN"/>
        </w:rPr>
      </w:pPr>
    </w:p>
    <w:p w14:paraId="36E975A9">
      <w:pPr>
        <w:bidi w:val="0"/>
        <w:jc w:val="center"/>
        <w:rPr>
          <w:rFonts w:hint="eastAsia" w:ascii="黑体" w:hAnsi="黑体" w:eastAsia="黑体" w:cs="黑体"/>
          <w:sz w:val="52"/>
          <w:szCs w:val="52"/>
          <w:u w:val="none" w:color="auto"/>
          <w:lang w:eastAsia="zh-CN"/>
        </w:rPr>
      </w:pPr>
      <w:r>
        <w:rPr>
          <w:rFonts w:hint="eastAsia" w:ascii="黑体" w:hAnsi="黑体" w:eastAsia="黑体" w:cs="黑体"/>
          <w:sz w:val="52"/>
          <w:szCs w:val="52"/>
          <w:u w:val="none" w:color="auto"/>
          <w:lang w:eastAsia="zh-CN"/>
        </w:rPr>
        <w:t>弘力新能源（新乡）有限公司</w:t>
      </w:r>
    </w:p>
    <w:p w14:paraId="5E7A640A">
      <w:pPr>
        <w:bidi w:val="0"/>
        <w:jc w:val="center"/>
        <w:rPr>
          <w:rFonts w:hint="eastAsia" w:ascii="黑体" w:hAnsi="黑体" w:eastAsia="黑体" w:cs="黑体"/>
          <w:sz w:val="52"/>
          <w:szCs w:val="52"/>
          <w:u w:val="none" w:color="auto"/>
          <w:lang w:eastAsia="zh-CN"/>
        </w:rPr>
      </w:pPr>
    </w:p>
    <w:p w14:paraId="2EAE42D7">
      <w:pPr>
        <w:bidi w:val="0"/>
        <w:jc w:val="center"/>
        <w:rPr>
          <w:rFonts w:hint="eastAsia" w:ascii="黑体" w:hAnsi="黑体" w:eastAsia="黑体" w:cs="黑体"/>
          <w:b/>
          <w:bCs/>
          <w:color w:val="auto"/>
          <w:spacing w:val="0"/>
          <w:w w:val="100"/>
          <w:kern w:val="21"/>
          <w:position w:val="0"/>
          <w:szCs w:val="52"/>
          <w:u w:val="none" w:color="auto"/>
          <w:lang w:eastAsia="zh-CN"/>
        </w:rPr>
      </w:pPr>
      <w:r>
        <w:rPr>
          <w:rFonts w:hint="eastAsia" w:ascii="黑体" w:hAnsi="黑体" w:eastAsia="黑体" w:cs="黑体"/>
          <w:sz w:val="52"/>
          <w:szCs w:val="52"/>
          <w:u w:val="none" w:color="auto"/>
          <w:lang w:eastAsia="zh-CN"/>
        </w:rPr>
        <w:t>年产6亿支锂离子电池技改项目</w:t>
      </w:r>
    </w:p>
    <w:p w14:paraId="2943747E">
      <w:pPr>
        <w:bidi w:val="0"/>
        <w:rPr>
          <w:rFonts w:hint="default"/>
          <w:u w:val="none" w:color="auto"/>
          <w:lang w:eastAsia="zh-CN"/>
        </w:rPr>
      </w:pPr>
    </w:p>
    <w:p w14:paraId="1477B5F8">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outlineLvl w:val="0"/>
        <w:rPr>
          <w:rFonts w:hint="eastAsia" w:ascii="隶书" w:hAnsi="隶书" w:eastAsia="隶书" w:cs="隶书"/>
          <w:b/>
          <w:bCs/>
          <w:color w:val="auto"/>
          <w:spacing w:val="0"/>
          <w:w w:val="100"/>
          <w:kern w:val="21"/>
          <w:position w:val="0"/>
          <w:sz w:val="56"/>
          <w:szCs w:val="56"/>
          <w:u w:val="none" w:color="auto"/>
          <w:lang w:eastAsia="zh-CN"/>
        </w:rPr>
        <w:sectPr>
          <w:headerReference r:id="rId13" w:type="default"/>
          <w:footerReference r:id="rId14" w:type="default"/>
          <w:pgSz w:w="11906" w:h="16838"/>
          <w:pgMar w:top="1800" w:right="1440" w:bottom="1800" w:left="1440"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ascii="隶书" w:hAnsi="隶书" w:eastAsia="隶书" w:cs="隶书"/>
          <w:b/>
          <w:bCs/>
          <w:color w:val="auto"/>
          <w:spacing w:val="0"/>
          <w:w w:val="100"/>
          <w:kern w:val="21"/>
          <w:position w:val="0"/>
          <w:sz w:val="56"/>
          <w:szCs w:val="56"/>
          <w:u w:val="none" w:color="auto"/>
          <w:lang w:eastAsia="zh-CN"/>
        </w:rPr>
        <w:t>环境风险专项评价</w:t>
      </w:r>
    </w:p>
    <w:p w14:paraId="49665C33">
      <w:pPr>
        <w:keepNext w:val="0"/>
        <w:keepLines w:val="0"/>
        <w:pageBreakBefore w:val="0"/>
        <w:numPr>
          <w:ilvl w:val="0"/>
          <w:numId w:val="4"/>
        </w:numPr>
        <w:kinsoku/>
        <w:wordWrap/>
        <w:overflowPunct/>
        <w:topLinePunct w:val="0"/>
        <w:autoSpaceDE/>
        <w:autoSpaceDN/>
        <w:bidi w:val="0"/>
        <w:adjustRightInd/>
        <w:snapToGrid/>
        <w:spacing w:line="440" w:lineRule="exact"/>
        <w:textAlignment w:val="auto"/>
        <w:outlineLvl w:val="0"/>
        <w:rPr>
          <w:rFonts w:hint="default" w:ascii="Times New Roman" w:hAnsi="Times New Roman" w:eastAsia="宋体" w:cs="Times New Roman"/>
          <w:b/>
          <w:color w:val="auto"/>
          <w:spacing w:val="0"/>
          <w:w w:val="100"/>
          <w:kern w:val="21"/>
          <w:position w:val="0"/>
          <w:sz w:val="30"/>
          <w:szCs w:val="30"/>
          <w:u w:val="none" w:color="auto"/>
          <w:lang w:val="en-US" w:eastAsia="zh-CN"/>
        </w:rPr>
      </w:pPr>
      <w:r>
        <w:rPr>
          <w:rFonts w:hint="default" w:ascii="Times New Roman" w:hAnsi="Times New Roman" w:eastAsia="宋体" w:cs="Times New Roman"/>
          <w:b/>
          <w:color w:val="auto"/>
          <w:spacing w:val="0"/>
          <w:w w:val="100"/>
          <w:kern w:val="21"/>
          <w:position w:val="0"/>
          <w:sz w:val="30"/>
          <w:szCs w:val="30"/>
          <w:u w:val="none" w:color="auto"/>
          <w:lang w:val="en-US" w:eastAsia="zh-CN"/>
        </w:rPr>
        <w:t>评价原则及工作程序</w:t>
      </w:r>
    </w:p>
    <w:p w14:paraId="296A2FB2">
      <w:pPr>
        <w:keepNext w:val="0"/>
        <w:keepLines w:val="0"/>
        <w:pageBreakBefore w:val="0"/>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eastAsia="宋体" w:cs="Times New Roman"/>
          <w:b/>
          <w:bCs/>
          <w:color w:val="auto"/>
          <w:spacing w:val="0"/>
          <w:w w:val="100"/>
          <w:kern w:val="21"/>
          <w:position w:val="0"/>
          <w:sz w:val="28"/>
          <w:szCs w:val="28"/>
          <w:u w:val="none" w:color="auto"/>
          <w:lang w:val="en-US" w:eastAsia="zh-CN"/>
        </w:rPr>
      </w:pPr>
      <w:r>
        <w:rPr>
          <w:rFonts w:hint="default" w:ascii="Times New Roman" w:hAnsi="Times New Roman" w:eastAsia="宋体" w:cs="Times New Roman"/>
          <w:b/>
          <w:bCs/>
          <w:color w:val="auto"/>
          <w:spacing w:val="0"/>
          <w:w w:val="100"/>
          <w:kern w:val="21"/>
          <w:position w:val="0"/>
          <w:sz w:val="28"/>
          <w:szCs w:val="28"/>
          <w:u w:val="none" w:color="auto"/>
          <w:lang w:val="en-US" w:eastAsia="zh-CN"/>
        </w:rPr>
        <w:t>1.1评价原则</w:t>
      </w:r>
    </w:p>
    <w:p w14:paraId="311DA34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color w:val="auto"/>
          <w:spacing w:val="0"/>
          <w:w w:val="100"/>
          <w:kern w:val="21"/>
          <w:position w:val="0"/>
          <w:sz w:val="24"/>
          <w:u w:val="none" w:color="auto"/>
        </w:rPr>
        <w:t>根据《建设项目环境风险评价技术导则》（HJ169-2018），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6DAF3735">
      <w:pPr>
        <w:keepNext w:val="0"/>
        <w:keepLines w:val="0"/>
        <w:pageBreakBefore w:val="0"/>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eastAsia="宋体" w:cs="Times New Roman"/>
          <w:b/>
          <w:bCs/>
          <w:color w:val="auto"/>
          <w:spacing w:val="0"/>
          <w:w w:val="100"/>
          <w:kern w:val="21"/>
          <w:position w:val="0"/>
          <w:sz w:val="28"/>
          <w:szCs w:val="28"/>
          <w:u w:val="none" w:color="auto"/>
          <w:lang w:val="en-US" w:eastAsia="zh-CN"/>
        </w:rPr>
      </w:pPr>
      <w:r>
        <w:rPr>
          <w:rFonts w:hint="default" w:ascii="Times New Roman" w:hAnsi="Times New Roman" w:eastAsia="宋体" w:cs="Times New Roman"/>
          <w:b/>
          <w:bCs/>
          <w:color w:val="auto"/>
          <w:spacing w:val="0"/>
          <w:w w:val="100"/>
          <w:kern w:val="21"/>
          <w:position w:val="0"/>
          <w:sz w:val="28"/>
          <w:szCs w:val="28"/>
          <w:u w:val="none" w:color="auto"/>
          <w:lang w:val="en-US" w:eastAsia="zh-CN"/>
        </w:rPr>
        <w:t>1.2评价工作程序</w:t>
      </w:r>
    </w:p>
    <w:p w14:paraId="67F0F7B9">
      <w:pPr>
        <w:bidi w:val="0"/>
        <w:spacing w:line="460" w:lineRule="exact"/>
        <w:ind w:left="0" w:leftChars="0" w:firstLine="0" w:firstLineChars="0"/>
        <w:jc w:val="center"/>
        <w:rPr>
          <w:rFonts w:hint="default" w:ascii="Times New Roman" w:hAnsi="Times New Roman" w:eastAsia="宋体" w:cs="Times New Roman"/>
          <w:b/>
          <w:bCs/>
          <w:color w:val="auto"/>
          <w:spacing w:val="0"/>
          <w:w w:val="100"/>
          <w:kern w:val="21"/>
          <w:position w:val="0"/>
          <w:sz w:val="28"/>
          <w:szCs w:val="28"/>
          <w:u w:val="none" w:color="auto"/>
          <w:lang w:val="en-US" w:eastAsia="zh-CN"/>
        </w:rPr>
      </w:pPr>
      <w:r>
        <w:rPr>
          <w:rFonts w:hint="default" w:ascii="Times New Roman" w:hAnsi="Times New Roman" w:eastAsia="黑体" w:cs="Times New Roman"/>
          <w:b w:val="0"/>
          <w:bCs w:val="0"/>
          <w:color w:val="auto"/>
          <w:spacing w:val="0"/>
          <w:w w:val="100"/>
          <w:kern w:val="21"/>
          <w:position w:val="0"/>
          <w:sz w:val="24"/>
          <w:szCs w:val="24"/>
          <w:u w:val="none" w:color="auto"/>
          <w:lang w:val="en-US" w:eastAsia="zh-CN"/>
        </w:rPr>
        <w:t>图1    环境风险评价工作程序一览表</w:t>
      </w:r>
      <w:r>
        <w:rPr>
          <w:rFonts w:hint="default" w:ascii="Times New Roman" w:hAnsi="Times New Roman" w:eastAsia="宋体" w:cs="Times New Roman"/>
          <w:color w:val="000000"/>
          <w:spacing w:val="0"/>
          <w:w w:val="100"/>
          <w:kern w:val="21"/>
          <w:position w:val="0"/>
          <w:sz w:val="24"/>
          <w:u w:val="none" w:color="auto"/>
        </w:rPr>
        <w:drawing>
          <wp:anchor distT="0" distB="0" distL="114300" distR="114300" simplePos="0" relativeHeight="251664384" behindDoc="0" locked="0" layoutInCell="1" allowOverlap="1">
            <wp:simplePos x="0" y="0"/>
            <wp:positionH relativeFrom="column">
              <wp:posOffset>-76200</wp:posOffset>
            </wp:positionH>
            <wp:positionV relativeFrom="paragraph">
              <wp:posOffset>132715</wp:posOffset>
            </wp:positionV>
            <wp:extent cx="5615305" cy="5868035"/>
            <wp:effectExtent l="0" t="0" r="4445" b="18415"/>
            <wp:wrapTopAndBottom/>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36"/>
                    <a:stretch>
                      <a:fillRect/>
                    </a:stretch>
                  </pic:blipFill>
                  <pic:spPr>
                    <a:xfrm>
                      <a:off x="0" y="0"/>
                      <a:ext cx="5615305" cy="5868035"/>
                    </a:xfrm>
                    <a:prstGeom prst="rect">
                      <a:avLst/>
                    </a:prstGeom>
                    <a:noFill/>
                    <a:ln>
                      <a:noFill/>
                    </a:ln>
                  </pic:spPr>
                </pic:pic>
              </a:graphicData>
            </a:graphic>
          </wp:anchor>
        </w:drawing>
      </w:r>
    </w:p>
    <w:p w14:paraId="78AC2703">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both"/>
        <w:textAlignment w:val="auto"/>
        <w:outlineLvl w:val="0"/>
        <w:rPr>
          <w:rFonts w:hint="eastAsia" w:ascii="隶书" w:hAnsi="隶书" w:eastAsia="隶书" w:cs="隶书"/>
          <w:b/>
          <w:bCs/>
          <w:color w:val="auto"/>
          <w:spacing w:val="0"/>
          <w:w w:val="100"/>
          <w:kern w:val="21"/>
          <w:position w:val="0"/>
          <w:sz w:val="56"/>
          <w:szCs w:val="56"/>
          <w:u w:val="none" w:color="auto"/>
          <w:lang w:eastAsia="zh-CN"/>
        </w:rPr>
        <w:sectPr>
          <w:footerReference r:id="rId15" w:type="default"/>
          <w:pgSz w:w="11906" w:h="16838"/>
          <w:pgMar w:top="1800" w:right="1440" w:bottom="1800" w:left="1440" w:header="851" w:footer="851" w:gutter="0"/>
          <w:pgBorders>
            <w:top w:val="none" w:sz="0" w:space="0"/>
            <w:left w:val="none" w:sz="0" w:space="0"/>
            <w:bottom w:val="none" w:sz="0" w:space="0"/>
            <w:right w:val="none" w:sz="0" w:space="0"/>
          </w:pgBorders>
          <w:pgNumType w:fmt="decimal" w:start="1"/>
          <w:cols w:space="720" w:num="1"/>
          <w:docGrid w:linePitch="312" w:charSpace="0"/>
        </w:sectPr>
      </w:pPr>
    </w:p>
    <w:p w14:paraId="5B2E4FD6">
      <w:pPr>
        <w:keepNext w:val="0"/>
        <w:keepLines w:val="0"/>
        <w:pageBreakBefore w:val="0"/>
        <w:numPr>
          <w:ilvl w:val="0"/>
          <w:numId w:val="4"/>
        </w:numPr>
        <w:kinsoku/>
        <w:wordWrap/>
        <w:overflowPunct/>
        <w:topLinePunct w:val="0"/>
        <w:autoSpaceDE/>
        <w:autoSpaceDN/>
        <w:bidi w:val="0"/>
        <w:adjustRightInd/>
        <w:snapToGrid/>
        <w:spacing w:line="440" w:lineRule="exact"/>
        <w:textAlignment w:val="auto"/>
        <w:outlineLvl w:val="0"/>
        <w:rPr>
          <w:rFonts w:hint="default" w:ascii="Times New Roman" w:hAnsi="Times New Roman" w:eastAsia="宋体" w:cs="Times New Roman"/>
          <w:b/>
          <w:color w:val="auto"/>
          <w:spacing w:val="0"/>
          <w:w w:val="100"/>
          <w:kern w:val="21"/>
          <w:position w:val="0"/>
          <w:sz w:val="30"/>
          <w:szCs w:val="30"/>
          <w:u w:val="none" w:color="auto"/>
          <w:lang w:val="en-US" w:eastAsia="zh-CN"/>
        </w:rPr>
      </w:pPr>
      <w:r>
        <w:rPr>
          <w:rFonts w:hint="eastAsia" w:ascii="Times New Roman" w:hAnsi="Times New Roman" w:eastAsia="宋体" w:cs="Times New Roman"/>
          <w:b/>
          <w:color w:val="auto"/>
          <w:spacing w:val="0"/>
          <w:w w:val="100"/>
          <w:kern w:val="21"/>
          <w:position w:val="0"/>
          <w:sz w:val="30"/>
          <w:szCs w:val="30"/>
          <w:u w:val="none" w:color="auto"/>
          <w:lang w:val="en-US" w:eastAsia="zh-CN"/>
        </w:rPr>
        <w:t>风险调查</w:t>
      </w:r>
    </w:p>
    <w:p w14:paraId="0E8A2215">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ascii="Times New Roman" w:hAnsi="Times New Roman" w:eastAsia="宋体" w:cs="Times New Roman"/>
          <w:b/>
          <w:snapToGrid w:val="0"/>
          <w:color w:val="000000"/>
          <w:kern w:val="21"/>
          <w:sz w:val="28"/>
          <w:szCs w:val="28"/>
          <w:u w:val="none" w:color="auto"/>
        </w:rPr>
      </w:pPr>
      <w:r>
        <w:rPr>
          <w:rFonts w:hint="eastAsia" w:ascii="Times New Roman" w:hAnsi="Times New Roman" w:eastAsia="宋体" w:cs="Times New Roman"/>
          <w:b/>
          <w:snapToGrid w:val="0"/>
          <w:color w:val="000000"/>
          <w:kern w:val="21"/>
          <w:sz w:val="28"/>
          <w:szCs w:val="28"/>
          <w:u w:val="none" w:color="auto"/>
          <w:lang w:val="en-US" w:eastAsia="zh-CN"/>
        </w:rPr>
        <w:t>2</w:t>
      </w:r>
      <w:r>
        <w:rPr>
          <w:rFonts w:hint="eastAsia" w:ascii="Times New Roman" w:hAnsi="Times New Roman" w:eastAsia="宋体" w:cs="Times New Roman"/>
          <w:b/>
          <w:snapToGrid w:val="0"/>
          <w:color w:val="000000"/>
          <w:kern w:val="21"/>
          <w:sz w:val="28"/>
          <w:szCs w:val="28"/>
          <w:u w:val="none" w:color="auto"/>
        </w:rPr>
        <w:t>.1建设项目风险源调查</w:t>
      </w:r>
    </w:p>
    <w:p w14:paraId="670450FC">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480" w:firstLineChars="200"/>
        <w:textAlignment w:val="auto"/>
        <w:rPr>
          <w:rFonts w:hint="eastAsia" w:ascii="Times New Roman" w:hAnsi="Times New Roman" w:eastAsia="宋体" w:cs="Times New Roman"/>
          <w:color w:val="000000"/>
          <w:sz w:val="24"/>
          <w:szCs w:val="24"/>
          <w:u w:val="none" w:color="auto"/>
          <w:lang w:val="en-US" w:eastAsia="zh-CN"/>
        </w:rPr>
      </w:pPr>
      <w:r>
        <w:rPr>
          <w:rFonts w:hint="eastAsia" w:ascii="Times New Roman" w:hAnsi="Times New Roman" w:eastAsia="宋体" w:cs="Times New Roman"/>
          <w:color w:val="000000"/>
          <w:sz w:val="24"/>
          <w:szCs w:val="24"/>
          <w:u w:val="none" w:color="auto"/>
          <w:lang w:val="en-US" w:eastAsia="zh-CN"/>
        </w:rPr>
        <w:t>危险物质分布情况</w:t>
      </w:r>
    </w:p>
    <w:p w14:paraId="31A635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textAlignment w:val="auto"/>
        <w:rPr>
          <w:rFonts w:hint="default" w:cs="Times New Roman"/>
          <w:color w:val="000000"/>
          <w:sz w:val="24"/>
          <w:szCs w:val="24"/>
          <w:u w:val="none" w:color="auto"/>
          <w:lang w:val="en-US" w:eastAsia="zh-CN"/>
        </w:rPr>
      </w:pPr>
      <w:r>
        <w:rPr>
          <w:rFonts w:hint="eastAsia" w:cs="Times New Roman"/>
          <w:color w:val="000000"/>
          <w:sz w:val="24"/>
          <w:szCs w:val="24"/>
          <w:u w:val="none" w:color="auto"/>
          <w:lang w:val="en-US" w:eastAsia="zh-CN"/>
        </w:rPr>
        <w:t>本项目涉及的主要化学品有锰酸锂、镍钴锰酸锂、PVDF（聚偏二氟乙烯）、NMP（N-甲</w:t>
      </w:r>
      <w:r>
        <w:rPr>
          <w:rFonts w:hint="eastAsia" w:ascii="Times New Roman" w:hAnsi="Times New Roman" w:eastAsia="宋体" w:cs="Times New Roman"/>
          <w:color w:val="000000"/>
          <w:sz w:val="24"/>
          <w:szCs w:val="24"/>
          <w:u w:val="none" w:color="auto"/>
          <w:lang w:val="en-US" w:eastAsia="zh-CN"/>
        </w:rPr>
        <w:t>基吡咯烷酮）、CMC（羧甲基纤维素钠）等。根据《建设项目环境风险评价技术导则》（HJ169-2018）中的附录B、《企业突发环境事件分级方法》（HJ941-2018）附录A“突发环境事件风险物质及临界量清单”和《危险化学品重大危险源辨识》（GB18218-2018），结合本项目各种化学品的理化性质及毒理毒性，对项目所涉及化学品进行物质危险性判定，识别出项目</w:t>
      </w:r>
      <w:r>
        <w:rPr>
          <w:rFonts w:hint="eastAsia" w:cs="Times New Roman"/>
          <w:color w:val="000000"/>
          <w:sz w:val="24"/>
          <w:szCs w:val="24"/>
          <w:u w:val="none" w:color="auto"/>
          <w:lang w:val="en-US" w:eastAsia="zh-CN"/>
        </w:rPr>
        <w:t>环</w:t>
      </w:r>
      <w:r>
        <w:rPr>
          <w:rFonts w:hint="eastAsia" w:ascii="Times New Roman" w:hAnsi="Times New Roman" w:eastAsia="宋体" w:cs="Times New Roman"/>
          <w:color w:val="000000"/>
          <w:sz w:val="24"/>
          <w:szCs w:val="24"/>
          <w:u w:val="none" w:color="auto"/>
          <w:lang w:val="en-US" w:eastAsia="zh-CN"/>
        </w:rPr>
        <w:t>境风险物质主要为NMP、NMP</w:t>
      </w:r>
      <w:r>
        <w:rPr>
          <w:rFonts w:hint="eastAsia" w:cs="Times New Roman"/>
          <w:color w:val="000000"/>
          <w:sz w:val="24"/>
          <w:szCs w:val="24"/>
          <w:u w:val="none" w:color="auto"/>
          <w:lang w:val="en-US" w:eastAsia="zh-CN"/>
        </w:rPr>
        <w:t>回收液、</w:t>
      </w:r>
      <w:r>
        <w:rPr>
          <w:rFonts w:hint="eastAsia" w:ascii="Times New Roman" w:hAnsi="Times New Roman" w:eastAsia="宋体" w:cs="Times New Roman"/>
          <w:color w:val="000000"/>
          <w:sz w:val="24"/>
          <w:szCs w:val="24"/>
          <w:u w:val="none" w:color="auto"/>
          <w:lang w:val="en-US" w:eastAsia="zh-CN"/>
        </w:rPr>
        <w:t>电解液</w:t>
      </w:r>
      <w:r>
        <w:rPr>
          <w:rFonts w:hint="eastAsia" w:cs="Times New Roman"/>
          <w:color w:val="000000"/>
          <w:sz w:val="24"/>
          <w:szCs w:val="24"/>
          <w:u w:val="none" w:color="auto"/>
          <w:lang w:val="en-US" w:eastAsia="zh-CN"/>
        </w:rPr>
        <w:t>、锰酸锂以及镍钴锰酸锂。其理化性质如下：</w:t>
      </w:r>
    </w:p>
    <w:p w14:paraId="0ECFBB8E">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锰酸锂</w:t>
      </w:r>
      <w:r>
        <w:rPr>
          <w:rFonts w:hint="default" w:ascii="Times New Roman" w:hAnsi="Times New Roman" w:eastAsia="黑体" w:cs="Times New Roman"/>
          <w:color w:val="auto"/>
          <w:spacing w:val="0"/>
          <w:w w:val="100"/>
          <w:kern w:val="21"/>
          <w:position w:val="0"/>
          <w:sz w:val="24"/>
          <w:szCs w:val="24"/>
          <w:u w:val="none" w:color="auto"/>
          <w:lang w:val="en-US" w:eastAsia="zh-CN"/>
        </w:rPr>
        <w:t>理化性质一览表</w:t>
      </w:r>
    </w:p>
    <w:tbl>
      <w:tblPr>
        <w:tblStyle w:val="32"/>
        <w:tblW w:w="4996"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801"/>
        <w:gridCol w:w="3913"/>
        <w:gridCol w:w="4521"/>
      </w:tblGrid>
      <w:tr w14:paraId="19F9308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vMerge w:val="restart"/>
            <w:tcBorders>
              <w:tl2br w:val="nil"/>
              <w:tr2bl w:val="nil"/>
            </w:tcBorders>
            <w:noWrap w:val="0"/>
            <w:vAlign w:val="center"/>
          </w:tcPr>
          <w:p w14:paraId="3B68A04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标识</w:t>
            </w:r>
          </w:p>
        </w:tc>
        <w:tc>
          <w:tcPr>
            <w:tcW w:w="2118" w:type="pct"/>
            <w:tcBorders>
              <w:tl2br w:val="nil"/>
              <w:tr2bl w:val="nil"/>
            </w:tcBorders>
            <w:noWrap w:val="0"/>
            <w:vAlign w:val="center"/>
          </w:tcPr>
          <w:p w14:paraId="57641BE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中文名：</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锰酸锂</w:t>
            </w:r>
          </w:p>
        </w:tc>
        <w:tc>
          <w:tcPr>
            <w:tcW w:w="2447" w:type="pct"/>
            <w:tcBorders>
              <w:tl2br w:val="nil"/>
              <w:tr2bl w:val="nil"/>
            </w:tcBorders>
            <w:noWrap w:val="0"/>
            <w:vAlign w:val="center"/>
          </w:tcPr>
          <w:p w14:paraId="71931EA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英文名：Lithium Manganate</w:t>
            </w:r>
          </w:p>
        </w:tc>
      </w:tr>
      <w:tr w14:paraId="0D88B9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vMerge w:val="continue"/>
            <w:tcBorders>
              <w:tl2br w:val="nil"/>
              <w:tr2bl w:val="nil"/>
            </w:tcBorders>
            <w:noWrap w:val="0"/>
            <w:vAlign w:val="center"/>
          </w:tcPr>
          <w:p w14:paraId="2BE6AD6B">
            <w:pPr>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p>
        </w:tc>
        <w:tc>
          <w:tcPr>
            <w:tcW w:w="2118" w:type="pct"/>
            <w:tcBorders>
              <w:tl2br w:val="nil"/>
              <w:tr2bl w:val="nil"/>
            </w:tcBorders>
            <w:noWrap w:val="0"/>
            <w:vAlign w:val="center"/>
          </w:tcPr>
          <w:p w14:paraId="64B7C50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分子式：LiMn</w:t>
            </w:r>
            <w:r>
              <w:rPr>
                <w:rFonts w:hint="default" w:ascii="Times New Roman" w:hAnsi="Times New Roman" w:eastAsia="宋体" w:cs="Times New Roman"/>
                <w:snapToGrid w:val="0"/>
                <w:color w:val="000000"/>
                <w:spacing w:val="0"/>
                <w:w w:val="100"/>
                <w:kern w:val="21"/>
                <w:position w:val="0"/>
                <w:sz w:val="21"/>
                <w:szCs w:val="21"/>
                <w:u w:val="none" w:color="auto"/>
                <w:vertAlign w:val="subscript"/>
                <w:lang w:val="en-US" w:eastAsia="zh-CN" w:bidi="ar-SA"/>
              </w:rPr>
              <w:t>2</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O</w:t>
            </w:r>
            <w:r>
              <w:rPr>
                <w:rFonts w:hint="default" w:ascii="Times New Roman" w:hAnsi="Times New Roman" w:eastAsia="宋体" w:cs="Times New Roman"/>
                <w:snapToGrid w:val="0"/>
                <w:color w:val="000000"/>
                <w:spacing w:val="0"/>
                <w:w w:val="100"/>
                <w:kern w:val="21"/>
                <w:position w:val="0"/>
                <w:sz w:val="21"/>
                <w:szCs w:val="21"/>
                <w:u w:val="none" w:color="auto"/>
                <w:vertAlign w:val="subscript"/>
                <w:lang w:val="en-US" w:eastAsia="zh-CN" w:bidi="ar-SA"/>
              </w:rPr>
              <w:t>4</w:t>
            </w:r>
          </w:p>
        </w:tc>
        <w:tc>
          <w:tcPr>
            <w:tcW w:w="2447" w:type="pct"/>
            <w:tcBorders>
              <w:tl2br w:val="nil"/>
              <w:tr2bl w:val="nil"/>
            </w:tcBorders>
            <w:noWrap w:val="0"/>
            <w:vAlign w:val="center"/>
          </w:tcPr>
          <w:p w14:paraId="6679E17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分子量：</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180.82</w:t>
            </w:r>
          </w:p>
        </w:tc>
      </w:tr>
      <w:tr w14:paraId="1F1FD6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vMerge w:val="continue"/>
            <w:tcBorders>
              <w:tl2br w:val="nil"/>
              <w:tr2bl w:val="nil"/>
            </w:tcBorders>
            <w:noWrap w:val="0"/>
            <w:vAlign w:val="center"/>
          </w:tcPr>
          <w:p w14:paraId="2ED2FF10">
            <w:pPr>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p>
        </w:tc>
        <w:tc>
          <w:tcPr>
            <w:tcW w:w="2118" w:type="pct"/>
            <w:tcBorders>
              <w:tl2br w:val="nil"/>
              <w:tr2bl w:val="nil"/>
            </w:tcBorders>
            <w:noWrap w:val="0"/>
            <w:vAlign w:val="center"/>
          </w:tcPr>
          <w:p w14:paraId="272DFD90">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危险货物编号：</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w:t>
            </w:r>
          </w:p>
        </w:tc>
        <w:tc>
          <w:tcPr>
            <w:tcW w:w="2447" w:type="pct"/>
            <w:tcBorders>
              <w:tl2br w:val="nil"/>
              <w:tr2bl w:val="nil"/>
            </w:tcBorders>
            <w:noWrap w:val="0"/>
            <w:vAlign w:val="center"/>
          </w:tcPr>
          <w:p w14:paraId="17ABCAB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t>CAS</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号：</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12057-17-9</w:t>
            </w:r>
          </w:p>
        </w:tc>
      </w:tr>
      <w:tr w14:paraId="4613A25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vMerge w:val="continue"/>
            <w:tcBorders>
              <w:tl2br w:val="nil"/>
              <w:tr2bl w:val="nil"/>
            </w:tcBorders>
            <w:noWrap w:val="0"/>
            <w:vAlign w:val="center"/>
          </w:tcPr>
          <w:p w14:paraId="3235DD44">
            <w:pPr>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p>
        </w:tc>
        <w:tc>
          <w:tcPr>
            <w:tcW w:w="4565" w:type="pct"/>
            <w:gridSpan w:val="2"/>
            <w:tcBorders>
              <w:tl2br w:val="nil"/>
              <w:tr2bl w:val="nil"/>
            </w:tcBorders>
            <w:noWrap w:val="0"/>
            <w:vAlign w:val="center"/>
          </w:tcPr>
          <w:p w14:paraId="2848024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t>UN</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编号：</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w:t>
            </w:r>
          </w:p>
        </w:tc>
      </w:tr>
      <w:tr w14:paraId="4BE664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vMerge w:val="restart"/>
            <w:tcBorders>
              <w:tl2br w:val="nil"/>
              <w:tr2bl w:val="nil"/>
            </w:tcBorders>
            <w:noWrap w:val="0"/>
            <w:vAlign w:val="center"/>
          </w:tcPr>
          <w:p w14:paraId="1E64C69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理化性质</w:t>
            </w:r>
          </w:p>
        </w:tc>
        <w:tc>
          <w:tcPr>
            <w:tcW w:w="4565" w:type="pct"/>
            <w:gridSpan w:val="2"/>
            <w:tcBorders>
              <w:tl2br w:val="nil"/>
              <w:tr2bl w:val="nil"/>
            </w:tcBorders>
            <w:noWrap w:val="0"/>
            <w:vAlign w:val="center"/>
          </w:tcPr>
          <w:p w14:paraId="77591730">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外观与性状：灰黑色/黑色粉末，无臭、无味</w:t>
            </w:r>
          </w:p>
        </w:tc>
      </w:tr>
      <w:tr w14:paraId="7CED2B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vMerge w:val="continue"/>
            <w:tcBorders>
              <w:tl2br w:val="nil"/>
              <w:tr2bl w:val="nil"/>
            </w:tcBorders>
            <w:noWrap w:val="0"/>
            <w:vAlign w:val="center"/>
          </w:tcPr>
          <w:p w14:paraId="2E49AA9C">
            <w:pPr>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p>
        </w:tc>
        <w:tc>
          <w:tcPr>
            <w:tcW w:w="2118" w:type="pct"/>
            <w:tcBorders>
              <w:tl2br w:val="nil"/>
              <w:tr2bl w:val="nil"/>
            </w:tcBorders>
            <w:noWrap w:val="0"/>
            <w:vAlign w:val="center"/>
          </w:tcPr>
          <w:p w14:paraId="3F75F0E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熔点</w:t>
            </w:r>
            <w:r>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高温下</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800℃以</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上开始分解、无明确熔融点</w:t>
            </w:r>
          </w:p>
        </w:tc>
        <w:tc>
          <w:tcPr>
            <w:tcW w:w="2447" w:type="pct"/>
            <w:tcBorders>
              <w:tl2br w:val="nil"/>
              <w:tr2bl w:val="nil"/>
            </w:tcBorders>
            <w:noWrap w:val="0"/>
            <w:vAlign w:val="center"/>
          </w:tcPr>
          <w:p w14:paraId="6272013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相对密度（水</w:t>
            </w:r>
            <w:r>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t>=1</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w:t>
            </w:r>
          </w:p>
        </w:tc>
      </w:tr>
      <w:tr w14:paraId="240C38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vMerge w:val="continue"/>
            <w:tcBorders>
              <w:tl2br w:val="nil"/>
              <w:tr2bl w:val="nil"/>
            </w:tcBorders>
            <w:noWrap w:val="0"/>
            <w:vAlign w:val="center"/>
          </w:tcPr>
          <w:p w14:paraId="11179CF7">
            <w:pPr>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p>
        </w:tc>
        <w:tc>
          <w:tcPr>
            <w:tcW w:w="2118" w:type="pct"/>
            <w:tcBorders>
              <w:tl2br w:val="nil"/>
              <w:tr2bl w:val="nil"/>
            </w:tcBorders>
            <w:noWrap w:val="0"/>
            <w:vAlign w:val="center"/>
          </w:tcPr>
          <w:p w14:paraId="0EE4C851">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沸点</w:t>
            </w:r>
            <w:r>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w:t>
            </w:r>
          </w:p>
        </w:tc>
        <w:tc>
          <w:tcPr>
            <w:tcW w:w="2447" w:type="pct"/>
            <w:tcBorders>
              <w:tl2br w:val="nil"/>
              <w:tr2bl w:val="nil"/>
            </w:tcBorders>
            <w:noWrap w:val="0"/>
            <w:vAlign w:val="center"/>
          </w:tcPr>
          <w:p w14:paraId="55841921">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稳定性：</w:t>
            </w:r>
            <w:r>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t>/</w:t>
            </w:r>
          </w:p>
        </w:tc>
      </w:tr>
      <w:tr w14:paraId="77E3461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vMerge w:val="continue"/>
            <w:tcBorders>
              <w:tl2br w:val="nil"/>
              <w:tr2bl w:val="nil"/>
            </w:tcBorders>
            <w:noWrap w:val="0"/>
            <w:vAlign w:val="center"/>
          </w:tcPr>
          <w:p w14:paraId="6EC1996A">
            <w:pPr>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p>
        </w:tc>
        <w:tc>
          <w:tcPr>
            <w:tcW w:w="4565" w:type="pct"/>
            <w:gridSpan w:val="2"/>
            <w:tcBorders>
              <w:tl2br w:val="nil"/>
              <w:tr2bl w:val="nil"/>
            </w:tcBorders>
            <w:noWrap w:val="0"/>
            <w:vAlign w:val="center"/>
          </w:tcPr>
          <w:p w14:paraId="31B09C6E">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333333"/>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溶解性：</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几乎不溶于水，</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遇稀盐酸、稀硫酸、硝酸会明显溶解</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w:t>
            </w:r>
          </w:p>
        </w:tc>
      </w:tr>
      <w:tr w14:paraId="69D84A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tcBorders>
              <w:tl2br w:val="nil"/>
              <w:tr2bl w:val="nil"/>
            </w:tcBorders>
            <w:noWrap w:val="0"/>
            <w:vAlign w:val="center"/>
          </w:tcPr>
          <w:p w14:paraId="5A63F8A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危险</w:t>
            </w:r>
          </w:p>
          <w:p w14:paraId="0B907BF0">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特性</w:t>
            </w:r>
          </w:p>
        </w:tc>
        <w:tc>
          <w:tcPr>
            <w:tcW w:w="4565" w:type="pct"/>
            <w:gridSpan w:val="2"/>
            <w:tcBorders>
              <w:tl2br w:val="nil"/>
              <w:tr2bl w:val="nil"/>
            </w:tcBorders>
            <w:noWrap w:val="0"/>
            <w:vAlign w:val="center"/>
          </w:tcPr>
          <w:p w14:paraId="5810D21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危险特性：</w:t>
            </w:r>
          </w:p>
          <w:p w14:paraId="73B4554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遇酸易反应：</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遇强酸（盐酸、硫酸、硝酸）会发生反应，释放锰离子、锂离子，伴随放热，可能释放微量氧气，无剧烈爆炸风险，但酸性条件下重金属溶出风险极高</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w:t>
            </w:r>
          </w:p>
          <w:p w14:paraId="18BCB22B">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粉尘危害：</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吸入性粉尘风险突出；遇水不反应、不燃烧，常温稳定</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遇高温可能与可燃物质混合加速燃烧。</w:t>
            </w:r>
          </w:p>
          <w:p w14:paraId="5FF9BAC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热稳定性：</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常温稳定，高温＞400℃易分解，释放锰氧化物、锂氧化物，遇高温可能与可燃物质混合加速燃烧。</w:t>
            </w:r>
          </w:p>
          <w:p w14:paraId="71E4D6D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Segoe UI Emoji" w:hAnsi="Segoe UI Emoji" w:eastAsia="宋体" w:cs="Segoe UI Emoji"/>
                <w:i w:val="0"/>
                <w:iCs w:val="0"/>
                <w:caps w:val="0"/>
                <w:color w:val="000000"/>
                <w:spacing w:val="0"/>
                <w:kern w:val="2"/>
                <w:sz w:val="24"/>
                <w:szCs w:val="24"/>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不燃不爆：</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本身不可燃、无自燃性、无爆炸性，不属于易燃固体。</w:t>
            </w:r>
          </w:p>
        </w:tc>
      </w:tr>
      <w:tr w14:paraId="4C5E689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tcBorders>
              <w:tl2br w:val="nil"/>
              <w:tr2bl w:val="nil"/>
            </w:tcBorders>
            <w:noWrap w:val="0"/>
            <w:vAlign w:val="center"/>
          </w:tcPr>
          <w:p w14:paraId="7F2B3F10">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毒性</w:t>
            </w:r>
          </w:p>
        </w:tc>
        <w:tc>
          <w:tcPr>
            <w:tcW w:w="4565" w:type="pct"/>
            <w:gridSpan w:val="2"/>
            <w:tcBorders>
              <w:tl2br w:val="nil"/>
              <w:tr2bl w:val="nil"/>
            </w:tcBorders>
            <w:noWrap w:val="0"/>
            <w:vAlign w:val="center"/>
          </w:tcPr>
          <w:p w14:paraId="2E98732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经口、经皮急性毒性较低，无剧烈急性中毒风险；</w:t>
            </w:r>
          </w:p>
          <w:p w14:paraId="0AC65B2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粉尘吸入可刺激呼吸道，引发咳嗽、咽痛、胸闷等局部刺激症状。</w:t>
            </w:r>
          </w:p>
        </w:tc>
      </w:tr>
      <w:tr w14:paraId="0D9301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tcBorders>
              <w:tl2br w:val="nil"/>
              <w:tr2bl w:val="nil"/>
            </w:tcBorders>
            <w:noWrap w:val="0"/>
            <w:vAlign w:val="center"/>
          </w:tcPr>
          <w:p w14:paraId="3F019C71">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健康危害</w:t>
            </w:r>
          </w:p>
        </w:tc>
        <w:tc>
          <w:tcPr>
            <w:tcW w:w="4565" w:type="pct"/>
            <w:gridSpan w:val="2"/>
            <w:tcBorders>
              <w:tl2br w:val="nil"/>
              <w:tr2bl w:val="nil"/>
            </w:tcBorders>
            <w:noWrap w:val="0"/>
            <w:vAlign w:val="center"/>
          </w:tcPr>
          <w:p w14:paraId="0A8A7237">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吸入：粉尘吸入刺激呼吸道，长期吸入可导致锰慢性中毒，损伤神经系统（锰中毒）；皮肤 / 眼睛接触：粉尘刺激黏膜，可引发皮炎、结膜炎；食入：锰过量摄入损害神经、肝肾，锂过量影响电解质平衡。</w:t>
            </w:r>
          </w:p>
        </w:tc>
      </w:tr>
      <w:tr w14:paraId="1ED4FE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tcBorders>
              <w:tl2br w:val="nil"/>
              <w:tr2bl w:val="nil"/>
            </w:tcBorders>
            <w:noWrap w:val="0"/>
            <w:vAlign w:val="center"/>
          </w:tcPr>
          <w:p w14:paraId="6DFC67A1">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急救措施</w:t>
            </w:r>
          </w:p>
        </w:tc>
        <w:tc>
          <w:tcPr>
            <w:tcW w:w="4565" w:type="pct"/>
            <w:gridSpan w:val="2"/>
            <w:tcBorders>
              <w:tl2br w:val="nil"/>
              <w:tr2bl w:val="nil"/>
            </w:tcBorders>
            <w:noWrap w:val="0"/>
            <w:vAlign w:val="center"/>
          </w:tcPr>
          <w:p w14:paraId="0989B127">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吸入：迅速脱离现场至空气新鲜处，保持呼吸道通畅，必要时输氧、人工呼吸，就医。</w:t>
            </w:r>
          </w:p>
          <w:p w14:paraId="404D760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皮肤接触：脱去污染衣物，用肥皂水及流动清水冲洗，不适就医。</w:t>
            </w:r>
          </w:p>
          <w:p w14:paraId="6402993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眼睛接触：立即用大量清水或生理盐水冲洗 15 min 以上，就医。</w:t>
            </w:r>
          </w:p>
          <w:p w14:paraId="678B6EF7">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食入：漱口，禁止催吐，饮温水后立即就医。</w:t>
            </w:r>
          </w:p>
        </w:tc>
      </w:tr>
      <w:tr w14:paraId="661CD74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69" w:hRule="atLeast"/>
          <w:jc w:val="center"/>
        </w:trPr>
        <w:tc>
          <w:tcPr>
            <w:tcW w:w="434" w:type="pct"/>
            <w:tcBorders>
              <w:tl2br w:val="nil"/>
              <w:tr2bl w:val="nil"/>
            </w:tcBorders>
            <w:noWrap w:val="0"/>
            <w:vAlign w:val="center"/>
          </w:tcPr>
          <w:p w14:paraId="4E19840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防护措施</w:t>
            </w:r>
          </w:p>
        </w:tc>
        <w:tc>
          <w:tcPr>
            <w:tcW w:w="4565" w:type="pct"/>
            <w:gridSpan w:val="2"/>
            <w:tcBorders>
              <w:tl2br w:val="nil"/>
              <w:tr2bl w:val="nil"/>
            </w:tcBorders>
            <w:noWrap w:val="0"/>
            <w:vAlign w:val="center"/>
          </w:tcPr>
          <w:p w14:paraId="7BD5324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作业过程密闭，加强通风除尘；操作人员佩戴防尘口罩、防护眼镜、橡胶手套，穿防尘工作服；严禁在作业区饮食，作业后及时清洗；定期开展职业健康监护，防止锰粉尘吸入危害。</w:t>
            </w:r>
          </w:p>
        </w:tc>
      </w:tr>
      <w:tr w14:paraId="2B7F4D3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tcBorders>
              <w:tl2br w:val="nil"/>
              <w:tr2bl w:val="nil"/>
            </w:tcBorders>
            <w:noWrap w:val="0"/>
            <w:vAlign w:val="center"/>
          </w:tcPr>
          <w:p w14:paraId="31CD7DF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操作注意事项</w:t>
            </w:r>
          </w:p>
        </w:tc>
        <w:tc>
          <w:tcPr>
            <w:tcW w:w="4565" w:type="pct"/>
            <w:gridSpan w:val="2"/>
            <w:tcBorders>
              <w:tl2br w:val="nil"/>
              <w:tr2bl w:val="nil"/>
            </w:tcBorders>
            <w:noWrap w:val="0"/>
            <w:vAlign w:val="center"/>
          </w:tcPr>
          <w:p w14:paraId="0C9264C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密闭操作，加强通风除尘，控制粉尘飞扬；操作人员做好个体防护，避免接触强酸；搬运轻拿轻放，防止包装破损；储存于干燥通风处，防潮防渗，与酸类分开存放；废弃物按危险废物规范处置，防止重金属污染环境。</w:t>
            </w:r>
          </w:p>
        </w:tc>
      </w:tr>
      <w:tr w14:paraId="7D7F640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tcBorders>
              <w:tl2br w:val="nil"/>
              <w:tr2bl w:val="nil"/>
            </w:tcBorders>
            <w:noWrap w:val="0"/>
            <w:vAlign w:val="center"/>
          </w:tcPr>
          <w:p w14:paraId="26D3ECE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应急处理</w:t>
            </w:r>
          </w:p>
        </w:tc>
        <w:tc>
          <w:tcPr>
            <w:tcW w:w="4565" w:type="pct"/>
            <w:gridSpan w:val="2"/>
            <w:tcBorders>
              <w:tl2br w:val="nil"/>
              <w:tr2bl w:val="nil"/>
            </w:tcBorders>
            <w:noWrap w:val="0"/>
            <w:vAlign w:val="center"/>
          </w:tcPr>
          <w:p w14:paraId="0DCC104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个人防护：隔离泄漏污染区，限制出入；应急人员佩戴防尘口罩、防护眼镜、耐酸碱手套、防尘工作服。</w:t>
            </w:r>
          </w:p>
          <w:p w14:paraId="405F6A2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小量泄漏：避免扬尘，用洁净铲子收集于干燥、洁净、有盖容器中，密闭存放。</w:t>
            </w:r>
          </w:p>
          <w:p w14:paraId="7A223F7E">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大量泄漏：构筑围堤或挖坑收容，用塑料布、帆布覆盖，减少飞散；使用无火花工具收集回收，运至危废暂存间，交由有资质单位处置。</w:t>
            </w:r>
          </w:p>
          <w:p w14:paraId="233DEDB6">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环境应急：防止泄漏物进入水体、下水道、土壤；若进入水环境，及时封堵收集，避免锰、锂重金属扩散污染。</w:t>
            </w:r>
          </w:p>
        </w:tc>
      </w:tr>
      <w:tr w14:paraId="143E27A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4" w:type="pct"/>
            <w:tcBorders>
              <w:tl2br w:val="nil"/>
              <w:tr2bl w:val="nil"/>
            </w:tcBorders>
            <w:noWrap w:val="0"/>
            <w:vAlign w:val="center"/>
          </w:tcPr>
          <w:p w14:paraId="4C6C91A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储运信息</w:t>
            </w:r>
          </w:p>
        </w:tc>
        <w:tc>
          <w:tcPr>
            <w:tcW w:w="4565" w:type="pct"/>
            <w:gridSpan w:val="2"/>
            <w:tcBorders>
              <w:tl2br w:val="nil"/>
              <w:tr2bl w:val="nil"/>
            </w:tcBorders>
            <w:noWrap w:val="0"/>
            <w:vAlign w:val="center"/>
          </w:tcPr>
          <w:p w14:paraId="25F9855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1.运</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输信息</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w:t>
            </w:r>
          </w:p>
          <w:p w14:paraId="760B78B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包装方式：内衬塑料袋，外层密封包装，防止粉尘泄漏。</w:t>
            </w:r>
          </w:p>
          <w:p w14:paraId="5D19CC3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运输要求：运输过程中防止暴晒、雨淋、受潮；轻装轻卸，避免包装破损扬尘；严禁与强酸、氧化剂混运。</w:t>
            </w:r>
          </w:p>
          <w:p w14:paraId="6C94023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left"/>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运输类别：普通化工固体，不属于危险货物，但按重金属危废管理，密闭运输。</w:t>
            </w:r>
          </w:p>
          <w:p w14:paraId="72C63EE3">
            <w:pPr>
              <w:keepNext w:val="0"/>
              <w:keepLines w:val="0"/>
              <w:pageBreakBefore w:val="0"/>
              <w:widowControl/>
              <w:numPr>
                <w:ilvl w:val="0"/>
                <w:numId w:val="27"/>
              </w:numPr>
              <w:kinsoku/>
              <w:wordWrap/>
              <w:overflowPunct/>
              <w:topLinePunct/>
              <w:autoSpaceDE/>
              <w:autoSpaceDN/>
              <w:bidi w:val="0"/>
              <w:adjustRightInd w:val="0"/>
              <w:snapToGrid w:val="0"/>
              <w:spacing w:beforeLines="0" w:afterLines="0" w:line="240" w:lineRule="auto"/>
              <w:ind w:left="0" w:right="0" w:firstLine="0" w:firstLineChars="0"/>
              <w:jc w:val="left"/>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储存信息</w:t>
            </w:r>
          </w:p>
          <w:p w14:paraId="5123E1C5">
            <w:pPr>
              <w:keepNext w:val="0"/>
              <w:keepLines w:val="0"/>
              <w:pageBreakBefore w:val="0"/>
              <w:widowControl/>
              <w:numPr>
                <w:ilvl w:val="0"/>
                <w:numId w:val="0"/>
              </w:numPr>
              <w:kinsoku/>
              <w:wordWrap/>
              <w:overflowPunct/>
              <w:topLinePunct/>
              <w:autoSpaceDE/>
              <w:autoSpaceDN/>
              <w:bidi w:val="0"/>
              <w:adjustRightInd w:val="0"/>
              <w:snapToGrid w:val="0"/>
              <w:spacing w:beforeLines="0" w:afterLines="0" w:line="240" w:lineRule="auto"/>
              <w:ind w:right="0" w:rightChars="0"/>
              <w:jc w:val="left"/>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储存条件：阴凉、干燥、通风良好的专用库房，防潮、避光。</w:t>
            </w:r>
          </w:p>
          <w:p w14:paraId="60B0BE9C">
            <w:pPr>
              <w:keepNext w:val="0"/>
              <w:keepLines w:val="0"/>
              <w:pageBreakBefore w:val="0"/>
              <w:widowControl/>
              <w:numPr>
                <w:ilvl w:val="0"/>
                <w:numId w:val="0"/>
              </w:numPr>
              <w:kinsoku/>
              <w:wordWrap/>
              <w:overflowPunct/>
              <w:topLinePunct/>
              <w:autoSpaceDE/>
              <w:autoSpaceDN/>
              <w:bidi w:val="0"/>
              <w:adjustRightInd w:val="0"/>
              <w:snapToGrid w:val="0"/>
              <w:spacing w:beforeLines="0" w:afterLines="0" w:line="240" w:lineRule="auto"/>
              <w:ind w:right="0" w:rightChars="0"/>
              <w:jc w:val="left"/>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隔离存放：远离酸类、氧化剂、食品及食品添加剂，分区存放。</w:t>
            </w:r>
          </w:p>
          <w:p w14:paraId="2F77D9DF">
            <w:pPr>
              <w:keepNext w:val="0"/>
              <w:keepLines w:val="0"/>
              <w:pageBreakBefore w:val="0"/>
              <w:widowControl/>
              <w:numPr>
                <w:ilvl w:val="0"/>
                <w:numId w:val="0"/>
              </w:numPr>
              <w:kinsoku/>
              <w:wordWrap/>
              <w:overflowPunct/>
              <w:topLinePunct/>
              <w:autoSpaceDE/>
              <w:autoSpaceDN/>
              <w:bidi w:val="0"/>
              <w:adjustRightInd w:val="0"/>
              <w:snapToGrid w:val="0"/>
              <w:spacing w:beforeLines="0" w:afterLines="0" w:line="240" w:lineRule="auto"/>
              <w:ind w:right="0" w:rightChars="0"/>
              <w:jc w:val="left"/>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库房防渗：地面做防渗处理，设置收集沟，防止雨水淋溶重金属下渗污染地下水。</w:t>
            </w:r>
          </w:p>
          <w:p w14:paraId="1E363C4F">
            <w:pPr>
              <w:keepNext w:val="0"/>
              <w:keepLines w:val="0"/>
              <w:pageBreakBefore w:val="0"/>
              <w:widowControl/>
              <w:numPr>
                <w:ilvl w:val="0"/>
                <w:numId w:val="0"/>
              </w:numPr>
              <w:kinsoku/>
              <w:wordWrap/>
              <w:overflowPunct/>
              <w:topLinePunct/>
              <w:autoSpaceDE/>
              <w:autoSpaceDN/>
              <w:bidi w:val="0"/>
              <w:adjustRightInd w:val="0"/>
              <w:snapToGrid w:val="0"/>
              <w:spacing w:beforeLines="0" w:afterLines="0" w:line="240" w:lineRule="auto"/>
              <w:ind w:right="0" w:rightChars="0"/>
              <w:jc w:val="left"/>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堆码规范：密封堆放，防止粉尘外泄，定期检查包装完整性</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w:t>
            </w:r>
          </w:p>
        </w:tc>
      </w:tr>
    </w:tbl>
    <w:p w14:paraId="7038128A">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镍钴锰酸锂</w:t>
      </w:r>
      <w:r>
        <w:rPr>
          <w:rFonts w:hint="default" w:ascii="Times New Roman" w:hAnsi="Times New Roman" w:eastAsia="黑体" w:cs="Times New Roman"/>
          <w:color w:val="auto"/>
          <w:spacing w:val="0"/>
          <w:w w:val="100"/>
          <w:kern w:val="21"/>
          <w:position w:val="0"/>
          <w:sz w:val="24"/>
          <w:szCs w:val="24"/>
          <w:u w:val="none" w:color="auto"/>
          <w:lang w:val="en-US" w:eastAsia="zh-CN"/>
        </w:rPr>
        <w:t>理化性质及毒理性质一览表</w:t>
      </w:r>
    </w:p>
    <w:tbl>
      <w:tblPr>
        <w:tblStyle w:val="32"/>
        <w:tblW w:w="4996"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800"/>
        <w:gridCol w:w="3913"/>
        <w:gridCol w:w="4522"/>
      </w:tblGrid>
      <w:tr w14:paraId="68A5A15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vMerge w:val="restart"/>
            <w:tcBorders>
              <w:tl2br w:val="nil"/>
              <w:tr2bl w:val="nil"/>
            </w:tcBorders>
            <w:noWrap w:val="0"/>
            <w:vAlign w:val="center"/>
          </w:tcPr>
          <w:p w14:paraId="2881F766">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标识</w:t>
            </w:r>
          </w:p>
        </w:tc>
        <w:tc>
          <w:tcPr>
            <w:tcW w:w="2118" w:type="pct"/>
            <w:tcBorders>
              <w:tl2br w:val="nil"/>
              <w:tr2bl w:val="nil"/>
            </w:tcBorders>
            <w:noWrap w:val="0"/>
            <w:vAlign w:val="center"/>
          </w:tcPr>
          <w:p w14:paraId="3FFE36B1">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中文名：</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镍钴锰酸锂</w:t>
            </w:r>
          </w:p>
        </w:tc>
        <w:tc>
          <w:tcPr>
            <w:tcW w:w="2448" w:type="pct"/>
            <w:tcBorders>
              <w:tl2br w:val="nil"/>
              <w:tr2bl w:val="nil"/>
            </w:tcBorders>
            <w:noWrap w:val="0"/>
            <w:vAlign w:val="center"/>
          </w:tcPr>
          <w:p w14:paraId="5DEFB3E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英文名：Lithium Nickel Cobalt Manganese Oxide</w:t>
            </w:r>
          </w:p>
        </w:tc>
      </w:tr>
      <w:tr w14:paraId="6574C1D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vMerge w:val="continue"/>
            <w:tcBorders>
              <w:tl2br w:val="nil"/>
              <w:tr2bl w:val="nil"/>
            </w:tcBorders>
            <w:noWrap w:val="0"/>
            <w:vAlign w:val="center"/>
          </w:tcPr>
          <w:p w14:paraId="7576B128">
            <w:pPr>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p>
        </w:tc>
        <w:tc>
          <w:tcPr>
            <w:tcW w:w="2118" w:type="pct"/>
            <w:tcBorders>
              <w:tl2br w:val="nil"/>
              <w:tr2bl w:val="nil"/>
            </w:tcBorders>
            <w:noWrap w:val="0"/>
            <w:vAlign w:val="center"/>
          </w:tcPr>
          <w:p w14:paraId="5EBDD90E">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分子式：LiNixCoyMn</w:t>
            </w:r>
            <w:r>
              <w:rPr>
                <w:rFonts w:hint="default" w:ascii="Times New Roman" w:hAnsi="Times New Roman" w:eastAsia="宋体" w:cs="Times New Roman"/>
                <w:snapToGrid w:val="0"/>
                <w:color w:val="000000"/>
                <w:spacing w:val="0"/>
                <w:w w:val="100"/>
                <w:kern w:val="21"/>
                <w:position w:val="0"/>
                <w:sz w:val="21"/>
                <w:szCs w:val="21"/>
                <w:u w:val="none" w:color="auto"/>
                <w:vertAlign w:val="subscript"/>
                <w:lang w:val="en-US" w:eastAsia="zh-CN" w:bidi="ar-SA"/>
              </w:rPr>
              <w:t>1</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-x-yO</w:t>
            </w:r>
            <w:r>
              <w:rPr>
                <w:rFonts w:hint="default" w:ascii="Times New Roman" w:hAnsi="Times New Roman" w:eastAsia="宋体" w:cs="Times New Roman"/>
                <w:snapToGrid w:val="0"/>
                <w:color w:val="000000"/>
                <w:spacing w:val="0"/>
                <w:w w:val="100"/>
                <w:kern w:val="21"/>
                <w:position w:val="0"/>
                <w:sz w:val="21"/>
                <w:szCs w:val="21"/>
                <w:u w:val="none" w:color="auto"/>
                <w:vertAlign w:val="subscript"/>
                <w:lang w:val="en-US" w:eastAsia="zh-CN" w:bidi="ar-SA"/>
              </w:rPr>
              <w:t>2</w:t>
            </w:r>
          </w:p>
        </w:tc>
        <w:tc>
          <w:tcPr>
            <w:tcW w:w="2448" w:type="pct"/>
            <w:tcBorders>
              <w:tl2br w:val="nil"/>
              <w:tr2bl w:val="nil"/>
            </w:tcBorders>
            <w:noWrap w:val="0"/>
            <w:vAlign w:val="center"/>
          </w:tcPr>
          <w:p w14:paraId="2E66A178">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分子量：</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w:t>
            </w:r>
          </w:p>
        </w:tc>
      </w:tr>
      <w:tr w14:paraId="0AD09E9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vMerge w:val="restart"/>
            <w:tcBorders>
              <w:tl2br w:val="nil"/>
              <w:tr2bl w:val="nil"/>
            </w:tcBorders>
            <w:noWrap w:val="0"/>
            <w:vAlign w:val="center"/>
          </w:tcPr>
          <w:p w14:paraId="5F1D555F">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理化性质</w:t>
            </w:r>
          </w:p>
        </w:tc>
        <w:tc>
          <w:tcPr>
            <w:tcW w:w="4566" w:type="pct"/>
            <w:gridSpan w:val="2"/>
            <w:tcBorders>
              <w:tl2br w:val="nil"/>
              <w:tr2bl w:val="nil"/>
            </w:tcBorders>
            <w:noWrap w:val="0"/>
            <w:vAlign w:val="center"/>
          </w:tcPr>
          <w:p w14:paraId="4735FA8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外观与性状：灰黑色 / 黑色粉末，无臭</w:t>
            </w:r>
          </w:p>
        </w:tc>
      </w:tr>
      <w:tr w14:paraId="3B2721E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vMerge w:val="continue"/>
            <w:tcBorders>
              <w:tl2br w:val="nil"/>
              <w:tr2bl w:val="nil"/>
            </w:tcBorders>
            <w:noWrap w:val="0"/>
            <w:vAlign w:val="center"/>
          </w:tcPr>
          <w:p w14:paraId="483E05D8">
            <w:pPr>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p>
        </w:tc>
        <w:tc>
          <w:tcPr>
            <w:tcW w:w="4566" w:type="pct"/>
            <w:gridSpan w:val="2"/>
            <w:tcBorders>
              <w:tl2br w:val="nil"/>
              <w:tr2bl w:val="nil"/>
            </w:tcBorders>
            <w:noWrap w:val="0"/>
            <w:vAlign w:val="center"/>
          </w:tcPr>
          <w:p w14:paraId="36AA56A1">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333333"/>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溶解性：难溶于水</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，难溶于常规有机溶剂</w:t>
            </w:r>
          </w:p>
        </w:tc>
      </w:tr>
      <w:tr w14:paraId="5639B42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313248E6">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危险</w:t>
            </w:r>
          </w:p>
          <w:p w14:paraId="75D8139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特性</w:t>
            </w:r>
          </w:p>
        </w:tc>
        <w:tc>
          <w:tcPr>
            <w:tcW w:w="4566" w:type="pct"/>
            <w:gridSpan w:val="2"/>
            <w:tcBorders>
              <w:tl2br w:val="nil"/>
              <w:tr2bl w:val="nil"/>
            </w:tcBorders>
            <w:noWrap w:val="0"/>
            <w:vAlign w:val="center"/>
          </w:tcPr>
          <w:p w14:paraId="52E3922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危险特性：</w:t>
            </w:r>
          </w:p>
          <w:p w14:paraId="36956D1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粉尘危害：粉末可形成扬尘，吸入刺激呼吸道；镍、钴化合物具有潜在毒性。</w:t>
            </w:r>
          </w:p>
          <w:p w14:paraId="098AF7C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不属于易燃品，但粉尘在密闭空间达到一定浓度，遇明火可形成粉尘爆炸风险。</w:t>
            </w:r>
          </w:p>
          <w:p w14:paraId="0985C7F0">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Segoe UI Emoji" w:hAnsi="Segoe UI Emoji" w:eastAsia="宋体" w:cs="Segoe UI Emoji"/>
                <w:i w:val="0"/>
                <w:iCs w:val="0"/>
                <w:caps w:val="0"/>
                <w:color w:val="000000"/>
                <w:spacing w:val="0"/>
                <w:kern w:val="2"/>
                <w:sz w:val="24"/>
                <w:szCs w:val="24"/>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腐蚀性：水解产生碱性物质，长期接触可刺激皮肤、黏膜。</w:t>
            </w:r>
          </w:p>
        </w:tc>
      </w:tr>
      <w:tr w14:paraId="6634D4C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113D700F">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毒性</w:t>
            </w:r>
          </w:p>
        </w:tc>
        <w:tc>
          <w:tcPr>
            <w:tcW w:w="4566" w:type="pct"/>
            <w:gridSpan w:val="2"/>
            <w:tcBorders>
              <w:tl2br w:val="nil"/>
              <w:tr2bl w:val="nil"/>
            </w:tcBorders>
            <w:noWrap w:val="0"/>
            <w:vAlign w:val="center"/>
          </w:tcPr>
          <w:p w14:paraId="54080F0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经口、经皮急性毒性较低，无剧烈急性中毒风险；</w:t>
            </w:r>
          </w:p>
          <w:p w14:paraId="6478A51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粉尘吸入可刺激呼吸道，引发咳嗽、咽痛、胸闷等局部刺激症状。</w:t>
            </w:r>
          </w:p>
        </w:tc>
      </w:tr>
      <w:tr w14:paraId="6CE27C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61254F3F">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健康危害</w:t>
            </w:r>
          </w:p>
        </w:tc>
        <w:tc>
          <w:tcPr>
            <w:tcW w:w="4566" w:type="pct"/>
            <w:gridSpan w:val="2"/>
            <w:tcBorders>
              <w:tl2br w:val="nil"/>
              <w:tr2bl w:val="nil"/>
            </w:tcBorders>
            <w:noWrap w:val="0"/>
            <w:vAlign w:val="center"/>
          </w:tcPr>
          <w:p w14:paraId="580993A1">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吸入：粉尘刺激鼻、咽、呼吸道，引发咳嗽、咽干、胸闷、咽喉不适；高浓度大量吸入可致气道炎症。镍、钴组分具有刺激性，敏感人群反应更明显。</w:t>
            </w:r>
          </w:p>
          <w:p w14:paraId="40CB29A8">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皮肤接触：粉末本身刺激性较弱；材料水解生成碱性物质，长期 / 反复接触会造成皮肤干燥、瘙痒、红斑、皮炎；部分人群对镍存在接触性过敏。</w:t>
            </w:r>
          </w:p>
          <w:p w14:paraId="7116A36E">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眼睛接触：粉尘入眼产生刺痛、流泪、结膜充血、异物感，碱性水解物会加重眼部刺激。</w:t>
            </w:r>
          </w:p>
          <w:p w14:paraId="22D06B5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食入：误食后刺激消化道，出现恶心、呕吐、腹痛；重金属组分可经消化道吸收，引发全身不适。</w:t>
            </w:r>
          </w:p>
        </w:tc>
      </w:tr>
      <w:tr w14:paraId="2CEEE03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5339F9FE">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急救措施</w:t>
            </w:r>
          </w:p>
        </w:tc>
        <w:tc>
          <w:tcPr>
            <w:tcW w:w="4566" w:type="pct"/>
            <w:gridSpan w:val="2"/>
            <w:tcBorders>
              <w:tl2br w:val="nil"/>
              <w:tr2bl w:val="nil"/>
            </w:tcBorders>
            <w:noWrap w:val="0"/>
            <w:vAlign w:val="center"/>
          </w:tcPr>
          <w:p w14:paraId="6C75071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吸入：迅速脱离现场至空气新鲜处，保持呼吸道通畅，必要时输氧、人工呼吸，就医。</w:t>
            </w:r>
          </w:p>
          <w:p w14:paraId="0DC70604">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皮肤接触：脱去污染衣物，用肥皂水及流动清水冲洗，不适就医。</w:t>
            </w:r>
          </w:p>
          <w:p w14:paraId="7F2D69E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眼睛接触：立即用大量清水或生理盐水冲洗 15 min 以上，就医。</w:t>
            </w:r>
          </w:p>
          <w:p w14:paraId="4D29CE38">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食入：漱口，禁止催吐，饮温水后立即就医。</w:t>
            </w:r>
          </w:p>
        </w:tc>
      </w:tr>
      <w:tr w14:paraId="3E519A9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69" w:hRule="atLeast"/>
          <w:jc w:val="center"/>
        </w:trPr>
        <w:tc>
          <w:tcPr>
            <w:tcW w:w="433" w:type="pct"/>
            <w:tcBorders>
              <w:tl2br w:val="nil"/>
              <w:tr2bl w:val="nil"/>
            </w:tcBorders>
            <w:noWrap w:val="0"/>
            <w:vAlign w:val="center"/>
          </w:tcPr>
          <w:p w14:paraId="54DFDE8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防护措施</w:t>
            </w:r>
          </w:p>
        </w:tc>
        <w:tc>
          <w:tcPr>
            <w:tcW w:w="4566" w:type="pct"/>
            <w:gridSpan w:val="2"/>
            <w:tcBorders>
              <w:tl2br w:val="nil"/>
              <w:tr2bl w:val="nil"/>
            </w:tcBorders>
            <w:noWrap w:val="0"/>
            <w:vAlign w:val="center"/>
          </w:tcPr>
          <w:p w14:paraId="61DDE93E">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本项目车间</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设置局部排风、除尘系统，控制车间粉尘浓度；</w:t>
            </w:r>
          </w:p>
          <w:p w14:paraId="2C8439B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车间保持干燥低湿（适配材料储存要求），地面做防渗、防滑处理；</w:t>
            </w:r>
          </w:p>
          <w:p w14:paraId="53CC1D7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密闭作业，减少粉尘无组织逸散。</w:t>
            </w:r>
          </w:p>
        </w:tc>
      </w:tr>
      <w:tr w14:paraId="37E2277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10D6FBC4">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操作注意事项</w:t>
            </w:r>
          </w:p>
        </w:tc>
        <w:tc>
          <w:tcPr>
            <w:tcW w:w="4566" w:type="pct"/>
            <w:gridSpan w:val="2"/>
            <w:tcBorders>
              <w:tl2br w:val="nil"/>
              <w:tr2bl w:val="nil"/>
            </w:tcBorders>
            <w:noWrap w:val="0"/>
            <w:vAlign w:val="center"/>
          </w:tcPr>
          <w:p w14:paraId="17C0EFA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拆包在独立除尘工位进行，缓慢划开包装，禁止大力撕扯包装袋；拆包产生的空袋统一收集，按危废管理。</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使用自动系统投料，</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料桶、料袋对接处做好密封，防止缝隙漏粉</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w:t>
            </w:r>
          </w:p>
        </w:tc>
      </w:tr>
      <w:tr w14:paraId="24AE847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2FFF164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应急处理</w:t>
            </w:r>
          </w:p>
        </w:tc>
        <w:tc>
          <w:tcPr>
            <w:tcW w:w="4566" w:type="pct"/>
            <w:gridSpan w:val="2"/>
            <w:tcBorders>
              <w:tl2br w:val="nil"/>
              <w:tr2bl w:val="nil"/>
            </w:tcBorders>
            <w:noWrap w:val="0"/>
            <w:vAlign w:val="center"/>
          </w:tcPr>
          <w:p w14:paraId="7D3C5D8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小量泄漏</w:t>
            </w:r>
          </w:p>
          <w:p w14:paraId="63D21556">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无关人员撤离现场，划定警戒区，禁止扬尘。</w:t>
            </w:r>
          </w:p>
          <w:p w14:paraId="618B0F9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用洁净干抹布、塑料铲收集泄漏粉末，装入专用密封危废容器，严禁直接用水冲洗（防止水解、重金属废水扩散）。</w:t>
            </w:r>
          </w:p>
          <w:p w14:paraId="5E915B98">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收集完毕后，对地面用干拖把清理，再做局部擦拭。</w:t>
            </w:r>
          </w:p>
          <w:p w14:paraId="29B7F65B">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2.大量泄漏</w:t>
            </w:r>
          </w:p>
          <w:p w14:paraId="473DBC3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启动排风系统，人员佩戴全套防护用具，从上风向处置。</w:t>
            </w:r>
          </w:p>
          <w:p w14:paraId="7B76AD2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用沙袋、围挡围堵，防止扩散；全程避免搅动产生大量扬尘。</w:t>
            </w:r>
          </w:p>
          <w:p w14:paraId="24B2350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全部收集至密闭专用桶，标识清楚，按危险废物委托有资质单位处置。</w:t>
            </w:r>
          </w:p>
          <w:p w14:paraId="235D87AB">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严禁泄漏物进入雨水管网、河道、土壤，防范地下水、地表水污染</w:t>
            </w:r>
          </w:p>
        </w:tc>
      </w:tr>
    </w:tbl>
    <w:p w14:paraId="1DB53BF5">
      <w:pPr>
        <w:numPr>
          <w:ilvl w:val="0"/>
          <w:numId w:val="5"/>
        </w:numPr>
        <w:tabs>
          <w:tab w:val="center" w:pos="4420"/>
        </w:tabs>
        <w:bidi w:val="0"/>
        <w:spacing w:line="460" w:lineRule="exact"/>
        <w:ind w:left="0" w:leftChars="0" w:firstLine="480" w:firstLineChars="200"/>
        <w:jc w:val="center"/>
        <w:rPr>
          <w:rFonts w:hint="eastAsia"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NMP（N-甲基吡咯烷酮）</w:t>
      </w:r>
      <w:r>
        <w:rPr>
          <w:rFonts w:hint="eastAsia" w:eastAsia="黑体" w:cs="Times New Roman"/>
          <w:color w:val="auto"/>
          <w:spacing w:val="0"/>
          <w:w w:val="100"/>
          <w:kern w:val="21"/>
          <w:position w:val="0"/>
          <w:sz w:val="24"/>
          <w:szCs w:val="24"/>
          <w:u w:val="none" w:color="auto"/>
          <w:lang w:val="en-US" w:eastAsia="zh-CN"/>
        </w:rPr>
        <w:t>理化</w:t>
      </w:r>
      <w:r>
        <w:rPr>
          <w:rFonts w:hint="default" w:ascii="Times New Roman" w:hAnsi="Times New Roman" w:eastAsia="黑体" w:cs="Times New Roman"/>
          <w:color w:val="auto"/>
          <w:spacing w:val="0"/>
          <w:w w:val="100"/>
          <w:kern w:val="21"/>
          <w:position w:val="0"/>
          <w:sz w:val="24"/>
          <w:szCs w:val="24"/>
          <w:u w:val="none" w:color="auto"/>
          <w:lang w:val="en-US" w:eastAsia="zh-CN"/>
        </w:rPr>
        <w:t>性质一览表</w:t>
      </w:r>
    </w:p>
    <w:tbl>
      <w:tblPr>
        <w:tblStyle w:val="32"/>
        <w:tblW w:w="4996"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800"/>
        <w:gridCol w:w="3913"/>
        <w:gridCol w:w="4522"/>
      </w:tblGrid>
      <w:tr w14:paraId="3515800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vMerge w:val="restart"/>
            <w:tcBorders>
              <w:tl2br w:val="nil"/>
              <w:tr2bl w:val="nil"/>
            </w:tcBorders>
            <w:noWrap w:val="0"/>
            <w:vAlign w:val="center"/>
          </w:tcPr>
          <w:p w14:paraId="72959584">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标识</w:t>
            </w:r>
          </w:p>
        </w:tc>
        <w:tc>
          <w:tcPr>
            <w:tcW w:w="2118" w:type="pct"/>
            <w:tcBorders>
              <w:tl2br w:val="nil"/>
              <w:tr2bl w:val="nil"/>
            </w:tcBorders>
            <w:noWrap w:val="0"/>
            <w:vAlign w:val="center"/>
          </w:tcPr>
          <w:p w14:paraId="36C03576">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中文名：N-甲基吡咯烷酮</w:t>
            </w:r>
          </w:p>
        </w:tc>
        <w:tc>
          <w:tcPr>
            <w:tcW w:w="2448" w:type="pct"/>
            <w:tcBorders>
              <w:tl2br w:val="nil"/>
              <w:tr2bl w:val="nil"/>
            </w:tcBorders>
            <w:noWrap w:val="0"/>
            <w:vAlign w:val="center"/>
          </w:tcPr>
          <w:p w14:paraId="07A6EBEB">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英文名：N-Methylpyrrolidone</w:t>
            </w:r>
          </w:p>
        </w:tc>
      </w:tr>
      <w:tr w14:paraId="54AB68A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vMerge w:val="continue"/>
            <w:tcBorders>
              <w:tl2br w:val="nil"/>
              <w:tr2bl w:val="nil"/>
            </w:tcBorders>
            <w:noWrap w:val="0"/>
            <w:vAlign w:val="center"/>
          </w:tcPr>
          <w:p w14:paraId="255A1F0B">
            <w:pPr>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p>
        </w:tc>
        <w:tc>
          <w:tcPr>
            <w:tcW w:w="2118" w:type="pct"/>
            <w:tcBorders>
              <w:tl2br w:val="nil"/>
              <w:tr2bl w:val="nil"/>
            </w:tcBorders>
            <w:noWrap w:val="0"/>
            <w:vAlign w:val="center"/>
          </w:tcPr>
          <w:p w14:paraId="69E89711">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分子式：</w:t>
            </w:r>
            <w:r>
              <w:rPr>
                <w:rFonts w:hint="eastAsia" w:cs="Times New Roman"/>
                <w:color w:val="000000"/>
                <w:sz w:val="24"/>
                <w:szCs w:val="24"/>
                <w:u w:val="none" w:color="auto"/>
                <w:vertAlign w:val="baseline"/>
                <w:lang w:val="en-US" w:eastAsia="zh-CN"/>
              </w:rPr>
              <w:t>C</w:t>
            </w:r>
            <w:r>
              <w:rPr>
                <w:rFonts w:hint="eastAsia" w:cs="Times New Roman"/>
                <w:color w:val="000000"/>
                <w:sz w:val="24"/>
                <w:szCs w:val="24"/>
                <w:u w:val="none" w:color="auto"/>
                <w:vertAlign w:val="subscript"/>
                <w:lang w:val="en-US" w:eastAsia="zh-CN"/>
              </w:rPr>
              <w:t>5</w:t>
            </w:r>
            <w:r>
              <w:rPr>
                <w:rFonts w:hint="eastAsia" w:cs="Times New Roman"/>
                <w:color w:val="000000"/>
                <w:sz w:val="24"/>
                <w:szCs w:val="24"/>
                <w:u w:val="none" w:color="auto"/>
                <w:vertAlign w:val="baseline"/>
                <w:lang w:val="en-US" w:eastAsia="zh-CN"/>
              </w:rPr>
              <w:t>H</w:t>
            </w:r>
            <w:r>
              <w:rPr>
                <w:rFonts w:hint="eastAsia" w:cs="Times New Roman"/>
                <w:color w:val="000000"/>
                <w:sz w:val="24"/>
                <w:szCs w:val="24"/>
                <w:u w:val="none" w:color="auto"/>
                <w:vertAlign w:val="subscript"/>
                <w:lang w:val="en-US" w:eastAsia="zh-CN"/>
              </w:rPr>
              <w:t>9</w:t>
            </w:r>
            <w:r>
              <w:rPr>
                <w:rFonts w:hint="eastAsia" w:cs="Times New Roman"/>
                <w:color w:val="000000"/>
                <w:sz w:val="24"/>
                <w:szCs w:val="24"/>
                <w:u w:val="none" w:color="auto"/>
                <w:vertAlign w:val="baseline"/>
                <w:lang w:val="en-US" w:eastAsia="zh-CN"/>
              </w:rPr>
              <w:t>NO</w:t>
            </w:r>
          </w:p>
        </w:tc>
        <w:tc>
          <w:tcPr>
            <w:tcW w:w="2448" w:type="pct"/>
            <w:tcBorders>
              <w:tl2br w:val="nil"/>
              <w:tr2bl w:val="nil"/>
            </w:tcBorders>
            <w:noWrap w:val="0"/>
            <w:vAlign w:val="center"/>
          </w:tcPr>
          <w:p w14:paraId="4212D1C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CAS号：872-50-4；2687-44-7</w:t>
            </w:r>
          </w:p>
        </w:tc>
      </w:tr>
      <w:tr w14:paraId="296F70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vMerge w:val="restart"/>
            <w:tcBorders>
              <w:tl2br w:val="nil"/>
              <w:tr2bl w:val="nil"/>
            </w:tcBorders>
            <w:noWrap w:val="0"/>
            <w:vAlign w:val="center"/>
          </w:tcPr>
          <w:p w14:paraId="2B5A77E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理化性质</w:t>
            </w:r>
          </w:p>
        </w:tc>
        <w:tc>
          <w:tcPr>
            <w:tcW w:w="4566" w:type="pct"/>
            <w:gridSpan w:val="2"/>
            <w:tcBorders>
              <w:tl2br w:val="nil"/>
              <w:tr2bl w:val="nil"/>
            </w:tcBorders>
            <w:noWrap w:val="0"/>
            <w:vAlign w:val="center"/>
          </w:tcPr>
          <w:p w14:paraId="31EECB1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外观与性状：无色透明液体，微有胺的气味</w:t>
            </w:r>
          </w:p>
        </w:tc>
      </w:tr>
      <w:tr w14:paraId="7EF9AF5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vMerge w:val="continue"/>
            <w:tcBorders>
              <w:tl2br w:val="nil"/>
              <w:tr2bl w:val="nil"/>
            </w:tcBorders>
            <w:noWrap w:val="0"/>
            <w:vAlign w:val="center"/>
          </w:tcPr>
          <w:p w14:paraId="7F66EBA1">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p>
        </w:tc>
        <w:tc>
          <w:tcPr>
            <w:tcW w:w="4566" w:type="pct"/>
            <w:gridSpan w:val="2"/>
            <w:tcBorders>
              <w:tl2br w:val="nil"/>
              <w:tr2bl w:val="nil"/>
            </w:tcBorders>
            <w:noWrap w:val="0"/>
            <w:vAlign w:val="center"/>
          </w:tcPr>
          <w:p w14:paraId="3289F580">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cs="Times New Roman"/>
                <w:snapToGrid w:val="0"/>
                <w:color w:val="000000"/>
                <w:spacing w:val="0"/>
                <w:w w:val="100"/>
                <w:kern w:val="21"/>
                <w:position w:val="0"/>
                <w:sz w:val="21"/>
                <w:szCs w:val="21"/>
                <w:u w:val="none" w:color="auto"/>
                <w:lang w:val="en-US" w:eastAsia="zh-CN" w:bidi="ar-SA"/>
              </w:rPr>
              <w:t>燃烧性：可燃</w:t>
            </w:r>
          </w:p>
        </w:tc>
      </w:tr>
      <w:tr w14:paraId="7D1C7B9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vMerge w:val="continue"/>
            <w:tcBorders>
              <w:tl2br w:val="nil"/>
              <w:tr2bl w:val="nil"/>
            </w:tcBorders>
            <w:noWrap w:val="0"/>
            <w:vAlign w:val="center"/>
          </w:tcPr>
          <w:p w14:paraId="74A30895">
            <w:pPr>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p>
        </w:tc>
        <w:tc>
          <w:tcPr>
            <w:tcW w:w="4566" w:type="pct"/>
            <w:gridSpan w:val="2"/>
            <w:tcBorders>
              <w:tl2br w:val="nil"/>
              <w:tr2bl w:val="nil"/>
            </w:tcBorders>
            <w:noWrap w:val="0"/>
            <w:vAlign w:val="center"/>
          </w:tcPr>
          <w:p w14:paraId="17D07C1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333333"/>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溶解性：与水任意比例互溶，不分层，能溶解无机盐、极性水溶性物质。</w:t>
            </w:r>
          </w:p>
        </w:tc>
      </w:tr>
      <w:tr w14:paraId="6F45AB8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567668C1">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危险</w:t>
            </w:r>
          </w:p>
          <w:p w14:paraId="0D1D5870">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特性</w:t>
            </w:r>
          </w:p>
        </w:tc>
        <w:tc>
          <w:tcPr>
            <w:tcW w:w="4566" w:type="pct"/>
            <w:gridSpan w:val="2"/>
            <w:tcBorders>
              <w:tl2br w:val="nil"/>
              <w:tr2bl w:val="nil"/>
            </w:tcBorders>
            <w:noWrap w:val="0"/>
            <w:vAlign w:val="center"/>
          </w:tcPr>
          <w:p w14:paraId="49C4541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cs="Times New Roman"/>
                <w:snapToGrid w:val="0"/>
                <w:color w:val="000000"/>
                <w:spacing w:val="0"/>
                <w:w w:val="100"/>
                <w:kern w:val="21"/>
                <w:position w:val="0"/>
                <w:sz w:val="21"/>
                <w:szCs w:val="21"/>
                <w:u w:val="none" w:color="auto"/>
                <w:lang w:val="en-US" w:eastAsia="zh-CN" w:bidi="ar-SA"/>
              </w:rPr>
            </w:pPr>
            <w:r>
              <w:rPr>
                <w:rFonts w:hint="default" w:cs="Times New Roman"/>
                <w:snapToGrid w:val="0"/>
                <w:color w:val="000000"/>
                <w:spacing w:val="0"/>
                <w:w w:val="100"/>
                <w:kern w:val="21"/>
                <w:position w:val="0"/>
                <w:sz w:val="21"/>
                <w:szCs w:val="21"/>
                <w:u w:val="none" w:color="auto"/>
                <w:lang w:val="en-US" w:eastAsia="zh-CN" w:bidi="ar-SA"/>
              </w:rPr>
              <w:t>闭口闪点 86℃，自燃温度 245℃；爆炸极限 1.3%～9.5%（体积分数），高温下蒸气与空气可形成爆炸性混合气体</w:t>
            </w:r>
          </w:p>
        </w:tc>
      </w:tr>
      <w:tr w14:paraId="18D90B8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09AE3FB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毒性</w:t>
            </w:r>
          </w:p>
        </w:tc>
        <w:tc>
          <w:tcPr>
            <w:tcW w:w="4566" w:type="pct"/>
            <w:gridSpan w:val="2"/>
            <w:tcBorders>
              <w:tl2br w:val="nil"/>
              <w:tr2bl w:val="nil"/>
            </w:tcBorders>
            <w:noWrap w:val="0"/>
            <w:vAlign w:val="center"/>
          </w:tcPr>
          <w:p w14:paraId="7288311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LD</w:t>
            </w:r>
            <w:r>
              <w:rPr>
                <w:rFonts w:hint="default" w:ascii="Times New Roman" w:hAnsi="Times New Roman" w:eastAsia="宋体" w:cs="Times New Roman"/>
                <w:snapToGrid w:val="0"/>
                <w:color w:val="000000"/>
                <w:spacing w:val="0"/>
                <w:w w:val="100"/>
                <w:kern w:val="21"/>
                <w:position w:val="0"/>
                <w:sz w:val="21"/>
                <w:szCs w:val="21"/>
                <w:u w:val="none" w:color="auto"/>
                <w:vertAlign w:val="subscript"/>
                <w:lang w:val="en-US" w:eastAsia="zh-CN" w:bidi="ar-SA"/>
              </w:rPr>
              <w:t>50</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7900mg/kg(大鼠经口)；LD</w:t>
            </w:r>
            <w:r>
              <w:rPr>
                <w:rFonts w:hint="default" w:ascii="Times New Roman" w:hAnsi="Times New Roman" w:eastAsia="宋体" w:cs="Times New Roman"/>
                <w:snapToGrid w:val="0"/>
                <w:color w:val="000000"/>
                <w:spacing w:val="0"/>
                <w:w w:val="100"/>
                <w:kern w:val="21"/>
                <w:position w:val="0"/>
                <w:sz w:val="21"/>
                <w:szCs w:val="21"/>
                <w:u w:val="none" w:color="auto"/>
                <w:vertAlign w:val="subscript"/>
                <w:lang w:val="en-US" w:eastAsia="zh-CN" w:bidi="ar-SA"/>
              </w:rPr>
              <w:t>50</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5200mg/kg（小鼠经口）</w:t>
            </w:r>
          </w:p>
        </w:tc>
      </w:tr>
      <w:tr w14:paraId="11DD024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5B734C0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健康危害</w:t>
            </w:r>
          </w:p>
        </w:tc>
        <w:tc>
          <w:tcPr>
            <w:tcW w:w="4566" w:type="pct"/>
            <w:gridSpan w:val="2"/>
            <w:tcBorders>
              <w:tl2br w:val="nil"/>
              <w:tr2bl w:val="nil"/>
            </w:tcBorders>
            <w:noWrap w:val="0"/>
            <w:vAlign w:val="center"/>
          </w:tcPr>
          <w:p w14:paraId="6489DFFB">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cs="Times New Roman"/>
                <w:snapToGrid w:val="0"/>
                <w:color w:val="000000"/>
                <w:spacing w:val="0"/>
                <w:w w:val="100"/>
                <w:kern w:val="21"/>
                <w:position w:val="0"/>
                <w:sz w:val="21"/>
                <w:szCs w:val="21"/>
                <w:u w:val="none" w:color="auto"/>
                <w:lang w:val="en-US" w:eastAsia="zh-CN" w:bidi="ar-SA"/>
              </w:rPr>
            </w:pPr>
            <w:r>
              <w:rPr>
                <w:rFonts w:hint="default" w:cs="Times New Roman"/>
                <w:snapToGrid w:val="0"/>
                <w:color w:val="000000"/>
                <w:spacing w:val="0"/>
                <w:w w:val="100"/>
                <w:kern w:val="21"/>
                <w:position w:val="0"/>
                <w:sz w:val="21"/>
                <w:szCs w:val="21"/>
                <w:u w:val="none" w:color="auto"/>
                <w:lang w:val="en-US" w:eastAsia="zh-CN" w:bidi="ar-SA"/>
              </w:rPr>
              <w:t>吸入：高浓度蒸气刺激鼻、咽喉、气道，引发咳嗽、胸闷、头晕、恶心；极高浓度可抑制中枢神经，乏力、嗜睡、意识模糊。</w:t>
            </w:r>
          </w:p>
          <w:p w14:paraId="1EA512B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cs="Times New Roman"/>
                <w:snapToGrid w:val="0"/>
                <w:color w:val="000000"/>
                <w:spacing w:val="0"/>
                <w:w w:val="100"/>
                <w:kern w:val="21"/>
                <w:position w:val="0"/>
                <w:sz w:val="21"/>
                <w:szCs w:val="21"/>
                <w:u w:val="none" w:color="auto"/>
                <w:lang w:val="en-US" w:eastAsia="zh-CN" w:bidi="ar-SA"/>
              </w:rPr>
            </w:pPr>
            <w:r>
              <w:rPr>
                <w:rFonts w:hint="default" w:cs="Times New Roman"/>
                <w:snapToGrid w:val="0"/>
                <w:color w:val="000000"/>
                <w:spacing w:val="0"/>
                <w:w w:val="100"/>
                <w:kern w:val="21"/>
                <w:position w:val="0"/>
                <w:sz w:val="21"/>
                <w:szCs w:val="21"/>
                <w:u w:val="none" w:color="auto"/>
                <w:lang w:val="en-US" w:eastAsia="zh-CN" w:bidi="ar-SA"/>
              </w:rPr>
              <w:t>皮肤接触：液体长时间接触脱脂皮肤，发红、干燥、瘙痒、皮炎；极易经皮吸收，加重全身中毒。</w:t>
            </w:r>
          </w:p>
          <w:p w14:paraId="05F96EC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cs="Times New Roman"/>
                <w:snapToGrid w:val="0"/>
                <w:color w:val="000000"/>
                <w:spacing w:val="0"/>
                <w:w w:val="100"/>
                <w:kern w:val="21"/>
                <w:position w:val="0"/>
                <w:sz w:val="21"/>
                <w:szCs w:val="21"/>
                <w:u w:val="none" w:color="auto"/>
                <w:lang w:val="en-US" w:eastAsia="zh-CN" w:bidi="ar-SA"/>
              </w:rPr>
            </w:pPr>
            <w:r>
              <w:rPr>
                <w:rFonts w:hint="default" w:cs="Times New Roman"/>
                <w:snapToGrid w:val="0"/>
                <w:color w:val="000000"/>
                <w:spacing w:val="0"/>
                <w:w w:val="100"/>
                <w:kern w:val="21"/>
                <w:position w:val="0"/>
                <w:sz w:val="21"/>
                <w:szCs w:val="21"/>
                <w:u w:val="none" w:color="auto"/>
                <w:lang w:val="en-US" w:eastAsia="zh-CN" w:bidi="ar-SA"/>
              </w:rPr>
              <w:t>眼部接触：强烈刺激结膜，红肿、刺痛、流泪、视物模糊。</w:t>
            </w:r>
          </w:p>
          <w:p w14:paraId="0C2302C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cs="Times New Roman"/>
                <w:snapToGrid w:val="0"/>
                <w:color w:val="000000"/>
                <w:spacing w:val="0"/>
                <w:w w:val="100"/>
                <w:kern w:val="21"/>
                <w:position w:val="0"/>
                <w:sz w:val="21"/>
                <w:szCs w:val="21"/>
                <w:u w:val="none" w:color="auto"/>
                <w:lang w:val="en-US" w:eastAsia="zh-CN" w:bidi="ar-SA"/>
              </w:rPr>
              <w:t>食入：恶心、腹痛、呕吐、腹泻，损伤消化道黏膜，影响肝肾代谢</w:t>
            </w:r>
            <w:r>
              <w:rPr>
                <w:rFonts w:hint="eastAsia" w:cs="Times New Roman"/>
                <w:snapToGrid w:val="0"/>
                <w:color w:val="000000"/>
                <w:spacing w:val="0"/>
                <w:w w:val="100"/>
                <w:kern w:val="21"/>
                <w:position w:val="0"/>
                <w:sz w:val="21"/>
                <w:szCs w:val="21"/>
                <w:u w:val="none" w:color="auto"/>
                <w:lang w:val="en-US" w:eastAsia="zh-CN" w:bidi="ar-SA"/>
              </w:rPr>
              <w:t>。</w:t>
            </w:r>
          </w:p>
        </w:tc>
      </w:tr>
      <w:tr w14:paraId="721DE3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0D4DE0C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急救措施</w:t>
            </w:r>
          </w:p>
        </w:tc>
        <w:tc>
          <w:tcPr>
            <w:tcW w:w="4566" w:type="pct"/>
            <w:gridSpan w:val="2"/>
            <w:tcBorders>
              <w:tl2br w:val="nil"/>
              <w:tr2bl w:val="nil"/>
            </w:tcBorders>
            <w:noWrap w:val="0"/>
            <w:vAlign w:val="center"/>
          </w:tcPr>
          <w:p w14:paraId="59D73DC6">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吸入</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迅速转移至空气新鲜处，解开衣领，保持呼吸道通畅；呼吸困难给予吸氧；呼吸停止立即心肺复苏，就医。</w:t>
            </w:r>
          </w:p>
          <w:p w14:paraId="3877C51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皮肤接触</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立即脱去全部污染衣物，大量流动清水 + 肥皂持续冲洗 15min 以上；出现红肿、刺痛就医。</w:t>
            </w:r>
          </w:p>
          <w:p w14:paraId="49B2CF6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眼睛接触</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撑开眼睑，清水持续冲洗至少 15 分钟，中途取出隐形眼镜；冲洗后眼部不适持续，立即眼科就诊。</w:t>
            </w:r>
          </w:p>
          <w:p w14:paraId="04CE95E0">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食入</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禁止催吐（防止反流吸入肺部）；大量温水漱口、饮水稀释；意识不清禁止口服任何物品，立刻送医。</w:t>
            </w:r>
          </w:p>
        </w:tc>
      </w:tr>
      <w:tr w14:paraId="7A88EA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4607A1D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eastAsia" w:cs="Times New Roman"/>
                <w:b/>
                <w:snapToGrid w:val="0"/>
                <w:color w:val="000000"/>
                <w:spacing w:val="0"/>
                <w:w w:val="100"/>
                <w:kern w:val="21"/>
                <w:position w:val="0"/>
                <w:sz w:val="21"/>
                <w:szCs w:val="21"/>
                <w:u w:val="none" w:color="auto"/>
                <w:lang w:val="en-US" w:eastAsia="zh-CN" w:bidi="ar-SA"/>
              </w:rPr>
              <w:t>消防措施</w:t>
            </w:r>
          </w:p>
        </w:tc>
        <w:tc>
          <w:tcPr>
            <w:tcW w:w="4566" w:type="pct"/>
            <w:gridSpan w:val="2"/>
            <w:tcBorders>
              <w:tl2br w:val="nil"/>
              <w:tr2bl w:val="nil"/>
            </w:tcBorders>
            <w:noWrap w:val="0"/>
            <w:vAlign w:val="center"/>
          </w:tcPr>
          <w:p w14:paraId="608A111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cs="Times New Roman"/>
                <w:snapToGrid w:val="0"/>
                <w:color w:val="000000"/>
                <w:spacing w:val="0"/>
                <w:w w:val="100"/>
                <w:kern w:val="21"/>
                <w:position w:val="0"/>
                <w:sz w:val="21"/>
                <w:szCs w:val="21"/>
                <w:u w:val="none" w:color="auto"/>
                <w:lang w:val="en-US" w:eastAsia="zh-CN" w:bidi="ar-SA"/>
              </w:rPr>
              <w:t>适用的灭火剂：水雾、抗醇泡沫、干粉、二氧化碳（CO₂）；禁止直流水冲击液面，防止液体流淌扩大火情</w:t>
            </w:r>
          </w:p>
        </w:tc>
      </w:tr>
      <w:tr w14:paraId="7E3B3B8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1F5C990E">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操作注意事项</w:t>
            </w:r>
          </w:p>
        </w:tc>
        <w:tc>
          <w:tcPr>
            <w:tcW w:w="4566" w:type="pct"/>
            <w:gridSpan w:val="2"/>
            <w:tcBorders>
              <w:tl2br w:val="nil"/>
              <w:tr2bl w:val="nil"/>
            </w:tcBorders>
            <w:noWrap w:val="0"/>
            <w:vAlign w:val="center"/>
          </w:tcPr>
          <w:p w14:paraId="1557C8E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cs="Times New Roman"/>
                <w:snapToGrid w:val="0"/>
                <w:color w:val="000000"/>
                <w:spacing w:val="0"/>
                <w:w w:val="100"/>
                <w:kern w:val="21"/>
                <w:position w:val="0"/>
                <w:sz w:val="21"/>
                <w:szCs w:val="21"/>
                <w:u w:val="none" w:color="auto"/>
                <w:lang w:val="en-US" w:eastAsia="zh-CN" w:bidi="ar-SA"/>
              </w:rPr>
              <w:t>车</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间全面强制通风，涂布、回收、清洗工位配套局部负压集气装置，控制蒸气浓度低于职业限值。远离明火、高温热源、静电火花；设备、管道、储罐可靠接地防静电；车间严禁吸烟、打磨、电焊。密闭操作，减少敞口周转；采用密封料桶、密闭投料、负压回收系统，减少雾化挥发。</w:t>
            </w:r>
          </w:p>
        </w:tc>
      </w:tr>
      <w:tr w14:paraId="75C2243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69102BC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应急处理</w:t>
            </w:r>
          </w:p>
        </w:tc>
        <w:tc>
          <w:tcPr>
            <w:tcW w:w="4566" w:type="pct"/>
            <w:gridSpan w:val="2"/>
            <w:tcBorders>
              <w:tl2br w:val="nil"/>
              <w:tr2bl w:val="nil"/>
            </w:tcBorders>
            <w:noWrap w:val="0"/>
            <w:vAlign w:val="center"/>
          </w:tcPr>
          <w:p w14:paraId="39929E48">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1. 人员隔离防护</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立即疏散无关人员至上风侧；应急处置人员穿戴全套防化防护 + 防毒呼吸器；切断区域全部火源、热源、电气开关。</w:t>
            </w:r>
          </w:p>
          <w:p w14:paraId="26991D37">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2. 小量泄漏（地面少量液体）</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沙土、吸附棉、硅藻土吸收，收集至密封危废桶；污染地面大量清水冲洗，冲洗水导入应急收集池，不得直排。</w:t>
            </w:r>
          </w:p>
          <w:p w14:paraId="74D2BD5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3. 大量泄漏（桶破裂、管道泄漏）</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围堰 / 沙袋围堵，防止流入雨水沟、污水站、地下水；</w:t>
            </w:r>
          </w:p>
          <w:p w14:paraId="78B28457">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防爆泵将泄漏液转移至备用密闭储罐；剩余残液用惰性吸附材料全覆盖吸收，统一按危废处置；加强区域强制排风，驱散积聚蒸气</w:t>
            </w:r>
            <w:r>
              <w:rPr>
                <w:rFonts w:hint="eastAsia" w:cs="Times New Roman"/>
                <w:snapToGrid w:val="0"/>
                <w:color w:val="000000"/>
                <w:spacing w:val="0"/>
                <w:w w:val="100"/>
                <w:kern w:val="21"/>
                <w:position w:val="0"/>
                <w:sz w:val="21"/>
                <w:szCs w:val="21"/>
                <w:u w:val="none" w:color="auto"/>
                <w:lang w:val="en-US" w:eastAsia="zh-CN" w:bidi="ar-SA"/>
              </w:rPr>
              <w:t>。</w:t>
            </w:r>
          </w:p>
        </w:tc>
      </w:tr>
    </w:tbl>
    <w:p w14:paraId="09A7882C">
      <w:pPr>
        <w:numPr>
          <w:ilvl w:val="0"/>
          <w:numId w:val="5"/>
        </w:numPr>
        <w:tabs>
          <w:tab w:val="center" w:pos="4420"/>
        </w:tabs>
        <w:bidi w:val="0"/>
        <w:spacing w:line="460" w:lineRule="exact"/>
        <w:ind w:left="0" w:leftChars="0" w:firstLine="480" w:firstLineChars="200"/>
        <w:jc w:val="center"/>
        <w:rPr>
          <w:rFonts w:hint="eastAsia"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电解液（主要成分为六氟磷酸锂）</w:t>
      </w:r>
      <w:r>
        <w:rPr>
          <w:rFonts w:hint="eastAsia" w:eastAsia="黑体" w:cs="Times New Roman"/>
          <w:color w:val="auto"/>
          <w:spacing w:val="0"/>
          <w:w w:val="100"/>
          <w:kern w:val="21"/>
          <w:position w:val="0"/>
          <w:sz w:val="24"/>
          <w:szCs w:val="24"/>
          <w:u w:val="none" w:color="auto"/>
          <w:lang w:val="en-US" w:eastAsia="zh-CN"/>
        </w:rPr>
        <w:t>理化性质一览</w:t>
      </w:r>
      <w:r>
        <w:rPr>
          <w:rFonts w:hint="eastAsia" w:ascii="Times New Roman" w:hAnsi="Times New Roman" w:eastAsia="黑体" w:cs="Times New Roman"/>
          <w:color w:val="auto"/>
          <w:spacing w:val="0"/>
          <w:w w:val="100"/>
          <w:kern w:val="21"/>
          <w:position w:val="0"/>
          <w:sz w:val="24"/>
          <w:szCs w:val="24"/>
          <w:u w:val="none" w:color="auto"/>
          <w:lang w:val="en-US" w:eastAsia="zh-CN"/>
        </w:rPr>
        <w:t>表</w:t>
      </w:r>
    </w:p>
    <w:tbl>
      <w:tblPr>
        <w:tblStyle w:val="32"/>
        <w:tblW w:w="4996"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800"/>
        <w:gridCol w:w="3913"/>
        <w:gridCol w:w="4522"/>
      </w:tblGrid>
      <w:tr w14:paraId="4F020DB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vMerge w:val="restart"/>
            <w:tcBorders>
              <w:tl2br w:val="nil"/>
              <w:tr2bl w:val="nil"/>
            </w:tcBorders>
            <w:noWrap w:val="0"/>
            <w:vAlign w:val="center"/>
          </w:tcPr>
          <w:p w14:paraId="790800D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标识</w:t>
            </w:r>
          </w:p>
        </w:tc>
        <w:tc>
          <w:tcPr>
            <w:tcW w:w="2118" w:type="pct"/>
            <w:tcBorders>
              <w:tl2br w:val="nil"/>
              <w:tr2bl w:val="nil"/>
            </w:tcBorders>
            <w:noWrap w:val="0"/>
            <w:vAlign w:val="center"/>
          </w:tcPr>
          <w:p w14:paraId="4C03F076">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中文名：电解液</w:t>
            </w:r>
          </w:p>
        </w:tc>
        <w:tc>
          <w:tcPr>
            <w:tcW w:w="2448" w:type="pct"/>
            <w:tcBorders>
              <w:tl2br w:val="nil"/>
              <w:tr2bl w:val="nil"/>
            </w:tcBorders>
            <w:noWrap w:val="0"/>
            <w:vAlign w:val="center"/>
          </w:tcPr>
          <w:p w14:paraId="3CF0E01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英文名：</w:t>
            </w:r>
            <w:r>
              <w:rPr>
                <w:rFonts w:hint="eastAsia" w:cs="Times New Roman"/>
                <w:snapToGrid w:val="0"/>
                <w:color w:val="000000"/>
                <w:spacing w:val="0"/>
                <w:w w:val="100"/>
                <w:kern w:val="21"/>
                <w:position w:val="0"/>
                <w:sz w:val="21"/>
                <w:szCs w:val="21"/>
                <w:u w:val="none" w:color="auto"/>
                <w:lang w:val="en-US" w:eastAsia="zh-CN" w:bidi="ar-SA"/>
              </w:rPr>
              <w:t>/</w:t>
            </w:r>
          </w:p>
        </w:tc>
      </w:tr>
      <w:tr w14:paraId="0AA866E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vMerge w:val="continue"/>
            <w:tcBorders>
              <w:tl2br w:val="nil"/>
              <w:tr2bl w:val="nil"/>
            </w:tcBorders>
            <w:noWrap w:val="0"/>
            <w:vAlign w:val="center"/>
          </w:tcPr>
          <w:p w14:paraId="60DFC5F5">
            <w:pPr>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p>
        </w:tc>
        <w:tc>
          <w:tcPr>
            <w:tcW w:w="2118" w:type="pct"/>
            <w:tcBorders>
              <w:tl2br w:val="nil"/>
              <w:tr2bl w:val="nil"/>
            </w:tcBorders>
            <w:noWrap w:val="0"/>
            <w:vAlign w:val="center"/>
          </w:tcPr>
          <w:p w14:paraId="34818FF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Times New Roman"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分子式：</w:t>
            </w:r>
            <w:r>
              <w:rPr>
                <w:rFonts w:hint="eastAsia" w:cs="Times New Roman"/>
                <w:snapToGrid w:val="0"/>
                <w:color w:val="000000"/>
                <w:spacing w:val="0"/>
                <w:w w:val="100"/>
                <w:kern w:val="21"/>
                <w:position w:val="0"/>
                <w:sz w:val="21"/>
                <w:szCs w:val="21"/>
                <w:u w:val="none" w:color="auto"/>
                <w:lang w:val="en-US" w:eastAsia="zh-CN" w:bidi="ar-SA"/>
              </w:rPr>
              <w:t>/</w:t>
            </w:r>
          </w:p>
        </w:tc>
        <w:tc>
          <w:tcPr>
            <w:tcW w:w="2448" w:type="pct"/>
            <w:tcBorders>
              <w:tl2br w:val="nil"/>
              <w:tr2bl w:val="nil"/>
            </w:tcBorders>
            <w:noWrap w:val="0"/>
            <w:vAlign w:val="center"/>
          </w:tcPr>
          <w:p w14:paraId="711300D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CAS号：</w:t>
            </w:r>
            <w:r>
              <w:rPr>
                <w:rFonts w:hint="eastAsia" w:cs="Times New Roman"/>
                <w:snapToGrid w:val="0"/>
                <w:color w:val="000000"/>
                <w:spacing w:val="0"/>
                <w:w w:val="100"/>
                <w:kern w:val="21"/>
                <w:position w:val="0"/>
                <w:sz w:val="21"/>
                <w:szCs w:val="21"/>
                <w:u w:val="none" w:color="auto"/>
                <w:lang w:val="en-US" w:eastAsia="zh-CN" w:bidi="ar-SA"/>
              </w:rPr>
              <w:t>/</w:t>
            </w:r>
          </w:p>
        </w:tc>
      </w:tr>
      <w:tr w14:paraId="197B92A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021C597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危险</w:t>
            </w:r>
          </w:p>
          <w:p w14:paraId="6D7C9B5B">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特性</w:t>
            </w:r>
          </w:p>
        </w:tc>
        <w:tc>
          <w:tcPr>
            <w:tcW w:w="4566" w:type="pct"/>
            <w:gridSpan w:val="2"/>
            <w:tcBorders>
              <w:tl2br w:val="nil"/>
              <w:tr2bl w:val="nil"/>
            </w:tcBorders>
            <w:noWrap w:val="0"/>
            <w:vAlign w:val="center"/>
          </w:tcPr>
          <w:p w14:paraId="5AA81611">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cs="Times New Roman"/>
                <w:snapToGrid w:val="0"/>
                <w:color w:val="000000"/>
                <w:spacing w:val="0"/>
                <w:w w:val="100"/>
                <w:kern w:val="21"/>
                <w:position w:val="0"/>
                <w:sz w:val="21"/>
                <w:szCs w:val="21"/>
                <w:u w:val="none" w:color="auto"/>
                <w:lang w:val="en-US" w:eastAsia="zh-CN" w:bidi="ar-SA"/>
              </w:rPr>
            </w:pPr>
            <w:r>
              <w:rPr>
                <w:rFonts w:hint="eastAsia" w:cs="Times New Roman"/>
                <w:snapToGrid w:val="0"/>
                <w:color w:val="000000"/>
                <w:spacing w:val="0"/>
                <w:w w:val="100"/>
                <w:kern w:val="21"/>
                <w:position w:val="0"/>
                <w:sz w:val="21"/>
                <w:szCs w:val="21"/>
                <w:u w:val="none" w:color="auto"/>
                <w:lang w:val="en-US" w:eastAsia="zh-CN" w:bidi="ar-SA"/>
              </w:rPr>
              <w:t>吞咽致死；引起严重的皮肤灼伤和眼睛损伤；引起严重眼睛损伤；一次接触致器官损害，吞咽并进入呼吸道可能致死，吸入致死。</w:t>
            </w:r>
          </w:p>
          <w:p w14:paraId="49F03C1F">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cs="Times New Roman"/>
                <w:snapToGrid w:val="0"/>
                <w:color w:val="000000"/>
                <w:spacing w:val="0"/>
                <w:w w:val="100"/>
                <w:kern w:val="21"/>
                <w:position w:val="0"/>
                <w:sz w:val="21"/>
                <w:szCs w:val="21"/>
                <w:u w:val="none" w:color="auto"/>
                <w:lang w:val="en-US" w:eastAsia="zh-CN" w:bidi="ar-SA"/>
              </w:rPr>
            </w:pPr>
            <w:r>
              <w:rPr>
                <w:rFonts w:hint="default" w:cs="Times New Roman"/>
                <w:snapToGrid w:val="0"/>
                <w:color w:val="000000"/>
                <w:spacing w:val="0"/>
                <w:w w:val="100"/>
                <w:kern w:val="21"/>
                <w:position w:val="0"/>
                <w:sz w:val="21"/>
                <w:szCs w:val="21"/>
                <w:u w:val="none" w:color="auto"/>
                <w:lang w:val="en-US" w:eastAsia="zh-CN" w:bidi="ar-SA"/>
              </w:rPr>
              <w:t>该产品不自燃，但属于可燃类。</w:t>
            </w:r>
          </w:p>
          <w:p w14:paraId="36200DA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cs="Times New Roman"/>
                <w:snapToGrid w:val="0"/>
                <w:color w:val="000000"/>
                <w:spacing w:val="0"/>
                <w:w w:val="100"/>
                <w:kern w:val="21"/>
                <w:position w:val="0"/>
                <w:sz w:val="21"/>
                <w:szCs w:val="21"/>
                <w:u w:val="none" w:color="auto"/>
                <w:lang w:val="en-US" w:eastAsia="zh-CN" w:bidi="ar-SA"/>
              </w:rPr>
            </w:pPr>
            <w:r>
              <w:rPr>
                <w:rFonts w:hint="default" w:cs="Times New Roman"/>
                <w:snapToGrid w:val="0"/>
                <w:color w:val="000000"/>
                <w:spacing w:val="0"/>
                <w:w w:val="100"/>
                <w:kern w:val="21"/>
                <w:position w:val="0"/>
                <w:sz w:val="21"/>
                <w:szCs w:val="21"/>
                <w:u w:val="none" w:color="auto"/>
                <w:lang w:val="en-US" w:eastAsia="zh-CN" w:bidi="ar-SA"/>
              </w:rPr>
              <w:t>产品为非爆物。但是，如果形成蒸汽混合物，则有可能发生爆炸。</w:t>
            </w:r>
          </w:p>
        </w:tc>
      </w:tr>
      <w:tr w14:paraId="408E397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3895BD4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毒性</w:t>
            </w:r>
          </w:p>
        </w:tc>
        <w:tc>
          <w:tcPr>
            <w:tcW w:w="4566" w:type="pct"/>
            <w:gridSpan w:val="2"/>
            <w:tcBorders>
              <w:tl2br w:val="nil"/>
              <w:tr2bl w:val="nil"/>
            </w:tcBorders>
            <w:noWrap w:val="0"/>
            <w:vAlign w:val="center"/>
          </w:tcPr>
          <w:p w14:paraId="3FE9ACD0">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z w:val="21"/>
                <w:szCs w:val="21"/>
                <w:u w:val="none" w:color="auto"/>
              </w:rPr>
              <w:t>LD</w:t>
            </w:r>
            <w:r>
              <w:rPr>
                <w:rFonts w:hint="default" w:ascii="Times New Roman" w:hAnsi="Times New Roman" w:eastAsia="宋体" w:cs="Times New Roman"/>
                <w:sz w:val="21"/>
                <w:szCs w:val="21"/>
                <w:u w:val="none" w:color="auto"/>
                <w:vertAlign w:val="subscript"/>
              </w:rPr>
              <w:t>50</w:t>
            </w:r>
            <w:r>
              <w:rPr>
                <w:rFonts w:hint="eastAsia" w:cs="Times New Roman"/>
                <w:sz w:val="21"/>
                <w:szCs w:val="21"/>
                <w:u w:val="none" w:color="auto"/>
                <w:lang w:val="en-US" w:eastAsia="zh-CN"/>
              </w:rPr>
              <w:t>1702</w:t>
            </w:r>
            <w:r>
              <w:rPr>
                <w:rFonts w:hint="default" w:ascii="Times New Roman" w:hAnsi="Times New Roman" w:eastAsia="宋体" w:cs="Times New Roman"/>
                <w:sz w:val="21"/>
                <w:szCs w:val="21"/>
                <w:u w:val="none" w:color="auto"/>
              </w:rPr>
              <w:t>mg/kg(大鼠经口)；LD</w:t>
            </w:r>
            <w:r>
              <w:rPr>
                <w:rFonts w:hint="default" w:ascii="Times New Roman" w:hAnsi="Times New Roman" w:eastAsia="宋体" w:cs="Times New Roman"/>
                <w:sz w:val="21"/>
                <w:szCs w:val="21"/>
                <w:u w:val="none" w:color="auto"/>
                <w:vertAlign w:val="subscript"/>
              </w:rPr>
              <w:t>50</w:t>
            </w:r>
            <w:r>
              <w:rPr>
                <w:rFonts w:hint="eastAsia" w:cs="Times New Roman"/>
                <w:sz w:val="21"/>
                <w:szCs w:val="21"/>
                <w:u w:val="none" w:color="auto"/>
                <w:lang w:val="en-US" w:eastAsia="zh-CN"/>
              </w:rPr>
              <w:t>275</w:t>
            </w:r>
            <w:r>
              <w:rPr>
                <w:rFonts w:hint="default" w:ascii="Times New Roman" w:hAnsi="Times New Roman" w:eastAsia="宋体" w:cs="Times New Roman"/>
                <w:sz w:val="21"/>
                <w:szCs w:val="21"/>
                <w:u w:val="none" w:color="auto"/>
              </w:rPr>
              <w:t>mg/kg（</w:t>
            </w:r>
            <w:r>
              <w:rPr>
                <w:rFonts w:hint="eastAsia" w:cs="Times New Roman"/>
                <w:sz w:val="21"/>
                <w:szCs w:val="21"/>
                <w:u w:val="none" w:color="auto"/>
                <w:lang w:val="en-US" w:eastAsia="zh-CN"/>
              </w:rPr>
              <w:t>经皮毒性</w:t>
            </w:r>
            <w:r>
              <w:rPr>
                <w:rFonts w:hint="default" w:ascii="Times New Roman" w:hAnsi="Times New Roman" w:eastAsia="宋体" w:cs="Times New Roman"/>
                <w:sz w:val="21"/>
                <w:szCs w:val="21"/>
                <w:u w:val="none" w:color="auto"/>
              </w:rPr>
              <w:t>）</w:t>
            </w:r>
            <w:r>
              <w:rPr>
                <w:rFonts w:hint="eastAsia" w:cs="Times New Roman"/>
                <w:sz w:val="21"/>
                <w:szCs w:val="21"/>
                <w:u w:val="none" w:color="auto"/>
                <w:lang w:eastAsia="zh-CN"/>
              </w:rPr>
              <w:t>（</w:t>
            </w:r>
            <w:r>
              <w:rPr>
                <w:rFonts w:hint="eastAsia" w:cs="Times New Roman"/>
                <w:sz w:val="21"/>
                <w:szCs w:val="21"/>
                <w:u w:val="none" w:color="auto"/>
                <w:lang w:val="en-US" w:eastAsia="zh-CN"/>
              </w:rPr>
              <w:t>以主要成分六氟磷酸锂计</w:t>
            </w:r>
            <w:r>
              <w:rPr>
                <w:rFonts w:hint="eastAsia" w:cs="Times New Roman"/>
                <w:sz w:val="21"/>
                <w:szCs w:val="21"/>
                <w:u w:val="none" w:color="auto"/>
                <w:lang w:eastAsia="zh-CN"/>
              </w:rPr>
              <w:t>）、</w:t>
            </w:r>
            <w:r>
              <w:rPr>
                <w:rFonts w:hint="default" w:ascii="Times New Roman" w:hAnsi="Times New Roman" w:eastAsia="宋体" w:cs="Times New Roman"/>
                <w:sz w:val="21"/>
                <w:szCs w:val="21"/>
                <w:u w:val="none" w:color="auto"/>
              </w:rPr>
              <w:t>L</w:t>
            </w:r>
            <w:r>
              <w:rPr>
                <w:rFonts w:hint="eastAsia" w:ascii="Times New Roman" w:hAnsi="Times New Roman" w:eastAsia="宋体" w:cs="Times New Roman"/>
                <w:sz w:val="21"/>
                <w:szCs w:val="21"/>
                <w:u w:val="none" w:color="auto"/>
                <w:lang w:val="en-US" w:eastAsia="zh-CN"/>
              </w:rPr>
              <w:t>C</w:t>
            </w:r>
            <w:r>
              <w:rPr>
                <w:rFonts w:hint="default" w:ascii="Times New Roman" w:hAnsi="Times New Roman" w:eastAsia="宋体" w:cs="Times New Roman"/>
                <w:sz w:val="21"/>
                <w:szCs w:val="21"/>
                <w:u w:val="none" w:color="auto"/>
                <w:vertAlign w:val="subscript"/>
              </w:rPr>
              <w:t>50</w:t>
            </w:r>
            <w:r>
              <w:rPr>
                <w:rFonts w:hint="eastAsia" w:ascii="Times New Roman" w:hAnsi="Times New Roman" w:eastAsia="宋体" w:cs="Times New Roman"/>
                <w:sz w:val="21"/>
                <w:szCs w:val="21"/>
                <w:u w:val="none" w:color="auto"/>
                <w:vertAlign w:val="baseline"/>
                <w:lang w:val="en-US" w:eastAsia="zh-CN"/>
              </w:rPr>
              <w:t>为20mg/L</w:t>
            </w:r>
          </w:p>
        </w:tc>
      </w:tr>
      <w:tr w14:paraId="6486F11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7B51E0F8">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健康危害</w:t>
            </w:r>
          </w:p>
        </w:tc>
        <w:tc>
          <w:tcPr>
            <w:tcW w:w="4566" w:type="pct"/>
            <w:gridSpan w:val="2"/>
            <w:tcBorders>
              <w:tl2br w:val="nil"/>
              <w:tr2bl w:val="nil"/>
            </w:tcBorders>
            <w:noWrap w:val="0"/>
            <w:vAlign w:val="center"/>
          </w:tcPr>
          <w:p w14:paraId="06D5550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刺激眼睛；刺激皮肤；一旦发生火灾或爆炸，切勿吸入烟雾</w:t>
            </w:r>
            <w:r>
              <w:rPr>
                <w:rFonts w:hint="eastAsia" w:cs="Times New Roman"/>
                <w:snapToGrid w:val="0"/>
                <w:color w:val="000000"/>
                <w:spacing w:val="0"/>
                <w:w w:val="100"/>
                <w:kern w:val="21"/>
                <w:position w:val="0"/>
                <w:sz w:val="21"/>
                <w:szCs w:val="21"/>
                <w:u w:val="none" w:color="auto"/>
                <w:lang w:val="en-US" w:eastAsia="zh-CN" w:bidi="ar-SA"/>
              </w:rPr>
              <w:t>。</w:t>
            </w:r>
          </w:p>
        </w:tc>
      </w:tr>
      <w:tr w14:paraId="532E6F7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133BBC2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急救措施</w:t>
            </w:r>
          </w:p>
        </w:tc>
        <w:tc>
          <w:tcPr>
            <w:tcW w:w="4566" w:type="pct"/>
            <w:gridSpan w:val="2"/>
            <w:tcBorders>
              <w:tl2br w:val="nil"/>
              <w:tr2bl w:val="nil"/>
            </w:tcBorders>
            <w:noWrap w:val="0"/>
            <w:vAlign w:val="center"/>
          </w:tcPr>
          <w:p w14:paraId="079AC194">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吸入时</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供应新鲜空气</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如果昏迷无意识，请让病人平稳地侧躺以便转移。</w:t>
            </w:r>
          </w:p>
          <w:p w14:paraId="44A07B6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皮肤接触时</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立即用水和肥皂进行彻底的冲洗。</w:t>
            </w:r>
          </w:p>
          <w:p w14:paraId="59B2F65B">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眼睛接触时</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眼睛睁开并在水龙头下持续冲洗，并咨询医生。</w:t>
            </w:r>
          </w:p>
        </w:tc>
      </w:tr>
      <w:tr w14:paraId="78DF55D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5E813010">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eastAsia" w:cs="Times New Roman"/>
                <w:b/>
                <w:snapToGrid w:val="0"/>
                <w:color w:val="000000"/>
                <w:spacing w:val="0"/>
                <w:w w:val="100"/>
                <w:kern w:val="21"/>
                <w:position w:val="0"/>
                <w:sz w:val="21"/>
                <w:szCs w:val="21"/>
                <w:u w:val="none" w:color="auto"/>
                <w:lang w:val="en-US" w:eastAsia="zh-CN" w:bidi="ar-SA"/>
              </w:rPr>
              <w:t>消防措施</w:t>
            </w:r>
          </w:p>
        </w:tc>
        <w:tc>
          <w:tcPr>
            <w:tcW w:w="4566" w:type="pct"/>
            <w:gridSpan w:val="2"/>
            <w:tcBorders>
              <w:tl2br w:val="nil"/>
              <w:tr2bl w:val="nil"/>
            </w:tcBorders>
            <w:noWrap w:val="0"/>
            <w:vAlign w:val="center"/>
          </w:tcPr>
          <w:p w14:paraId="731BB25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适当的灭火材料</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CO</w:t>
            </w:r>
            <w:r>
              <w:rPr>
                <w:rFonts w:hint="eastAsia" w:ascii="Times New Roman" w:hAnsi="Times New Roman" w:eastAsia="宋体" w:cs="Times New Roman"/>
                <w:snapToGrid w:val="0"/>
                <w:color w:val="000000"/>
                <w:spacing w:val="0"/>
                <w:w w:val="100"/>
                <w:kern w:val="21"/>
                <w:position w:val="0"/>
                <w:sz w:val="21"/>
                <w:szCs w:val="21"/>
                <w:u w:val="none" w:color="auto"/>
                <w:vertAlign w:val="subscript"/>
                <w:lang w:val="en-US" w:eastAsia="zh-CN" w:bidi="ar-SA"/>
              </w:rPr>
              <w:t>2</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、干粉灭火器，沙土;禁止用水。</w:t>
            </w:r>
          </w:p>
          <w:p w14:paraId="0F0C85CB">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防护装备</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穿戴防护面具及防护服。</w:t>
            </w:r>
          </w:p>
          <w:p w14:paraId="528EAE5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保护消防人员特殊的防护装备</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消防人员须佩戴防毒面具、穿全身消防服</w:t>
            </w:r>
          </w:p>
        </w:tc>
      </w:tr>
      <w:tr w14:paraId="63DA4D4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7BD3C6A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操作注意事项</w:t>
            </w:r>
          </w:p>
        </w:tc>
        <w:tc>
          <w:tcPr>
            <w:tcW w:w="4566" w:type="pct"/>
            <w:gridSpan w:val="2"/>
            <w:tcBorders>
              <w:tl2br w:val="nil"/>
              <w:tr2bl w:val="nil"/>
            </w:tcBorders>
            <w:noWrap w:val="0"/>
            <w:vAlign w:val="center"/>
          </w:tcPr>
          <w:p w14:paraId="68AA1764">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安全搬运信息</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避免产品的挥发，并保持环境良好的通风/呼吸设备。</w:t>
            </w:r>
          </w:p>
          <w:p w14:paraId="570E85A1">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产品(含包装物)在搬运过程中禁止受到雨淋、太阳直射、倒置和剧烈震荡。</w:t>
            </w:r>
          </w:p>
          <w:p w14:paraId="2D798AC6">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火灾与爆炸防护信息</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产品远离火源一一禁止吸烟。防止静电。</w:t>
            </w:r>
          </w:p>
        </w:tc>
      </w:tr>
      <w:tr w14:paraId="4030544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3" w:type="pct"/>
            <w:tcBorders>
              <w:tl2br w:val="nil"/>
              <w:tr2bl w:val="nil"/>
            </w:tcBorders>
            <w:noWrap w:val="0"/>
            <w:vAlign w:val="center"/>
          </w:tcPr>
          <w:p w14:paraId="188187DE">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b/>
                <w:snapToGrid w:val="0"/>
                <w:color w:val="000000"/>
                <w:spacing w:val="0"/>
                <w:w w:val="100"/>
                <w:kern w:val="21"/>
                <w:position w:val="0"/>
                <w:sz w:val="21"/>
                <w:szCs w:val="21"/>
                <w:u w:val="none" w:color="auto"/>
                <w:lang w:val="en-US" w:eastAsia="zh-CN" w:bidi="ar-SA"/>
              </w:rPr>
              <w:t>应急处理</w:t>
            </w:r>
          </w:p>
        </w:tc>
        <w:tc>
          <w:tcPr>
            <w:tcW w:w="4566" w:type="pct"/>
            <w:gridSpan w:val="2"/>
            <w:tcBorders>
              <w:tl2br w:val="nil"/>
              <w:tr2bl w:val="nil"/>
            </w:tcBorders>
            <w:noWrap w:val="0"/>
            <w:vAlign w:val="center"/>
          </w:tcPr>
          <w:p w14:paraId="0F3556CE">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个人安全措施</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穿戴防护服，否则远离工作场所。</w:t>
            </w:r>
          </w:p>
          <w:p w14:paraId="1878F1D7">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环境保护措施</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禁止该产品进入废水系统、地表或地下水、任何水道或河道。</w:t>
            </w:r>
          </w:p>
          <w:p w14:paraId="0E304C3E">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如果该产品渗入了水道或废水系统，请通知相关当局进行处理。</w:t>
            </w:r>
          </w:p>
          <w:p w14:paraId="5E4850EB">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整理/清洁措施</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使用惰性、吸液材料对该产品进行吸收，如沙土等。</w:t>
            </w:r>
          </w:p>
          <w:p w14:paraId="4F27DF6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环境保护措施</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要注意不能流入公共用水区域。防止泄漏物进入水体、下水道、地下室或限制性空间。</w:t>
            </w:r>
          </w:p>
        </w:tc>
      </w:tr>
    </w:tbl>
    <w:p w14:paraId="377FA7AD">
      <w:pPr>
        <w:numPr>
          <w:ilvl w:val="0"/>
          <w:numId w:val="5"/>
        </w:numPr>
        <w:tabs>
          <w:tab w:val="center" w:pos="4420"/>
        </w:tabs>
        <w:bidi w:val="0"/>
        <w:spacing w:line="460" w:lineRule="exact"/>
        <w:ind w:left="0" w:leftChars="0" w:firstLine="480" w:firstLineChars="200"/>
        <w:jc w:val="center"/>
        <w:rPr>
          <w:rFonts w:hint="eastAsia"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eastAsia="黑体" w:cs="Times New Roman"/>
          <w:color w:val="auto"/>
          <w:spacing w:val="0"/>
          <w:w w:val="100"/>
          <w:kern w:val="21"/>
          <w:position w:val="0"/>
          <w:sz w:val="24"/>
          <w:szCs w:val="24"/>
          <w:u w:val="none" w:color="auto"/>
          <w:lang w:val="en-US" w:eastAsia="zh-CN"/>
        </w:rPr>
        <w:t>本项目可能涉及到的危险物质汇总表</w:t>
      </w:r>
    </w:p>
    <w:tbl>
      <w:tblPr>
        <w:tblStyle w:val="3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553"/>
        <w:gridCol w:w="1662"/>
        <w:gridCol w:w="2502"/>
        <w:gridCol w:w="1849"/>
      </w:tblGrid>
      <w:tr w14:paraId="4EC0F6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6" w:type="dxa"/>
            <w:tcBorders>
              <w:tl2br w:val="nil"/>
              <w:tr2bl w:val="nil"/>
            </w:tcBorders>
            <w:vAlign w:val="center"/>
          </w:tcPr>
          <w:p w14:paraId="27184F7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序号</w:t>
            </w:r>
          </w:p>
        </w:tc>
        <w:tc>
          <w:tcPr>
            <w:tcW w:w="2553" w:type="dxa"/>
            <w:tcBorders>
              <w:tl2br w:val="nil"/>
              <w:tr2bl w:val="nil"/>
            </w:tcBorders>
            <w:vAlign w:val="center"/>
          </w:tcPr>
          <w:p w14:paraId="46F39AB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名称</w:t>
            </w:r>
          </w:p>
        </w:tc>
        <w:tc>
          <w:tcPr>
            <w:tcW w:w="1662" w:type="dxa"/>
            <w:tcBorders>
              <w:tl2br w:val="nil"/>
              <w:tr2bl w:val="nil"/>
            </w:tcBorders>
            <w:vAlign w:val="center"/>
          </w:tcPr>
          <w:p w14:paraId="4FB23282">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规格及储存方式</w:t>
            </w:r>
          </w:p>
        </w:tc>
        <w:tc>
          <w:tcPr>
            <w:tcW w:w="2502" w:type="dxa"/>
            <w:tcBorders>
              <w:tl2br w:val="nil"/>
              <w:tr2bl w:val="nil"/>
            </w:tcBorders>
            <w:vAlign w:val="center"/>
          </w:tcPr>
          <w:p w14:paraId="1B2AEC4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储存位置</w:t>
            </w:r>
          </w:p>
        </w:tc>
        <w:tc>
          <w:tcPr>
            <w:tcW w:w="1849" w:type="dxa"/>
            <w:tcBorders>
              <w:tl2br w:val="nil"/>
              <w:tr2bl w:val="nil"/>
            </w:tcBorders>
            <w:vAlign w:val="center"/>
          </w:tcPr>
          <w:p w14:paraId="08B8DE3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最大储存量(t)</w:t>
            </w:r>
          </w:p>
        </w:tc>
      </w:tr>
      <w:tr w14:paraId="19990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6" w:type="dxa"/>
            <w:tcBorders>
              <w:tl2br w:val="nil"/>
              <w:tr2bl w:val="nil"/>
            </w:tcBorders>
            <w:vAlign w:val="center"/>
          </w:tcPr>
          <w:p w14:paraId="4A16D5B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1</w:t>
            </w:r>
          </w:p>
        </w:tc>
        <w:tc>
          <w:tcPr>
            <w:tcW w:w="2553" w:type="dxa"/>
            <w:tcBorders>
              <w:tl2br w:val="nil"/>
              <w:tr2bl w:val="nil"/>
            </w:tcBorders>
            <w:vAlign w:val="center"/>
          </w:tcPr>
          <w:p w14:paraId="441DA7F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sz w:val="21"/>
                <w:szCs w:val="21"/>
                <w:u w:val="none" w:color="auto"/>
                <w:vertAlign w:val="baseline"/>
                <w:lang w:val="en-US" w:eastAsia="zh-CN"/>
              </w:rPr>
              <w:t>NMP（N-甲基吡咯</w:t>
            </w:r>
          </w:p>
          <w:p w14:paraId="564DC49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sz w:val="21"/>
                <w:szCs w:val="21"/>
                <w:u w:val="none" w:color="auto"/>
                <w:vertAlign w:val="baseline"/>
                <w:lang w:val="en-US" w:eastAsia="zh-CN"/>
              </w:rPr>
              <w:t>烷酮）</w:t>
            </w:r>
          </w:p>
        </w:tc>
        <w:tc>
          <w:tcPr>
            <w:tcW w:w="1662" w:type="dxa"/>
            <w:tcBorders>
              <w:tl2br w:val="nil"/>
              <w:tr2bl w:val="nil"/>
            </w:tcBorders>
            <w:vAlign w:val="center"/>
          </w:tcPr>
          <w:p w14:paraId="43C1EB0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200m</w:t>
            </w:r>
            <w:r>
              <w:rPr>
                <w:rFonts w:hint="eastAsia" w:cs="Times New Roman"/>
                <w:color w:val="000000"/>
                <w:sz w:val="21"/>
                <w:szCs w:val="21"/>
                <w:u w:val="none" w:color="auto"/>
                <w:vertAlign w:val="superscript"/>
                <w:lang w:val="en-US" w:eastAsia="zh-CN"/>
              </w:rPr>
              <w:t>3</w:t>
            </w:r>
            <w:r>
              <w:rPr>
                <w:rFonts w:hint="eastAsia" w:cs="Times New Roman"/>
                <w:color w:val="000000"/>
                <w:sz w:val="21"/>
                <w:szCs w:val="21"/>
                <w:u w:val="none" w:color="auto"/>
                <w:vertAlign w:val="baseline"/>
                <w:lang w:val="en-US" w:eastAsia="zh-CN"/>
              </w:rPr>
              <w:t>/储罐</w:t>
            </w:r>
          </w:p>
        </w:tc>
        <w:tc>
          <w:tcPr>
            <w:tcW w:w="2502" w:type="dxa"/>
            <w:tcBorders>
              <w:tl2br w:val="nil"/>
              <w:tr2bl w:val="nil"/>
            </w:tcBorders>
            <w:vAlign w:val="center"/>
          </w:tcPr>
          <w:p w14:paraId="5464672B">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sz w:val="21"/>
                <w:szCs w:val="21"/>
                <w:u w:val="none" w:color="auto"/>
                <w:vertAlign w:val="baseline"/>
                <w:lang w:val="en-US" w:eastAsia="zh-CN"/>
              </w:rPr>
              <w:t>NMP</w:t>
            </w:r>
            <w:r>
              <w:rPr>
                <w:rFonts w:hint="eastAsia" w:cs="Times New Roman"/>
                <w:color w:val="000000"/>
                <w:sz w:val="21"/>
                <w:szCs w:val="21"/>
                <w:u w:val="none" w:color="auto"/>
                <w:vertAlign w:val="baseline"/>
                <w:lang w:val="en-US" w:eastAsia="zh-CN"/>
              </w:rPr>
              <w:t>储罐区</w:t>
            </w:r>
          </w:p>
        </w:tc>
        <w:tc>
          <w:tcPr>
            <w:tcW w:w="1849" w:type="dxa"/>
            <w:tcBorders>
              <w:tl2br w:val="nil"/>
              <w:tr2bl w:val="nil"/>
            </w:tcBorders>
            <w:vAlign w:val="center"/>
          </w:tcPr>
          <w:p w14:paraId="48E96B9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349.5</w:t>
            </w:r>
          </w:p>
        </w:tc>
      </w:tr>
      <w:tr w14:paraId="4F019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6" w:type="dxa"/>
            <w:tcBorders>
              <w:tl2br w:val="nil"/>
              <w:tr2bl w:val="nil"/>
            </w:tcBorders>
            <w:vAlign w:val="center"/>
          </w:tcPr>
          <w:p w14:paraId="69E7FEC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2</w:t>
            </w:r>
          </w:p>
        </w:tc>
        <w:tc>
          <w:tcPr>
            <w:tcW w:w="2553" w:type="dxa"/>
            <w:tcBorders>
              <w:tl2br w:val="nil"/>
              <w:tr2bl w:val="nil"/>
            </w:tcBorders>
            <w:vAlign w:val="center"/>
          </w:tcPr>
          <w:p w14:paraId="1D2B309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电解液（主要成分六氟磷酸锂）</w:t>
            </w:r>
          </w:p>
        </w:tc>
        <w:tc>
          <w:tcPr>
            <w:tcW w:w="1662" w:type="dxa"/>
            <w:tcBorders>
              <w:tl2br w:val="nil"/>
              <w:tr2bl w:val="nil"/>
            </w:tcBorders>
            <w:vAlign w:val="center"/>
          </w:tcPr>
          <w:p w14:paraId="7CC87D3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sz w:val="21"/>
                <w:szCs w:val="21"/>
                <w:u w:val="none" w:color="auto"/>
                <w:vertAlign w:val="baseline"/>
                <w:lang w:val="en-US" w:eastAsia="zh-CN"/>
              </w:rPr>
              <w:t>200kg/桶</w:t>
            </w:r>
          </w:p>
        </w:tc>
        <w:tc>
          <w:tcPr>
            <w:tcW w:w="2502" w:type="dxa"/>
            <w:tcBorders>
              <w:tl2br w:val="nil"/>
              <w:tr2bl w:val="nil"/>
            </w:tcBorders>
            <w:vAlign w:val="center"/>
          </w:tcPr>
          <w:p w14:paraId="7E67F33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sz w:val="21"/>
                <w:szCs w:val="21"/>
                <w:u w:val="none" w:color="auto"/>
                <w:vertAlign w:val="baseline"/>
                <w:lang w:val="en-US" w:eastAsia="zh-CN"/>
              </w:rPr>
              <w:t>原料仓库内</w:t>
            </w:r>
          </w:p>
        </w:tc>
        <w:tc>
          <w:tcPr>
            <w:tcW w:w="1849" w:type="dxa"/>
            <w:tcBorders>
              <w:tl2br w:val="nil"/>
              <w:tr2bl w:val="nil"/>
            </w:tcBorders>
            <w:vAlign w:val="center"/>
          </w:tcPr>
          <w:p w14:paraId="52BE552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0.4</w:t>
            </w:r>
          </w:p>
        </w:tc>
      </w:tr>
      <w:tr w14:paraId="659FA8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6" w:type="dxa"/>
            <w:tcBorders>
              <w:tl2br w:val="nil"/>
              <w:tr2bl w:val="nil"/>
            </w:tcBorders>
            <w:vAlign w:val="center"/>
          </w:tcPr>
          <w:p w14:paraId="6268FD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3</w:t>
            </w:r>
          </w:p>
        </w:tc>
        <w:tc>
          <w:tcPr>
            <w:tcW w:w="2553" w:type="dxa"/>
            <w:tcBorders>
              <w:tl2br w:val="nil"/>
              <w:tr2bl w:val="nil"/>
            </w:tcBorders>
            <w:vAlign w:val="center"/>
          </w:tcPr>
          <w:p w14:paraId="0B436C4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sz w:val="21"/>
                <w:szCs w:val="21"/>
                <w:u w:val="none" w:color="auto"/>
                <w:vertAlign w:val="baseline"/>
                <w:lang w:val="en-US" w:eastAsia="zh-CN"/>
              </w:rPr>
              <w:t>NMP</w:t>
            </w:r>
            <w:r>
              <w:rPr>
                <w:rFonts w:hint="eastAsia" w:cs="Times New Roman"/>
                <w:color w:val="000000"/>
                <w:sz w:val="21"/>
                <w:szCs w:val="21"/>
                <w:u w:val="none" w:color="auto"/>
                <w:vertAlign w:val="baseline"/>
                <w:lang w:val="en-US" w:eastAsia="zh-CN"/>
              </w:rPr>
              <w:t>回收</w:t>
            </w:r>
            <w:r>
              <w:rPr>
                <w:rFonts w:hint="eastAsia" w:ascii="Times New Roman" w:hAnsi="Times New Roman" w:eastAsia="宋体" w:cs="Times New Roman"/>
                <w:color w:val="000000"/>
                <w:sz w:val="21"/>
                <w:szCs w:val="21"/>
                <w:u w:val="none" w:color="auto"/>
                <w:vertAlign w:val="baseline"/>
                <w:lang w:val="en-US" w:eastAsia="zh-CN"/>
              </w:rPr>
              <w:t>液</w:t>
            </w:r>
          </w:p>
        </w:tc>
        <w:tc>
          <w:tcPr>
            <w:tcW w:w="1662" w:type="dxa"/>
            <w:tcBorders>
              <w:tl2br w:val="nil"/>
              <w:tr2bl w:val="nil"/>
            </w:tcBorders>
            <w:vAlign w:val="center"/>
          </w:tcPr>
          <w:p w14:paraId="2CC4E319">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200m</w:t>
            </w:r>
            <w:r>
              <w:rPr>
                <w:rFonts w:hint="eastAsia" w:cs="Times New Roman"/>
                <w:color w:val="000000"/>
                <w:sz w:val="21"/>
                <w:szCs w:val="21"/>
                <w:u w:val="none" w:color="auto"/>
                <w:vertAlign w:val="superscript"/>
                <w:lang w:val="en-US" w:eastAsia="zh-CN"/>
              </w:rPr>
              <w:t>3</w:t>
            </w:r>
            <w:r>
              <w:rPr>
                <w:rFonts w:hint="eastAsia" w:cs="Times New Roman"/>
                <w:color w:val="000000"/>
                <w:sz w:val="21"/>
                <w:szCs w:val="21"/>
                <w:u w:val="none" w:color="auto"/>
                <w:vertAlign w:val="baseline"/>
                <w:lang w:val="en-US" w:eastAsia="zh-CN"/>
              </w:rPr>
              <w:t>/储罐</w:t>
            </w:r>
          </w:p>
        </w:tc>
        <w:tc>
          <w:tcPr>
            <w:tcW w:w="2502" w:type="dxa"/>
            <w:tcBorders>
              <w:tl2br w:val="nil"/>
              <w:tr2bl w:val="nil"/>
            </w:tcBorders>
            <w:vAlign w:val="center"/>
          </w:tcPr>
          <w:p w14:paraId="0EC2C757">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sz w:val="21"/>
                <w:szCs w:val="21"/>
                <w:u w:val="none" w:color="auto"/>
                <w:vertAlign w:val="baseline"/>
                <w:lang w:val="en-US" w:eastAsia="zh-CN"/>
              </w:rPr>
              <w:t>NMP回收液暂存区</w:t>
            </w:r>
          </w:p>
        </w:tc>
        <w:tc>
          <w:tcPr>
            <w:tcW w:w="1849" w:type="dxa"/>
            <w:tcBorders>
              <w:tl2br w:val="nil"/>
              <w:tr2bl w:val="nil"/>
            </w:tcBorders>
            <w:vAlign w:val="center"/>
          </w:tcPr>
          <w:p w14:paraId="7B02CD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140</w:t>
            </w:r>
          </w:p>
        </w:tc>
      </w:tr>
      <w:tr w14:paraId="2ED88F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6" w:type="dxa"/>
            <w:tcBorders>
              <w:tl2br w:val="nil"/>
              <w:tr2bl w:val="nil"/>
            </w:tcBorders>
            <w:vAlign w:val="center"/>
          </w:tcPr>
          <w:p w14:paraId="75FDC39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4</w:t>
            </w:r>
          </w:p>
        </w:tc>
        <w:tc>
          <w:tcPr>
            <w:tcW w:w="2553" w:type="dxa"/>
            <w:tcBorders>
              <w:tl2br w:val="nil"/>
              <w:tr2bl w:val="nil"/>
            </w:tcBorders>
            <w:vAlign w:val="center"/>
          </w:tcPr>
          <w:p w14:paraId="3FE50BA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kern w:val="0"/>
                <w:sz w:val="21"/>
                <w:szCs w:val="21"/>
                <w:u w:val="none" w:color="auto"/>
                <w:shd w:val="clear" w:color="auto" w:fill="FFFFFF"/>
                <w:lang w:bidi="ar"/>
              </w:rPr>
              <w:t>锰及其化合物（以锰计）*</w:t>
            </w:r>
          </w:p>
        </w:tc>
        <w:tc>
          <w:tcPr>
            <w:tcW w:w="1662" w:type="dxa"/>
            <w:tcBorders>
              <w:tl2br w:val="nil"/>
              <w:tr2bl w:val="nil"/>
            </w:tcBorders>
            <w:vAlign w:val="center"/>
          </w:tcPr>
          <w:p w14:paraId="3057AAF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w:t>
            </w:r>
          </w:p>
        </w:tc>
        <w:tc>
          <w:tcPr>
            <w:tcW w:w="2502" w:type="dxa"/>
            <w:tcBorders>
              <w:tl2br w:val="nil"/>
              <w:tr2bl w:val="nil"/>
            </w:tcBorders>
            <w:vAlign w:val="center"/>
          </w:tcPr>
          <w:p w14:paraId="2DD941A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sz w:val="21"/>
                <w:szCs w:val="21"/>
                <w:u w:val="none" w:color="auto"/>
                <w:vertAlign w:val="baseline"/>
                <w:lang w:val="en-US" w:eastAsia="zh-CN"/>
              </w:rPr>
              <w:t>原料仓库内</w:t>
            </w:r>
          </w:p>
        </w:tc>
        <w:tc>
          <w:tcPr>
            <w:tcW w:w="1849" w:type="dxa"/>
            <w:tcBorders>
              <w:tl2br w:val="nil"/>
              <w:tr2bl w:val="nil"/>
            </w:tcBorders>
            <w:vAlign w:val="center"/>
          </w:tcPr>
          <w:p w14:paraId="541AB1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kern w:val="0"/>
                <w:sz w:val="21"/>
                <w:szCs w:val="21"/>
                <w:u w:val="none" w:color="auto"/>
                <w:shd w:val="clear" w:color="auto" w:fill="FFFFFF"/>
                <w:lang w:val="en-US" w:eastAsia="zh-CN" w:bidi="ar"/>
              </w:rPr>
              <w:t>36.484</w:t>
            </w:r>
          </w:p>
        </w:tc>
      </w:tr>
      <w:tr w14:paraId="79949B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76" w:type="dxa"/>
            <w:tcBorders>
              <w:tl2br w:val="nil"/>
              <w:tr2bl w:val="nil"/>
            </w:tcBorders>
            <w:vAlign w:val="center"/>
          </w:tcPr>
          <w:p w14:paraId="4A69040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5</w:t>
            </w:r>
          </w:p>
        </w:tc>
        <w:tc>
          <w:tcPr>
            <w:tcW w:w="2553" w:type="dxa"/>
            <w:tcBorders>
              <w:tl2br w:val="nil"/>
              <w:tr2bl w:val="nil"/>
            </w:tcBorders>
            <w:vAlign w:val="center"/>
          </w:tcPr>
          <w:p w14:paraId="4A45A2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kern w:val="0"/>
                <w:sz w:val="21"/>
                <w:szCs w:val="21"/>
                <w:u w:val="none" w:color="auto"/>
                <w:shd w:val="clear" w:color="auto" w:fill="FFFFFF"/>
                <w:lang w:bidi="ar"/>
              </w:rPr>
              <w:t>镍及其化合物（以镍计）*</w:t>
            </w:r>
          </w:p>
        </w:tc>
        <w:tc>
          <w:tcPr>
            <w:tcW w:w="1662" w:type="dxa"/>
            <w:tcBorders>
              <w:tl2br w:val="nil"/>
              <w:tr2bl w:val="nil"/>
            </w:tcBorders>
            <w:vAlign w:val="center"/>
          </w:tcPr>
          <w:p w14:paraId="34022EC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w:t>
            </w:r>
          </w:p>
        </w:tc>
        <w:tc>
          <w:tcPr>
            <w:tcW w:w="2502" w:type="dxa"/>
            <w:tcBorders>
              <w:tl2br w:val="nil"/>
              <w:tr2bl w:val="nil"/>
            </w:tcBorders>
            <w:vAlign w:val="center"/>
          </w:tcPr>
          <w:p w14:paraId="689BAF7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sz w:val="21"/>
                <w:szCs w:val="21"/>
                <w:u w:val="none" w:color="auto"/>
                <w:vertAlign w:val="baseline"/>
                <w:lang w:val="en-US" w:eastAsia="zh-CN"/>
              </w:rPr>
              <w:t>原料仓库内</w:t>
            </w:r>
          </w:p>
        </w:tc>
        <w:tc>
          <w:tcPr>
            <w:tcW w:w="1849" w:type="dxa"/>
            <w:tcBorders>
              <w:tl2br w:val="nil"/>
              <w:tr2bl w:val="nil"/>
            </w:tcBorders>
            <w:vAlign w:val="center"/>
          </w:tcPr>
          <w:p w14:paraId="61990C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sz w:val="21"/>
                <w:szCs w:val="21"/>
                <w:u w:val="none" w:color="auto"/>
                <w:vertAlign w:val="baseline"/>
                <w:lang w:val="en-US" w:eastAsia="zh-CN"/>
              </w:rPr>
            </w:pPr>
            <w:r>
              <w:rPr>
                <w:rFonts w:hint="eastAsia" w:ascii="Times New Roman" w:hAnsi="Times New Roman" w:eastAsia="宋体" w:cs="Times New Roman"/>
                <w:color w:val="000000"/>
                <w:kern w:val="0"/>
                <w:sz w:val="21"/>
                <w:szCs w:val="21"/>
                <w:u w:val="none" w:color="auto"/>
                <w:shd w:val="clear" w:color="auto" w:fill="FFFFFF"/>
                <w:lang w:val="en-US" w:eastAsia="zh-CN" w:bidi="ar"/>
              </w:rPr>
              <w:t>0.061</w:t>
            </w:r>
          </w:p>
        </w:tc>
      </w:tr>
      <w:tr w14:paraId="6C27D6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242" w:type="dxa"/>
            <w:gridSpan w:val="5"/>
            <w:tcBorders>
              <w:tl2br w:val="nil"/>
              <w:tr2bl w:val="nil"/>
            </w:tcBorders>
            <w:vAlign w:val="center"/>
          </w:tcPr>
          <w:p w14:paraId="6EFDBFE8">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bCs/>
                <w:color w:val="000000"/>
                <w:kern w:val="0"/>
                <w:sz w:val="21"/>
                <w:szCs w:val="21"/>
                <w:u w:val="none" w:color="auto"/>
                <w:shd w:val="clear" w:color="auto" w:fill="FFFFFF"/>
                <w:lang w:val="en-US" w:eastAsia="zh-CN" w:bidi="ar"/>
              </w:rPr>
            </w:pPr>
            <w:r>
              <w:rPr>
                <w:rFonts w:hint="eastAsia" w:cs="Times New Roman"/>
                <w:color w:val="000000"/>
                <w:kern w:val="0"/>
                <w:sz w:val="21"/>
                <w:szCs w:val="21"/>
                <w:u w:val="none" w:color="auto"/>
                <w:shd w:val="clear" w:color="auto" w:fill="FFFFFF"/>
                <w:lang w:val="en-US" w:eastAsia="zh-CN" w:bidi="ar"/>
              </w:rPr>
              <w:t>备注：</w:t>
            </w:r>
            <w:r>
              <w:rPr>
                <w:rFonts w:hint="eastAsia" w:ascii="Times New Roman" w:hAnsi="Times New Roman" w:eastAsia="宋体" w:cs="Times New Roman"/>
                <w:color w:val="000000"/>
                <w:sz w:val="21"/>
                <w:szCs w:val="21"/>
                <w:u w:val="none" w:color="auto"/>
                <w:vertAlign w:val="baseline"/>
                <w:lang w:val="en-US" w:eastAsia="zh-CN"/>
              </w:rPr>
              <w:t>回收的NMP溶液</w:t>
            </w:r>
            <w:r>
              <w:rPr>
                <w:rFonts w:hint="eastAsia" w:cs="Times New Roman"/>
                <w:color w:val="000000"/>
                <w:sz w:val="21"/>
                <w:szCs w:val="21"/>
                <w:u w:val="none" w:color="auto"/>
                <w:vertAlign w:val="baseline"/>
                <w:lang w:val="en-US" w:eastAsia="zh-CN"/>
              </w:rPr>
              <w:t>最大储存量已折算为</w:t>
            </w:r>
            <w:r>
              <w:rPr>
                <w:rFonts w:hint="eastAsia" w:ascii="Times New Roman" w:hAnsi="Times New Roman" w:eastAsia="宋体" w:cs="Times New Roman"/>
                <w:color w:val="000000"/>
                <w:sz w:val="21"/>
                <w:szCs w:val="21"/>
                <w:u w:val="none" w:color="auto"/>
                <w:vertAlign w:val="baseline"/>
                <w:lang w:val="en-US" w:eastAsia="zh-CN"/>
              </w:rPr>
              <w:t>NMP</w:t>
            </w:r>
            <w:r>
              <w:rPr>
                <w:rFonts w:hint="eastAsia" w:cs="Times New Roman"/>
                <w:color w:val="000000"/>
                <w:sz w:val="21"/>
                <w:szCs w:val="21"/>
                <w:u w:val="none" w:color="auto"/>
                <w:vertAlign w:val="baseline"/>
                <w:lang w:val="en-US" w:eastAsia="zh-CN"/>
              </w:rPr>
              <w:t>纯物质的量；镍钴锰酸锂以及锰酸锂中重金属已折算为</w:t>
            </w:r>
            <w:r>
              <w:rPr>
                <w:rFonts w:hint="eastAsia" w:ascii="Times New Roman" w:hAnsi="Times New Roman" w:eastAsia="宋体" w:cs="Times New Roman"/>
                <w:color w:val="000000"/>
                <w:kern w:val="0"/>
                <w:sz w:val="21"/>
                <w:szCs w:val="21"/>
                <w:u w:val="none" w:color="auto"/>
                <w:shd w:val="clear" w:color="auto" w:fill="FFFFFF"/>
                <w:lang w:bidi="ar"/>
              </w:rPr>
              <w:t>锰及其化合物（以锰计）</w:t>
            </w:r>
            <w:r>
              <w:rPr>
                <w:rFonts w:hint="eastAsia" w:cs="Times New Roman"/>
                <w:color w:val="000000"/>
                <w:kern w:val="0"/>
                <w:sz w:val="21"/>
                <w:szCs w:val="21"/>
                <w:u w:val="none" w:color="auto"/>
                <w:shd w:val="clear" w:color="auto" w:fill="FFFFFF"/>
                <w:lang w:val="en-US" w:eastAsia="zh-CN" w:bidi="ar"/>
              </w:rPr>
              <w:t>和</w:t>
            </w:r>
            <w:r>
              <w:rPr>
                <w:rFonts w:hint="eastAsia" w:ascii="Times New Roman" w:hAnsi="Times New Roman" w:eastAsia="宋体" w:cs="Times New Roman"/>
                <w:color w:val="000000"/>
                <w:kern w:val="0"/>
                <w:sz w:val="21"/>
                <w:szCs w:val="21"/>
                <w:u w:val="none" w:color="auto"/>
                <w:shd w:val="clear" w:color="auto" w:fill="FFFFFF"/>
                <w:lang w:bidi="ar"/>
              </w:rPr>
              <w:t>镍及其化合物（以镍计）</w:t>
            </w:r>
            <w:r>
              <w:rPr>
                <w:rFonts w:hint="eastAsia" w:cs="Times New Roman"/>
                <w:color w:val="000000"/>
                <w:kern w:val="0"/>
                <w:sz w:val="21"/>
                <w:szCs w:val="21"/>
                <w:u w:val="none" w:color="auto"/>
                <w:shd w:val="clear" w:color="auto" w:fill="FFFFFF"/>
                <w:lang w:eastAsia="zh-CN" w:bidi="ar"/>
              </w:rPr>
              <w:t>。</w:t>
            </w:r>
          </w:p>
        </w:tc>
      </w:tr>
    </w:tbl>
    <w:p w14:paraId="0A1E6326">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480" w:firstLineChars="200"/>
        <w:textAlignment w:val="auto"/>
        <w:rPr>
          <w:rFonts w:hint="eastAsia" w:ascii="Times New Roman" w:hAnsi="Times New Roman" w:eastAsia="宋体" w:cs="Times New Roman"/>
          <w:color w:val="000000"/>
          <w:sz w:val="24"/>
          <w:szCs w:val="24"/>
          <w:u w:val="none" w:color="auto"/>
          <w:lang w:val="en-US" w:eastAsia="zh-CN"/>
        </w:rPr>
      </w:pPr>
      <w:r>
        <w:rPr>
          <w:rFonts w:hint="eastAsia" w:ascii="Times New Roman" w:hAnsi="Times New Roman" w:eastAsia="宋体" w:cs="Times New Roman"/>
          <w:color w:val="000000"/>
          <w:sz w:val="24"/>
          <w:szCs w:val="24"/>
          <w:u w:val="none" w:color="auto"/>
          <w:lang w:val="en-US" w:eastAsia="zh-CN"/>
        </w:rPr>
        <w:t>生产工艺特点</w:t>
      </w:r>
    </w:p>
    <w:p w14:paraId="025E749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color w:val="000000"/>
          <w:sz w:val="24"/>
          <w:szCs w:val="24"/>
          <w:u w:val="none" w:color="auto"/>
          <w:lang w:val="en-US" w:eastAsia="zh-CN"/>
        </w:rPr>
      </w:pPr>
      <w:r>
        <w:rPr>
          <w:rFonts w:hint="eastAsia" w:ascii="Times New Roman" w:hAnsi="Times New Roman" w:eastAsia="宋体" w:cs="Times New Roman"/>
          <w:color w:val="000000"/>
          <w:sz w:val="24"/>
          <w:szCs w:val="24"/>
          <w:u w:val="none" w:color="auto"/>
          <w:lang w:val="en-US" w:eastAsia="zh-CN"/>
        </w:rPr>
        <w:t>本项目生产工艺过程不涉及高温（</w:t>
      </w:r>
      <w:r>
        <w:rPr>
          <w:rFonts w:hint="default" w:ascii="Times New Roman" w:hAnsi="Times New Roman" w:eastAsia="宋体" w:cs="Times New Roman"/>
          <w:color w:val="000000"/>
          <w:sz w:val="24"/>
          <w:szCs w:val="24"/>
          <w:u w:val="none" w:color="auto"/>
          <w:lang w:val="en-US" w:eastAsia="zh-CN"/>
        </w:rPr>
        <w:t>≥300℃</w:t>
      </w:r>
      <w:r>
        <w:rPr>
          <w:rFonts w:hint="eastAsia" w:ascii="Times New Roman" w:hAnsi="Times New Roman" w:eastAsia="宋体" w:cs="Times New Roman"/>
          <w:color w:val="000000"/>
          <w:sz w:val="24"/>
          <w:szCs w:val="24"/>
          <w:u w:val="none" w:color="auto"/>
          <w:lang w:val="en-US" w:eastAsia="zh-CN"/>
        </w:rPr>
        <w:t>）的操作条件，不涉及高压（</w:t>
      </w:r>
      <w:r>
        <w:rPr>
          <w:rFonts w:hint="default" w:ascii="Times New Roman" w:hAnsi="Times New Roman" w:eastAsia="宋体" w:cs="Times New Roman"/>
          <w:color w:val="000000"/>
          <w:sz w:val="24"/>
          <w:szCs w:val="24"/>
          <w:u w:val="none" w:color="auto"/>
          <w:lang w:val="en-US" w:eastAsia="zh-CN"/>
        </w:rPr>
        <w:t>(≥10.0MPa</w:t>
      </w:r>
      <w:r>
        <w:rPr>
          <w:rFonts w:hint="eastAsia" w:ascii="Times New Roman" w:hAnsi="Times New Roman" w:eastAsia="宋体" w:cs="Times New Roman"/>
          <w:color w:val="000000"/>
          <w:sz w:val="24"/>
          <w:szCs w:val="24"/>
          <w:u w:val="none" w:color="auto"/>
          <w:lang w:val="en-US" w:eastAsia="zh-CN"/>
        </w:rPr>
        <w:t>）的操作条件。</w:t>
      </w:r>
    </w:p>
    <w:p w14:paraId="2680B3A8">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Times New Roman" w:hAnsi="Times New Roman" w:eastAsia="宋体" w:cs="Times New Roman"/>
          <w:b/>
          <w:snapToGrid w:val="0"/>
          <w:color w:val="000000"/>
          <w:kern w:val="21"/>
          <w:sz w:val="28"/>
          <w:szCs w:val="28"/>
          <w:u w:val="none" w:color="auto"/>
          <w:lang w:val="en-US" w:eastAsia="zh-CN"/>
        </w:rPr>
      </w:pPr>
      <w:r>
        <w:rPr>
          <w:rFonts w:hint="eastAsia" w:ascii="Times New Roman" w:hAnsi="Times New Roman" w:eastAsia="宋体" w:cs="Times New Roman"/>
          <w:b/>
          <w:snapToGrid w:val="0"/>
          <w:color w:val="000000"/>
          <w:kern w:val="21"/>
          <w:sz w:val="28"/>
          <w:szCs w:val="28"/>
          <w:u w:val="none" w:color="auto"/>
          <w:lang w:val="en-US" w:eastAsia="zh-CN"/>
        </w:rPr>
        <w:t>2</w:t>
      </w:r>
      <w:r>
        <w:rPr>
          <w:rFonts w:hint="eastAsia" w:ascii="Times New Roman" w:hAnsi="Times New Roman" w:eastAsia="宋体" w:cs="Times New Roman"/>
          <w:b/>
          <w:snapToGrid w:val="0"/>
          <w:color w:val="000000"/>
          <w:kern w:val="21"/>
          <w:sz w:val="28"/>
          <w:szCs w:val="28"/>
          <w:u w:val="none" w:color="auto"/>
        </w:rPr>
        <w:t>.</w:t>
      </w:r>
      <w:r>
        <w:rPr>
          <w:rFonts w:hint="eastAsia" w:ascii="Times New Roman" w:hAnsi="Times New Roman" w:eastAsia="宋体" w:cs="Times New Roman"/>
          <w:b/>
          <w:snapToGrid w:val="0"/>
          <w:color w:val="000000"/>
          <w:kern w:val="21"/>
          <w:sz w:val="28"/>
          <w:szCs w:val="28"/>
          <w:u w:val="none" w:color="auto"/>
          <w:lang w:val="en-US" w:eastAsia="zh-CN"/>
        </w:rPr>
        <w:t>2环境敏感目标</w:t>
      </w:r>
    </w:p>
    <w:p w14:paraId="67E87C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textAlignment w:val="auto"/>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根据对企业周边5km环境敏感目标的调查可知，居住区、医疗卫生、文化教育、科研、行政办公等机构人口总数大于5万人，最近的居民点</w:t>
      </w:r>
      <w:r>
        <w:rPr>
          <w:rFonts w:hint="eastAsia" w:ascii="Times New Roman" w:hAnsi="Times New Roman" w:eastAsia="宋体" w:cs="Times New Roman"/>
          <w:color w:val="000000"/>
          <w:sz w:val="24"/>
          <w:szCs w:val="24"/>
          <w:u w:val="none" w:color="auto"/>
          <w:lang w:val="en-US" w:eastAsia="zh-CN"/>
        </w:rPr>
        <w:t>为本项目厂界东南侧280m处的刘堤村</w:t>
      </w:r>
      <w:r>
        <w:rPr>
          <w:rFonts w:hint="default" w:ascii="Times New Roman" w:hAnsi="Times New Roman" w:eastAsia="宋体" w:cs="Times New Roman"/>
          <w:color w:val="000000"/>
          <w:sz w:val="24"/>
          <w:szCs w:val="24"/>
          <w:u w:val="none" w:color="auto"/>
          <w:lang w:val="en-US" w:eastAsia="zh-CN"/>
        </w:rPr>
        <w:t>。拟建项目环境敏感目标分布信息见表</w:t>
      </w:r>
      <w:r>
        <w:rPr>
          <w:rFonts w:hint="eastAsia" w:ascii="Times New Roman" w:hAnsi="Times New Roman" w:eastAsia="宋体" w:cs="Times New Roman"/>
          <w:color w:val="000000"/>
          <w:sz w:val="24"/>
          <w:szCs w:val="24"/>
          <w:u w:val="none" w:color="auto"/>
          <w:lang w:val="en-US" w:eastAsia="zh-CN"/>
        </w:rPr>
        <w:t>15</w:t>
      </w:r>
      <w:r>
        <w:rPr>
          <w:rFonts w:hint="default" w:ascii="Times New Roman" w:hAnsi="Times New Roman" w:eastAsia="宋体" w:cs="Times New Roman"/>
          <w:color w:val="000000"/>
          <w:sz w:val="24"/>
          <w:szCs w:val="24"/>
          <w:u w:val="none" w:color="auto"/>
          <w:lang w:val="en-US" w:eastAsia="zh-CN"/>
        </w:rPr>
        <w:t>，拟建项目环境敏感目标区位分布见图</w:t>
      </w:r>
      <w:r>
        <w:rPr>
          <w:rFonts w:hint="eastAsia" w:ascii="Times New Roman" w:hAnsi="Times New Roman" w:eastAsia="宋体" w:cs="Times New Roman"/>
          <w:color w:val="000000"/>
          <w:sz w:val="24"/>
          <w:szCs w:val="24"/>
          <w:u w:val="none" w:color="auto"/>
          <w:lang w:val="en-US" w:eastAsia="zh-CN"/>
        </w:rPr>
        <w:t>2</w:t>
      </w:r>
      <w:r>
        <w:rPr>
          <w:rFonts w:hint="default" w:ascii="Times New Roman" w:hAnsi="Times New Roman" w:eastAsia="宋体" w:cs="Times New Roman"/>
          <w:color w:val="000000"/>
          <w:sz w:val="24"/>
          <w:szCs w:val="24"/>
          <w:u w:val="none" w:color="auto"/>
          <w:lang w:val="en-US" w:eastAsia="zh-CN"/>
        </w:rPr>
        <w:t>。</w:t>
      </w:r>
    </w:p>
    <w:p w14:paraId="6229873B">
      <w:pPr>
        <w:keepNext w:val="0"/>
        <w:keepLines w:val="0"/>
        <w:pageBreakBefore w:val="0"/>
        <w:numPr>
          <w:ilvl w:val="0"/>
          <w:numId w:val="4"/>
        </w:numPr>
        <w:kinsoku/>
        <w:wordWrap/>
        <w:overflowPunct/>
        <w:topLinePunct w:val="0"/>
        <w:autoSpaceDE/>
        <w:autoSpaceDN/>
        <w:bidi w:val="0"/>
        <w:adjustRightInd/>
        <w:snapToGrid/>
        <w:spacing w:line="440" w:lineRule="exact"/>
        <w:textAlignment w:val="auto"/>
        <w:outlineLvl w:val="0"/>
        <w:rPr>
          <w:rFonts w:hint="default" w:ascii="Times New Roman" w:hAnsi="Times New Roman" w:eastAsia="宋体" w:cs="Times New Roman"/>
          <w:b/>
          <w:color w:val="auto"/>
          <w:spacing w:val="0"/>
          <w:w w:val="100"/>
          <w:kern w:val="21"/>
          <w:position w:val="0"/>
          <w:sz w:val="30"/>
          <w:szCs w:val="30"/>
          <w:u w:val="none" w:color="auto"/>
        </w:rPr>
      </w:pPr>
      <w:r>
        <w:rPr>
          <w:rFonts w:hint="default" w:ascii="Times New Roman" w:hAnsi="Times New Roman" w:eastAsia="宋体" w:cs="Times New Roman"/>
          <w:b/>
          <w:color w:val="auto"/>
          <w:spacing w:val="0"/>
          <w:w w:val="100"/>
          <w:kern w:val="21"/>
          <w:position w:val="0"/>
          <w:sz w:val="30"/>
          <w:szCs w:val="30"/>
          <w:u w:val="none" w:color="auto"/>
        </w:rPr>
        <w:t>风险潜势初判</w:t>
      </w:r>
    </w:p>
    <w:p w14:paraId="23EA63F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color w:val="000000"/>
          <w:spacing w:val="0"/>
          <w:w w:val="100"/>
          <w:kern w:val="21"/>
          <w:position w:val="0"/>
          <w:sz w:val="24"/>
          <w:u w:val="none" w:color="auto"/>
        </w:rPr>
      </w:pPr>
      <w:r>
        <w:rPr>
          <w:rFonts w:hint="default" w:ascii="Times New Roman" w:hAnsi="Times New Roman" w:eastAsia="宋体" w:cs="Times New Roman"/>
          <w:color w:val="000000"/>
          <w:spacing w:val="0"/>
          <w:w w:val="100"/>
          <w:kern w:val="21"/>
          <w:position w:val="0"/>
          <w:sz w:val="24"/>
          <w:u w:val="none" w:color="auto"/>
        </w:rPr>
        <w:t>根据《建设项目环境风险评价技术导则》（HJ169-2018），建设项目环境风险潜势划分为I、II、III、Ⅳ/Ⅳ</w:t>
      </w:r>
      <w:r>
        <w:rPr>
          <w:rFonts w:hint="default" w:ascii="Times New Roman" w:hAnsi="Times New Roman" w:eastAsia="宋体" w:cs="Times New Roman"/>
          <w:color w:val="000000"/>
          <w:spacing w:val="0"/>
          <w:w w:val="100"/>
          <w:kern w:val="21"/>
          <w:position w:val="0"/>
          <w:sz w:val="24"/>
          <w:u w:val="none" w:color="auto"/>
          <w:vertAlign w:val="superscript"/>
        </w:rPr>
        <w:t>+</w:t>
      </w:r>
      <w:r>
        <w:rPr>
          <w:rFonts w:hint="default" w:ascii="Times New Roman" w:hAnsi="Times New Roman" w:eastAsia="宋体" w:cs="Times New Roman"/>
          <w:color w:val="000000"/>
          <w:spacing w:val="0"/>
          <w:w w:val="100"/>
          <w:kern w:val="21"/>
          <w:position w:val="0"/>
          <w:sz w:val="24"/>
          <w:u w:val="none" w:color="auto"/>
        </w:rPr>
        <w:t>级。</w:t>
      </w:r>
    </w:p>
    <w:p w14:paraId="0020BC6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color w:val="000000"/>
          <w:spacing w:val="0"/>
          <w:w w:val="100"/>
          <w:kern w:val="21"/>
          <w:position w:val="0"/>
          <w:sz w:val="24"/>
          <w:u w:val="none" w:color="auto"/>
        </w:rPr>
      </w:pPr>
      <w:r>
        <w:rPr>
          <w:rFonts w:hint="default" w:ascii="Times New Roman" w:hAnsi="Times New Roman" w:eastAsia="宋体" w:cs="Times New Roman"/>
          <w:color w:val="000000"/>
          <w:spacing w:val="0"/>
          <w:w w:val="100"/>
          <w:kern w:val="21"/>
          <w:position w:val="0"/>
          <w:sz w:val="24"/>
          <w:u w:val="none" w:color="auto"/>
        </w:rPr>
        <w:t>根据建设项目涉及的物质和工艺系统的危险性及其所在地的环境敏感程度，结合事故情形下环境影响途径，对建设项目潜在环境危害程度进行概化分析，按下表确定环境风险潜势。</w:t>
      </w:r>
    </w:p>
    <w:p w14:paraId="73625FE6">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建设项目环境潜势划分</w:t>
      </w:r>
    </w:p>
    <w:tbl>
      <w:tblPr>
        <w:tblStyle w:val="3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21"/>
        <w:gridCol w:w="1776"/>
        <w:gridCol w:w="1780"/>
        <w:gridCol w:w="1776"/>
        <w:gridCol w:w="1787"/>
      </w:tblGrid>
      <w:tr w14:paraId="4416A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8"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D6F12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t>环境敏感程度E</w:t>
            </w:r>
          </w:p>
        </w:tc>
        <w:tc>
          <w:tcPr>
            <w:tcW w:w="3851" w:type="pct"/>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9557B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t>危险物质及工艺系统危害性P</w:t>
            </w:r>
          </w:p>
        </w:tc>
      </w:tr>
      <w:tr w14:paraId="00011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8" w:type="pct"/>
            <w:vMerge w:val="continue"/>
            <w:tcBorders>
              <w:top w:val="nil"/>
              <w:left w:val="single" w:color="000000" w:sz="4" w:space="0"/>
              <w:bottom w:val="single" w:color="000000" w:sz="4" w:space="0"/>
              <w:right w:val="single" w:color="000000" w:sz="4" w:space="0"/>
              <w:tl2br w:val="nil"/>
              <w:tr2bl w:val="nil"/>
            </w:tcBorders>
            <w:noWrap w:val="0"/>
            <w:vAlign w:val="center"/>
          </w:tcPr>
          <w:p w14:paraId="1482E78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pPr>
          </w:p>
        </w:tc>
        <w:tc>
          <w:tcPr>
            <w:tcW w:w="96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34A6C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t>极高危害P1</w:t>
            </w:r>
          </w:p>
        </w:tc>
        <w:tc>
          <w:tcPr>
            <w:tcW w:w="96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231D92">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t>高度危害P2</w:t>
            </w:r>
          </w:p>
        </w:tc>
        <w:tc>
          <w:tcPr>
            <w:tcW w:w="96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0BF7C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t>中度危害P3</w:t>
            </w:r>
          </w:p>
        </w:tc>
        <w:tc>
          <w:tcPr>
            <w:tcW w:w="96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A9639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snapToGrid w:val="0"/>
                <w:color w:val="auto"/>
                <w:spacing w:val="0"/>
                <w:w w:val="100"/>
                <w:kern w:val="21"/>
                <w:position w:val="0"/>
                <w:sz w:val="21"/>
                <w:szCs w:val="21"/>
                <w:u w:val="none" w:color="auto"/>
                <w:shd w:val="clear" w:color="auto" w:fill="FFFFFF"/>
                <w:lang w:val="en-US" w:eastAsia="zh-CN" w:bidi="ar-SA"/>
              </w:rPr>
              <w:t>轻度危害P4</w:t>
            </w:r>
          </w:p>
        </w:tc>
      </w:tr>
      <w:tr w14:paraId="75F2D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4CD1F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环境高度敏感区E1</w:t>
            </w:r>
          </w:p>
        </w:tc>
        <w:tc>
          <w:tcPr>
            <w:tcW w:w="96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CEA5C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Ⅳ</w:t>
            </w: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vertAlign w:val="superscript"/>
                <w:lang w:val="en-US" w:eastAsia="zh-CN" w:bidi="ar-SA"/>
              </w:rPr>
              <w:t>+</w:t>
            </w:r>
          </w:p>
        </w:tc>
        <w:tc>
          <w:tcPr>
            <w:tcW w:w="96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4FB28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Ⅳ</w:t>
            </w:r>
          </w:p>
        </w:tc>
        <w:tc>
          <w:tcPr>
            <w:tcW w:w="96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6C8A7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Ⅲ</w:t>
            </w:r>
          </w:p>
        </w:tc>
        <w:tc>
          <w:tcPr>
            <w:tcW w:w="96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0BCD1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Ⅲ</w:t>
            </w:r>
          </w:p>
        </w:tc>
      </w:tr>
      <w:tr w14:paraId="4B77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219F1C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环境中度敏感区E2</w:t>
            </w:r>
          </w:p>
        </w:tc>
        <w:tc>
          <w:tcPr>
            <w:tcW w:w="96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504D3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Ⅳ</w:t>
            </w:r>
          </w:p>
        </w:tc>
        <w:tc>
          <w:tcPr>
            <w:tcW w:w="96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6C82C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Ⅲ</w:t>
            </w:r>
          </w:p>
        </w:tc>
        <w:tc>
          <w:tcPr>
            <w:tcW w:w="96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07F79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Ⅲ</w:t>
            </w:r>
          </w:p>
        </w:tc>
        <w:tc>
          <w:tcPr>
            <w:tcW w:w="96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05D43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Ⅱ</w:t>
            </w:r>
          </w:p>
        </w:tc>
      </w:tr>
      <w:tr w14:paraId="03584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14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DBA37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环境轻度敏感区E3</w:t>
            </w:r>
          </w:p>
        </w:tc>
        <w:tc>
          <w:tcPr>
            <w:tcW w:w="96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67F4C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Ⅲ</w:t>
            </w:r>
          </w:p>
        </w:tc>
        <w:tc>
          <w:tcPr>
            <w:tcW w:w="96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F9C2F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Ⅲ</w:t>
            </w:r>
          </w:p>
        </w:tc>
        <w:tc>
          <w:tcPr>
            <w:tcW w:w="96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91304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Ⅱ</w:t>
            </w:r>
          </w:p>
        </w:tc>
        <w:tc>
          <w:tcPr>
            <w:tcW w:w="96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2AE51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Ⅰ</w:t>
            </w:r>
          </w:p>
        </w:tc>
      </w:tr>
      <w:tr w14:paraId="49CED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000" w:type="pct"/>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35235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注：Ⅳ</w:t>
            </w: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vertAlign w:val="superscript"/>
                <w:lang w:val="en-US" w:eastAsia="zh-CN" w:bidi="ar-SA"/>
              </w:rPr>
              <w:t>+</w:t>
            </w:r>
            <w:r>
              <w:rPr>
                <w:rFonts w:hint="default" w:ascii="Times New Roman" w:hAnsi="Times New Roman" w:eastAsia="宋体" w:cs="Times New Roman"/>
                <w:bCs/>
                <w:snapToGrid w:val="0"/>
                <w:color w:val="auto"/>
                <w:spacing w:val="0"/>
                <w:w w:val="100"/>
                <w:kern w:val="21"/>
                <w:position w:val="0"/>
                <w:sz w:val="21"/>
                <w:szCs w:val="21"/>
                <w:u w:val="none" w:color="auto"/>
                <w:shd w:val="clear" w:color="auto" w:fill="FFFFFF"/>
                <w:lang w:val="en-US" w:eastAsia="zh-CN" w:bidi="ar-SA"/>
              </w:rPr>
              <w:t>为极高环境风险</w:t>
            </w:r>
          </w:p>
        </w:tc>
      </w:tr>
    </w:tbl>
    <w:p w14:paraId="3BF81983">
      <w:pPr>
        <w:bidi w:val="0"/>
        <w:spacing w:line="460" w:lineRule="exact"/>
        <w:ind w:left="0" w:leftChars="0" w:firstLine="0" w:firstLineChars="0"/>
        <w:rPr>
          <w:rFonts w:hint="default" w:ascii="Times New Roman" w:hAnsi="Times New Roman" w:eastAsia="宋体" w:cs="Times New Roman"/>
          <w:b/>
          <w:bCs/>
          <w:color w:val="auto"/>
          <w:spacing w:val="0"/>
          <w:w w:val="100"/>
          <w:kern w:val="21"/>
          <w:position w:val="0"/>
          <w:sz w:val="28"/>
          <w:szCs w:val="28"/>
          <w:u w:val="none" w:color="auto"/>
          <w:lang w:val="en-US" w:eastAsia="zh-CN"/>
        </w:rPr>
      </w:pPr>
      <w:r>
        <w:rPr>
          <w:rFonts w:hint="eastAsia" w:ascii="Times New Roman" w:hAnsi="Times New Roman" w:eastAsia="宋体" w:cs="Times New Roman"/>
          <w:b/>
          <w:bCs/>
          <w:color w:val="auto"/>
          <w:spacing w:val="0"/>
          <w:w w:val="100"/>
          <w:kern w:val="21"/>
          <w:position w:val="0"/>
          <w:sz w:val="28"/>
          <w:szCs w:val="28"/>
          <w:u w:val="none" w:color="auto"/>
          <w:lang w:val="en-US" w:eastAsia="zh-CN"/>
        </w:rPr>
        <w:t>3</w:t>
      </w:r>
      <w:r>
        <w:rPr>
          <w:rFonts w:hint="default" w:ascii="Times New Roman" w:hAnsi="Times New Roman" w:eastAsia="宋体" w:cs="Times New Roman"/>
          <w:b/>
          <w:bCs/>
          <w:color w:val="auto"/>
          <w:spacing w:val="0"/>
          <w:w w:val="100"/>
          <w:kern w:val="21"/>
          <w:position w:val="0"/>
          <w:sz w:val="28"/>
          <w:szCs w:val="28"/>
          <w:u w:val="none" w:color="auto"/>
          <w:lang w:val="en-US" w:eastAsia="zh-CN"/>
        </w:rPr>
        <w:t>.1危险物质及工艺系统危险性（P）的分级</w:t>
      </w:r>
    </w:p>
    <w:p w14:paraId="635CF23E">
      <w:pPr>
        <w:spacing w:line="460" w:lineRule="exact"/>
        <w:ind w:firstLine="480" w:firstLineChars="200"/>
        <w:rPr>
          <w:rFonts w:hint="default" w:ascii="Times New Roman" w:hAnsi="Times New Roman" w:eastAsia="宋体" w:cs="Times New Roman"/>
          <w:color w:val="000000"/>
          <w:spacing w:val="0"/>
          <w:w w:val="100"/>
          <w:kern w:val="21"/>
          <w:position w:val="0"/>
          <w:sz w:val="24"/>
          <w:u w:val="none" w:color="auto"/>
        </w:rPr>
      </w:pPr>
      <w:r>
        <w:rPr>
          <w:rFonts w:hint="default" w:ascii="Times New Roman" w:hAnsi="Times New Roman" w:eastAsia="宋体" w:cs="Times New Roman"/>
          <w:color w:val="000000"/>
          <w:spacing w:val="0"/>
          <w:w w:val="100"/>
          <w:kern w:val="21"/>
          <w:position w:val="0"/>
          <w:sz w:val="24"/>
          <w:u w:val="none" w:color="auto"/>
        </w:rPr>
        <w:t>根据《建设项目环境风险评价技术导则》（HJ169-2018），危险物质及工艺系统危害性（P）应根据危险物质数量与临界量的比值（Q）和行业及生产工艺（M）共同确定。</w:t>
      </w:r>
    </w:p>
    <w:p w14:paraId="3E2F4A47">
      <w:pPr>
        <w:bidi w:val="0"/>
        <w:spacing w:line="460" w:lineRule="exact"/>
        <w:ind w:left="0" w:leftChars="0" w:firstLine="0" w:firstLineChars="0"/>
        <w:rPr>
          <w:rFonts w:hint="default" w:ascii="Times New Roman" w:hAnsi="Times New Roman" w:eastAsia="宋体" w:cs="Times New Roman"/>
          <w:b/>
          <w:bCs/>
          <w:color w:val="auto"/>
          <w:spacing w:val="0"/>
          <w:w w:val="100"/>
          <w:kern w:val="21"/>
          <w:position w:val="0"/>
          <w:sz w:val="28"/>
          <w:szCs w:val="28"/>
          <w:u w:val="none" w:color="auto"/>
          <w:lang w:val="en-US" w:eastAsia="zh-CN"/>
        </w:rPr>
      </w:pPr>
      <w:r>
        <w:rPr>
          <w:rFonts w:hint="eastAsia" w:ascii="Times New Roman" w:hAnsi="Times New Roman" w:eastAsia="宋体" w:cs="Times New Roman"/>
          <w:b/>
          <w:bCs/>
          <w:color w:val="auto"/>
          <w:spacing w:val="0"/>
          <w:w w:val="100"/>
          <w:kern w:val="21"/>
          <w:position w:val="0"/>
          <w:sz w:val="28"/>
          <w:szCs w:val="28"/>
          <w:u w:val="none" w:color="auto"/>
          <w:lang w:val="en-US" w:eastAsia="zh-CN"/>
        </w:rPr>
        <w:t>3.2</w:t>
      </w:r>
      <w:r>
        <w:rPr>
          <w:rFonts w:hint="default" w:ascii="Times New Roman" w:hAnsi="Times New Roman" w:eastAsia="宋体" w:cs="Times New Roman"/>
          <w:b/>
          <w:bCs/>
          <w:color w:val="auto"/>
          <w:spacing w:val="0"/>
          <w:w w:val="100"/>
          <w:kern w:val="21"/>
          <w:position w:val="0"/>
          <w:sz w:val="28"/>
          <w:szCs w:val="28"/>
          <w:u w:val="none" w:color="auto"/>
          <w:lang w:val="en-US" w:eastAsia="zh-CN"/>
        </w:rPr>
        <w:t>危险物质数量及临界值比值（Q）</w:t>
      </w:r>
    </w:p>
    <w:p w14:paraId="1AB933A5">
      <w:pPr>
        <w:spacing w:line="460" w:lineRule="exact"/>
        <w:ind w:firstLine="480" w:firstLineChars="200"/>
        <w:rPr>
          <w:rFonts w:hint="default" w:ascii="Times New Roman" w:hAnsi="Times New Roman" w:eastAsia="宋体" w:cs="Times New Roman"/>
          <w:color w:val="000000"/>
          <w:spacing w:val="0"/>
          <w:w w:val="100"/>
          <w:kern w:val="21"/>
          <w:position w:val="0"/>
          <w:sz w:val="24"/>
          <w:u w:val="none" w:color="auto"/>
        </w:rPr>
      </w:pPr>
      <w:r>
        <w:rPr>
          <w:rFonts w:hint="default" w:ascii="Times New Roman" w:hAnsi="Times New Roman" w:eastAsia="宋体" w:cs="Times New Roman"/>
          <w:color w:val="000000"/>
          <w:spacing w:val="0"/>
          <w:w w:val="100"/>
          <w:kern w:val="21"/>
          <w:position w:val="0"/>
          <w:sz w:val="24"/>
          <w:u w:val="none" w:color="auto"/>
        </w:rPr>
        <w:t>计算所涉及的每种危险物质在厂界内的最大存在总量与其在附录B中对应临界量的比值Q。在不同厂区的同一种物质，按其在厂界内的最大存在总量计算。按照根据《建设项目环境风险评价技术导则》（HJ169-2018）附录C，当存在多种危险物质时，Q按下式进行计算：</w:t>
      </w:r>
    </w:p>
    <w:p w14:paraId="69F27853">
      <w:pPr>
        <w:spacing w:line="460" w:lineRule="exact"/>
        <w:ind w:firstLine="480" w:firstLineChars="200"/>
        <w:rPr>
          <w:rFonts w:hint="default" w:ascii="Times New Roman" w:hAnsi="Times New Roman" w:eastAsia="宋体" w:cs="Times New Roman"/>
          <w:color w:val="000000"/>
          <w:spacing w:val="0"/>
          <w:w w:val="100"/>
          <w:kern w:val="21"/>
          <w:position w:val="0"/>
          <w:sz w:val="24"/>
          <w:u w:val="none" w:color="auto"/>
        </w:rPr>
      </w:pPr>
      <w:r>
        <w:rPr>
          <w:rFonts w:hint="default" w:ascii="Times New Roman" w:hAnsi="Times New Roman" w:eastAsia="宋体" w:cs="Times New Roman"/>
          <w:color w:val="000000"/>
          <w:spacing w:val="0"/>
          <w:w w:val="100"/>
          <w:kern w:val="21"/>
          <w:position w:val="0"/>
          <w:sz w:val="24"/>
          <w:u w:val="none" w:color="auto"/>
        </w:rPr>
        <w:t>Q=q</w:t>
      </w:r>
      <w:r>
        <w:rPr>
          <w:rFonts w:hint="default" w:ascii="Times New Roman" w:hAnsi="Times New Roman" w:eastAsia="宋体" w:cs="Times New Roman"/>
          <w:color w:val="000000"/>
          <w:spacing w:val="0"/>
          <w:w w:val="100"/>
          <w:kern w:val="21"/>
          <w:position w:val="0"/>
          <w:sz w:val="24"/>
          <w:u w:val="none" w:color="auto"/>
          <w:vertAlign w:val="subscript"/>
        </w:rPr>
        <w:t>1</w:t>
      </w:r>
      <w:r>
        <w:rPr>
          <w:rFonts w:hint="default" w:ascii="Times New Roman" w:hAnsi="Times New Roman" w:eastAsia="宋体" w:cs="Times New Roman"/>
          <w:color w:val="000000"/>
          <w:spacing w:val="0"/>
          <w:w w:val="100"/>
          <w:kern w:val="21"/>
          <w:position w:val="0"/>
          <w:sz w:val="24"/>
          <w:u w:val="none" w:color="auto"/>
        </w:rPr>
        <w:t>/Q</w:t>
      </w:r>
      <w:r>
        <w:rPr>
          <w:rFonts w:hint="default" w:ascii="Times New Roman" w:hAnsi="Times New Roman" w:eastAsia="宋体" w:cs="Times New Roman"/>
          <w:color w:val="000000"/>
          <w:spacing w:val="0"/>
          <w:w w:val="100"/>
          <w:kern w:val="21"/>
          <w:position w:val="0"/>
          <w:sz w:val="24"/>
          <w:u w:val="none" w:color="auto"/>
          <w:vertAlign w:val="subscript"/>
        </w:rPr>
        <w:t>1</w:t>
      </w:r>
      <w:r>
        <w:rPr>
          <w:rFonts w:hint="default" w:ascii="Times New Roman" w:hAnsi="Times New Roman" w:eastAsia="宋体" w:cs="Times New Roman"/>
          <w:color w:val="000000"/>
          <w:spacing w:val="0"/>
          <w:w w:val="100"/>
          <w:kern w:val="21"/>
          <w:position w:val="0"/>
          <w:sz w:val="24"/>
          <w:u w:val="none" w:color="auto"/>
        </w:rPr>
        <w:t>+q</w:t>
      </w:r>
      <w:r>
        <w:rPr>
          <w:rFonts w:hint="default" w:ascii="Times New Roman" w:hAnsi="Times New Roman" w:eastAsia="宋体" w:cs="Times New Roman"/>
          <w:color w:val="000000"/>
          <w:spacing w:val="0"/>
          <w:w w:val="100"/>
          <w:kern w:val="21"/>
          <w:position w:val="0"/>
          <w:sz w:val="24"/>
          <w:u w:val="none" w:color="auto"/>
          <w:vertAlign w:val="subscript"/>
        </w:rPr>
        <w:t>2</w:t>
      </w:r>
      <w:r>
        <w:rPr>
          <w:rFonts w:hint="default" w:ascii="Times New Roman" w:hAnsi="Times New Roman" w:eastAsia="宋体" w:cs="Times New Roman"/>
          <w:color w:val="000000"/>
          <w:spacing w:val="0"/>
          <w:w w:val="100"/>
          <w:kern w:val="21"/>
          <w:position w:val="0"/>
          <w:sz w:val="24"/>
          <w:u w:val="none" w:color="auto"/>
        </w:rPr>
        <w:t>/Q</w:t>
      </w:r>
      <w:r>
        <w:rPr>
          <w:rFonts w:hint="default" w:ascii="Times New Roman" w:hAnsi="Times New Roman" w:eastAsia="宋体" w:cs="Times New Roman"/>
          <w:color w:val="000000"/>
          <w:spacing w:val="0"/>
          <w:w w:val="100"/>
          <w:kern w:val="21"/>
          <w:position w:val="0"/>
          <w:sz w:val="24"/>
          <w:u w:val="none" w:color="auto"/>
          <w:vertAlign w:val="subscript"/>
        </w:rPr>
        <w:t>2</w:t>
      </w:r>
      <w:r>
        <w:rPr>
          <w:rFonts w:hint="default" w:ascii="Times New Roman" w:hAnsi="Times New Roman" w:eastAsia="宋体" w:cs="Times New Roman"/>
          <w:color w:val="000000"/>
          <w:spacing w:val="0"/>
          <w:w w:val="100"/>
          <w:kern w:val="21"/>
          <w:position w:val="0"/>
          <w:sz w:val="24"/>
          <w:u w:val="none" w:color="auto"/>
        </w:rPr>
        <w:t>+…+q</w:t>
      </w:r>
      <w:r>
        <w:rPr>
          <w:rFonts w:hint="default" w:ascii="Times New Roman" w:hAnsi="Times New Roman" w:eastAsia="宋体" w:cs="Times New Roman"/>
          <w:color w:val="000000"/>
          <w:spacing w:val="0"/>
          <w:w w:val="100"/>
          <w:kern w:val="21"/>
          <w:position w:val="0"/>
          <w:sz w:val="24"/>
          <w:u w:val="none" w:color="auto"/>
          <w:vertAlign w:val="subscript"/>
        </w:rPr>
        <w:t>n</w:t>
      </w:r>
      <w:r>
        <w:rPr>
          <w:rFonts w:hint="default" w:ascii="Times New Roman" w:hAnsi="Times New Roman" w:eastAsia="宋体" w:cs="Times New Roman"/>
          <w:color w:val="000000"/>
          <w:spacing w:val="0"/>
          <w:w w:val="100"/>
          <w:kern w:val="21"/>
          <w:position w:val="0"/>
          <w:sz w:val="24"/>
          <w:u w:val="none" w:color="auto"/>
        </w:rPr>
        <w:t>/Q</w:t>
      </w:r>
      <w:r>
        <w:rPr>
          <w:rFonts w:hint="default" w:ascii="Times New Roman" w:hAnsi="Times New Roman" w:eastAsia="宋体" w:cs="Times New Roman"/>
          <w:color w:val="000000"/>
          <w:spacing w:val="0"/>
          <w:w w:val="100"/>
          <w:kern w:val="21"/>
          <w:position w:val="0"/>
          <w:sz w:val="24"/>
          <w:u w:val="none" w:color="auto"/>
          <w:vertAlign w:val="subscript"/>
        </w:rPr>
        <w:t>n</w:t>
      </w:r>
    </w:p>
    <w:p w14:paraId="559C6DB0">
      <w:pPr>
        <w:spacing w:line="460" w:lineRule="exact"/>
        <w:ind w:firstLine="480" w:firstLineChars="200"/>
        <w:rPr>
          <w:rFonts w:hint="default" w:ascii="Times New Roman" w:hAnsi="Times New Roman" w:eastAsia="宋体" w:cs="Times New Roman"/>
          <w:color w:val="000000"/>
          <w:spacing w:val="0"/>
          <w:w w:val="100"/>
          <w:kern w:val="21"/>
          <w:position w:val="0"/>
          <w:sz w:val="24"/>
          <w:u w:val="none" w:color="auto"/>
        </w:rPr>
      </w:pPr>
      <w:r>
        <w:rPr>
          <w:rFonts w:hint="default" w:ascii="Times New Roman" w:hAnsi="Times New Roman" w:eastAsia="宋体" w:cs="Times New Roman"/>
          <w:color w:val="000000"/>
          <w:spacing w:val="0"/>
          <w:w w:val="100"/>
          <w:kern w:val="21"/>
          <w:position w:val="0"/>
          <w:sz w:val="24"/>
          <w:u w:val="none" w:color="auto"/>
        </w:rPr>
        <w:t>式中：q</w:t>
      </w:r>
      <w:r>
        <w:rPr>
          <w:rFonts w:hint="default" w:ascii="Times New Roman" w:hAnsi="Times New Roman" w:eastAsia="宋体" w:cs="Times New Roman"/>
          <w:color w:val="000000"/>
          <w:spacing w:val="0"/>
          <w:w w:val="100"/>
          <w:kern w:val="21"/>
          <w:position w:val="0"/>
          <w:sz w:val="24"/>
          <w:u w:val="none" w:color="auto"/>
          <w:vertAlign w:val="subscript"/>
        </w:rPr>
        <w:t>1</w:t>
      </w:r>
      <w:r>
        <w:rPr>
          <w:rFonts w:hint="default" w:ascii="Times New Roman" w:hAnsi="Times New Roman" w:eastAsia="宋体" w:cs="Times New Roman"/>
          <w:color w:val="000000"/>
          <w:spacing w:val="0"/>
          <w:w w:val="100"/>
          <w:kern w:val="21"/>
          <w:position w:val="0"/>
          <w:sz w:val="24"/>
          <w:u w:val="none" w:color="auto"/>
        </w:rPr>
        <w:t>，q</w:t>
      </w:r>
      <w:r>
        <w:rPr>
          <w:rFonts w:hint="default" w:ascii="Times New Roman" w:hAnsi="Times New Roman" w:eastAsia="宋体" w:cs="Times New Roman"/>
          <w:color w:val="000000"/>
          <w:spacing w:val="0"/>
          <w:w w:val="100"/>
          <w:kern w:val="21"/>
          <w:position w:val="0"/>
          <w:sz w:val="24"/>
          <w:u w:val="none" w:color="auto"/>
          <w:vertAlign w:val="subscript"/>
        </w:rPr>
        <w:t>2</w:t>
      </w:r>
      <w:r>
        <w:rPr>
          <w:rFonts w:hint="default" w:ascii="Times New Roman" w:hAnsi="Times New Roman" w:eastAsia="宋体" w:cs="Times New Roman"/>
          <w:color w:val="000000"/>
          <w:spacing w:val="0"/>
          <w:w w:val="100"/>
          <w:kern w:val="21"/>
          <w:position w:val="0"/>
          <w:sz w:val="24"/>
          <w:u w:val="none" w:color="auto"/>
        </w:rPr>
        <w:t>……q</w:t>
      </w:r>
      <w:r>
        <w:rPr>
          <w:rFonts w:hint="default" w:ascii="Times New Roman" w:hAnsi="Times New Roman" w:eastAsia="宋体" w:cs="Times New Roman"/>
          <w:color w:val="000000"/>
          <w:spacing w:val="0"/>
          <w:w w:val="100"/>
          <w:kern w:val="21"/>
          <w:position w:val="0"/>
          <w:sz w:val="24"/>
          <w:u w:val="none" w:color="auto"/>
          <w:vertAlign w:val="subscript"/>
        </w:rPr>
        <w:t>n</w:t>
      </w:r>
      <w:r>
        <w:rPr>
          <w:rFonts w:hint="default" w:ascii="Times New Roman" w:hAnsi="Times New Roman" w:eastAsia="宋体" w:cs="Times New Roman"/>
          <w:color w:val="000000"/>
          <w:spacing w:val="0"/>
          <w:w w:val="100"/>
          <w:kern w:val="21"/>
          <w:position w:val="0"/>
          <w:sz w:val="24"/>
          <w:u w:val="none" w:color="auto"/>
        </w:rPr>
        <w:t>——每种危险物质的最大存在量，t；</w:t>
      </w:r>
    </w:p>
    <w:p w14:paraId="627059B8">
      <w:pPr>
        <w:spacing w:line="460" w:lineRule="exact"/>
        <w:ind w:firstLine="480" w:firstLineChars="200"/>
        <w:rPr>
          <w:rFonts w:hint="default" w:ascii="Times New Roman" w:hAnsi="Times New Roman" w:eastAsia="宋体" w:cs="Times New Roman"/>
          <w:color w:val="000000"/>
          <w:spacing w:val="0"/>
          <w:w w:val="100"/>
          <w:kern w:val="21"/>
          <w:position w:val="0"/>
          <w:sz w:val="24"/>
          <w:u w:val="none" w:color="auto"/>
        </w:rPr>
      </w:pPr>
      <w:r>
        <w:rPr>
          <w:rFonts w:hint="default" w:ascii="Times New Roman" w:hAnsi="Times New Roman" w:eastAsia="宋体" w:cs="Times New Roman"/>
          <w:color w:val="000000"/>
          <w:spacing w:val="0"/>
          <w:w w:val="100"/>
          <w:kern w:val="21"/>
          <w:position w:val="0"/>
          <w:sz w:val="24"/>
          <w:u w:val="none" w:color="auto"/>
        </w:rPr>
        <w:t>Q</w:t>
      </w:r>
      <w:r>
        <w:rPr>
          <w:rFonts w:hint="default" w:ascii="Times New Roman" w:hAnsi="Times New Roman" w:eastAsia="宋体" w:cs="Times New Roman"/>
          <w:color w:val="000000"/>
          <w:spacing w:val="0"/>
          <w:w w:val="100"/>
          <w:kern w:val="21"/>
          <w:position w:val="0"/>
          <w:sz w:val="24"/>
          <w:u w:val="none" w:color="auto"/>
          <w:vertAlign w:val="subscript"/>
        </w:rPr>
        <w:t>1</w:t>
      </w:r>
      <w:r>
        <w:rPr>
          <w:rFonts w:hint="default" w:ascii="Times New Roman" w:hAnsi="Times New Roman" w:eastAsia="宋体" w:cs="Times New Roman"/>
          <w:color w:val="000000"/>
          <w:spacing w:val="0"/>
          <w:w w:val="100"/>
          <w:kern w:val="21"/>
          <w:position w:val="0"/>
          <w:sz w:val="24"/>
          <w:u w:val="none" w:color="auto"/>
        </w:rPr>
        <w:t>，Q</w:t>
      </w:r>
      <w:r>
        <w:rPr>
          <w:rFonts w:hint="default" w:ascii="Times New Roman" w:hAnsi="Times New Roman" w:eastAsia="宋体" w:cs="Times New Roman"/>
          <w:color w:val="000000"/>
          <w:spacing w:val="0"/>
          <w:w w:val="100"/>
          <w:kern w:val="21"/>
          <w:position w:val="0"/>
          <w:sz w:val="24"/>
          <w:u w:val="none" w:color="auto"/>
          <w:vertAlign w:val="subscript"/>
        </w:rPr>
        <w:t>2</w:t>
      </w:r>
      <w:r>
        <w:rPr>
          <w:rFonts w:hint="default" w:ascii="Times New Roman" w:hAnsi="Times New Roman" w:eastAsia="宋体" w:cs="Times New Roman"/>
          <w:color w:val="000000"/>
          <w:spacing w:val="0"/>
          <w:w w:val="100"/>
          <w:kern w:val="21"/>
          <w:position w:val="0"/>
          <w:sz w:val="24"/>
          <w:u w:val="none" w:color="auto"/>
        </w:rPr>
        <w:t>…Q</w:t>
      </w:r>
      <w:r>
        <w:rPr>
          <w:rFonts w:hint="default" w:ascii="Times New Roman" w:hAnsi="Times New Roman" w:eastAsia="宋体" w:cs="Times New Roman"/>
          <w:color w:val="000000"/>
          <w:spacing w:val="0"/>
          <w:w w:val="100"/>
          <w:kern w:val="21"/>
          <w:position w:val="0"/>
          <w:sz w:val="24"/>
          <w:u w:val="none" w:color="auto"/>
          <w:vertAlign w:val="subscript"/>
        </w:rPr>
        <w:t>n</w:t>
      </w:r>
      <w:r>
        <w:rPr>
          <w:rFonts w:hint="default" w:ascii="Times New Roman" w:hAnsi="Times New Roman" w:eastAsia="宋体" w:cs="Times New Roman"/>
          <w:color w:val="000000"/>
          <w:spacing w:val="0"/>
          <w:w w:val="100"/>
          <w:kern w:val="21"/>
          <w:position w:val="0"/>
          <w:sz w:val="24"/>
          <w:u w:val="none" w:color="auto"/>
        </w:rPr>
        <w:t>—每种危险物质的临界量，t。</w:t>
      </w:r>
    </w:p>
    <w:p w14:paraId="51905B43">
      <w:pPr>
        <w:spacing w:line="460" w:lineRule="exact"/>
        <w:ind w:firstLine="480" w:firstLineChars="200"/>
        <w:rPr>
          <w:rFonts w:hint="default" w:ascii="Times New Roman" w:hAnsi="Times New Roman" w:eastAsia="宋体" w:cs="Times New Roman"/>
          <w:color w:val="000000"/>
          <w:spacing w:val="0"/>
          <w:w w:val="100"/>
          <w:kern w:val="21"/>
          <w:position w:val="0"/>
          <w:sz w:val="24"/>
          <w:u w:val="none" w:color="auto"/>
        </w:rPr>
      </w:pPr>
      <w:r>
        <w:rPr>
          <w:rFonts w:hint="default" w:ascii="Times New Roman" w:hAnsi="Times New Roman" w:eastAsia="宋体" w:cs="Times New Roman"/>
          <w:color w:val="000000"/>
          <w:spacing w:val="0"/>
          <w:w w:val="100"/>
          <w:kern w:val="21"/>
          <w:position w:val="0"/>
          <w:sz w:val="24"/>
          <w:u w:val="none" w:color="auto"/>
        </w:rPr>
        <w:t>当Q＜1时，该项目环境风险潜势为Ⅰ；</w:t>
      </w:r>
    </w:p>
    <w:p w14:paraId="492F998E">
      <w:pPr>
        <w:spacing w:line="460" w:lineRule="exact"/>
        <w:ind w:firstLine="480" w:firstLineChars="200"/>
        <w:rPr>
          <w:rFonts w:hint="default" w:ascii="Times New Roman" w:hAnsi="Times New Roman" w:eastAsia="宋体" w:cs="Times New Roman"/>
          <w:color w:val="000000"/>
          <w:spacing w:val="0"/>
          <w:w w:val="100"/>
          <w:kern w:val="21"/>
          <w:position w:val="0"/>
          <w:sz w:val="24"/>
          <w:u w:val="none" w:color="auto"/>
        </w:rPr>
      </w:pPr>
      <w:r>
        <w:rPr>
          <w:rFonts w:hint="default" w:ascii="Times New Roman" w:hAnsi="Times New Roman" w:eastAsia="宋体" w:cs="Times New Roman"/>
          <w:color w:val="000000"/>
          <w:spacing w:val="0"/>
          <w:w w:val="100"/>
          <w:kern w:val="21"/>
          <w:position w:val="0"/>
          <w:sz w:val="24"/>
          <w:u w:val="none" w:color="auto"/>
        </w:rPr>
        <w:t>当Q≥1时，将Q值划分为：（1）1≤Q＜10；（2）10≤Q＜100；（3）Q≥100。</w:t>
      </w:r>
    </w:p>
    <w:p w14:paraId="6A3D0BFA">
      <w:pPr>
        <w:spacing w:line="460" w:lineRule="exact"/>
        <w:ind w:firstLine="480" w:firstLineChars="200"/>
        <w:rPr>
          <w:rFonts w:hint="default" w:ascii="Times New Roman" w:hAnsi="Times New Roman" w:eastAsia="宋体" w:cs="Times New Roman"/>
          <w:color w:val="000000"/>
          <w:spacing w:val="0"/>
          <w:w w:val="100"/>
          <w:kern w:val="21"/>
          <w:position w:val="0"/>
          <w:sz w:val="24"/>
          <w:u w:val="none" w:color="auto"/>
        </w:rPr>
      </w:pPr>
      <w:r>
        <w:rPr>
          <w:rFonts w:hint="default" w:ascii="Times New Roman" w:hAnsi="Times New Roman" w:eastAsia="宋体" w:cs="Times New Roman"/>
          <w:color w:val="000000"/>
          <w:spacing w:val="0"/>
          <w:w w:val="100"/>
          <w:kern w:val="21"/>
          <w:position w:val="0"/>
          <w:sz w:val="24"/>
          <w:u w:val="none" w:color="auto"/>
        </w:rPr>
        <w:t>结合风险物质调查及识别过程结果，根据《建设项目环境风险评价技术导则》（HJ169-2018）附录B，本次项目涉及的危险物质为锰酸锂〔锰及其化合物（以锰计）〕、镍钴锰酸锂〔锰及其化合物（以锰计）、镍及其化合物（以镍计）〕</w:t>
      </w:r>
      <w:r>
        <w:rPr>
          <w:rFonts w:hint="eastAsia" w:ascii="Times New Roman" w:hAnsi="Times New Roman" w:eastAsia="宋体" w:cs="Times New Roman"/>
          <w:color w:val="000000"/>
          <w:spacing w:val="0"/>
          <w:w w:val="100"/>
          <w:kern w:val="21"/>
          <w:position w:val="0"/>
          <w:sz w:val="24"/>
          <w:u w:val="none" w:color="auto"/>
          <w:lang w:eastAsia="zh-CN"/>
        </w:rPr>
        <w:t>，危险物质贮存及厂内分布见表 17。</w:t>
      </w:r>
      <w:r>
        <w:rPr>
          <w:rFonts w:hint="default" w:ascii="Times New Roman" w:hAnsi="Times New Roman" w:eastAsia="宋体" w:cs="Times New Roman"/>
          <w:color w:val="000000"/>
          <w:spacing w:val="0"/>
          <w:w w:val="100"/>
          <w:kern w:val="21"/>
          <w:position w:val="0"/>
          <w:sz w:val="24"/>
          <w:u w:val="none" w:color="auto"/>
        </w:rPr>
        <w:t>。</w:t>
      </w:r>
    </w:p>
    <w:p w14:paraId="48918080">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拟建项目Q值确定表</w:t>
      </w:r>
    </w:p>
    <w:tbl>
      <w:tblPr>
        <w:tblStyle w:val="32"/>
        <w:tblW w:w="484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24"/>
        <w:gridCol w:w="1063"/>
        <w:gridCol w:w="1888"/>
        <w:gridCol w:w="1891"/>
        <w:gridCol w:w="2588"/>
      </w:tblGrid>
      <w:tr w14:paraId="3D199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5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E587E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pacing w:val="0"/>
                <w:w w:val="100"/>
                <w:kern w:val="21"/>
                <w:position w:val="0"/>
                <w:sz w:val="21"/>
                <w:szCs w:val="21"/>
                <w:u w:val="none" w:color="auto"/>
              </w:rPr>
            </w:pPr>
            <w:r>
              <w:rPr>
                <w:rFonts w:hint="eastAsia" w:ascii="Times New Roman" w:hAnsi="Times New Roman" w:eastAsia="宋体" w:cs="Times New Roman"/>
                <w:color w:val="000000"/>
                <w:kern w:val="0"/>
                <w:sz w:val="21"/>
                <w:szCs w:val="21"/>
                <w:u w:val="none" w:color="auto"/>
                <w:shd w:val="clear" w:color="auto" w:fill="FFFFFF"/>
                <w:lang w:bidi="ar"/>
              </w:rPr>
              <w:t>危险物质名称</w:t>
            </w:r>
          </w:p>
        </w:tc>
        <w:tc>
          <w:tcPr>
            <w:tcW w:w="106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D930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pacing w:val="0"/>
                <w:w w:val="100"/>
                <w:kern w:val="21"/>
                <w:position w:val="0"/>
                <w:sz w:val="21"/>
                <w:szCs w:val="21"/>
                <w:u w:val="none" w:color="auto"/>
                <w:lang w:val="en-US" w:eastAsia="zh-CN"/>
              </w:rPr>
            </w:pPr>
            <w:r>
              <w:rPr>
                <w:rFonts w:hint="eastAsia" w:ascii="Times New Roman" w:hAnsi="Times New Roman" w:eastAsia="宋体" w:cs="Times New Roman"/>
                <w:color w:val="000000"/>
                <w:kern w:val="0"/>
                <w:sz w:val="21"/>
                <w:szCs w:val="21"/>
                <w:u w:val="none" w:color="auto"/>
                <w:shd w:val="clear" w:color="auto" w:fill="FFFFFF"/>
                <w:lang w:bidi="ar"/>
              </w:rPr>
              <w:t>CAS号</w:t>
            </w:r>
          </w:p>
        </w:tc>
        <w:tc>
          <w:tcPr>
            <w:tcW w:w="18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09E3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pacing w:val="0"/>
                <w:w w:val="100"/>
                <w:kern w:val="21"/>
                <w:position w:val="0"/>
                <w:sz w:val="21"/>
                <w:szCs w:val="21"/>
                <w:u w:val="none" w:color="auto"/>
              </w:rPr>
            </w:pPr>
            <w:r>
              <w:rPr>
                <w:rFonts w:hint="eastAsia" w:ascii="Times New Roman" w:hAnsi="Times New Roman" w:eastAsia="宋体" w:cs="Times New Roman"/>
                <w:color w:val="000000"/>
                <w:kern w:val="0"/>
                <w:sz w:val="21"/>
                <w:szCs w:val="21"/>
                <w:u w:val="none" w:color="auto"/>
                <w:shd w:val="clear" w:color="auto" w:fill="FFFFFF"/>
                <w:lang w:bidi="ar"/>
              </w:rPr>
              <w:t>最大存在量（</w:t>
            </w:r>
            <w:r>
              <w:rPr>
                <w:rFonts w:ascii="Times New Roman" w:hAnsi="Times New Roman" w:eastAsia="宋体" w:cs="Times New Roman"/>
                <w:color w:val="000000"/>
                <w:kern w:val="0"/>
                <w:sz w:val="21"/>
                <w:szCs w:val="21"/>
                <w:u w:val="none" w:color="auto"/>
                <w:shd w:val="clear" w:color="auto" w:fill="FFFFFF"/>
                <w:lang w:bidi="ar"/>
              </w:rPr>
              <w:t>q</w:t>
            </w:r>
            <w:r>
              <w:rPr>
                <w:rFonts w:ascii="Times New Roman" w:hAnsi="Times New Roman" w:eastAsia="宋体" w:cs="Times New Roman"/>
                <w:color w:val="000000"/>
                <w:kern w:val="0"/>
                <w:sz w:val="21"/>
                <w:szCs w:val="21"/>
                <w:u w:val="none" w:color="auto"/>
                <w:shd w:val="clear" w:color="auto" w:fill="FFFFFF"/>
                <w:vertAlign w:val="subscript"/>
                <w:lang w:bidi="ar"/>
              </w:rPr>
              <w:t>n</w:t>
            </w:r>
            <w:r>
              <w:rPr>
                <w:rFonts w:ascii="Times New Roman" w:hAnsi="Times New Roman" w:eastAsia="宋体" w:cs="Times New Roman"/>
                <w:color w:val="000000"/>
                <w:kern w:val="0"/>
                <w:sz w:val="21"/>
                <w:szCs w:val="21"/>
                <w:u w:val="none" w:color="auto"/>
                <w:shd w:val="clear" w:color="auto" w:fill="FFFFFF"/>
                <w:lang w:bidi="ar"/>
              </w:rPr>
              <w:t>/t</w:t>
            </w:r>
            <w:r>
              <w:rPr>
                <w:rFonts w:hint="eastAsia" w:ascii="Times New Roman" w:hAnsi="Times New Roman" w:eastAsia="宋体" w:cs="Times New Roman"/>
                <w:color w:val="000000"/>
                <w:kern w:val="0"/>
                <w:sz w:val="21"/>
                <w:szCs w:val="21"/>
                <w:u w:val="none" w:color="auto"/>
                <w:shd w:val="clear" w:color="auto" w:fill="FFFFFF"/>
                <w:lang w:bidi="ar"/>
              </w:rPr>
              <w:t>）</w:t>
            </w:r>
          </w:p>
        </w:tc>
        <w:tc>
          <w:tcPr>
            <w:tcW w:w="18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4B38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u w:val="none" w:color="auto"/>
                <w:shd w:val="clear" w:color="auto" w:fill="FFFFFF"/>
                <w:lang w:bidi="ar"/>
              </w:rPr>
            </w:pPr>
            <w:r>
              <w:rPr>
                <w:rFonts w:hint="eastAsia" w:ascii="Times New Roman" w:hAnsi="Times New Roman" w:eastAsia="宋体" w:cs="Times New Roman"/>
                <w:color w:val="000000"/>
                <w:kern w:val="0"/>
                <w:sz w:val="21"/>
                <w:szCs w:val="21"/>
                <w:u w:val="none" w:color="auto"/>
                <w:shd w:val="clear" w:color="auto" w:fill="FFFFFF"/>
                <w:lang w:bidi="ar"/>
              </w:rPr>
              <w:t>临界量（</w:t>
            </w:r>
            <w:r>
              <w:rPr>
                <w:rFonts w:ascii="Times New Roman" w:hAnsi="Times New Roman" w:eastAsia="宋体" w:cs="Times New Roman"/>
                <w:color w:val="000000"/>
                <w:kern w:val="0"/>
                <w:sz w:val="21"/>
                <w:szCs w:val="21"/>
                <w:u w:val="none" w:color="auto"/>
                <w:shd w:val="clear" w:color="auto" w:fill="FFFFFF"/>
                <w:lang w:bidi="ar"/>
              </w:rPr>
              <w:t>Q</w:t>
            </w:r>
            <w:r>
              <w:rPr>
                <w:rFonts w:ascii="Times New Roman" w:hAnsi="Times New Roman" w:eastAsia="宋体" w:cs="Times New Roman"/>
                <w:color w:val="000000"/>
                <w:kern w:val="0"/>
                <w:sz w:val="21"/>
                <w:szCs w:val="21"/>
                <w:u w:val="none" w:color="auto"/>
                <w:shd w:val="clear" w:color="auto" w:fill="FFFFFF"/>
                <w:vertAlign w:val="subscript"/>
                <w:lang w:bidi="ar"/>
              </w:rPr>
              <w:t>n</w:t>
            </w:r>
            <w:r>
              <w:rPr>
                <w:rFonts w:ascii="Times New Roman" w:hAnsi="Times New Roman" w:eastAsia="宋体" w:cs="Times New Roman"/>
                <w:color w:val="000000"/>
                <w:kern w:val="0"/>
                <w:sz w:val="21"/>
                <w:szCs w:val="21"/>
                <w:u w:val="none" w:color="auto"/>
                <w:shd w:val="clear" w:color="auto" w:fill="FFFFFF"/>
                <w:lang w:bidi="ar"/>
              </w:rPr>
              <w:t>/t</w:t>
            </w:r>
            <w:r>
              <w:rPr>
                <w:rFonts w:hint="eastAsia" w:ascii="Times New Roman" w:hAnsi="Times New Roman" w:eastAsia="宋体" w:cs="Times New Roman"/>
                <w:color w:val="000000"/>
                <w:kern w:val="0"/>
                <w:sz w:val="21"/>
                <w:szCs w:val="21"/>
                <w:u w:val="none" w:color="auto"/>
                <w:shd w:val="clear" w:color="auto" w:fill="FFFFFF"/>
                <w:lang w:bidi="ar"/>
              </w:rPr>
              <w:t>）</w:t>
            </w:r>
          </w:p>
        </w:tc>
        <w:tc>
          <w:tcPr>
            <w:tcW w:w="25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5C5B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pacing w:val="0"/>
                <w:w w:val="100"/>
                <w:kern w:val="21"/>
                <w:position w:val="0"/>
                <w:sz w:val="21"/>
                <w:szCs w:val="21"/>
                <w:u w:val="none" w:color="auto"/>
              </w:rPr>
            </w:pPr>
            <w:r>
              <w:rPr>
                <w:rFonts w:hint="eastAsia" w:ascii="Times New Roman" w:hAnsi="Times New Roman" w:eastAsia="宋体" w:cs="Times New Roman"/>
                <w:color w:val="000000"/>
                <w:kern w:val="0"/>
                <w:sz w:val="21"/>
                <w:szCs w:val="21"/>
                <w:u w:val="none" w:color="auto"/>
                <w:shd w:val="clear" w:color="auto" w:fill="FFFFFF"/>
                <w:lang w:bidi="ar"/>
              </w:rPr>
              <w:t>该种危险物质Q值</w:t>
            </w:r>
          </w:p>
        </w:tc>
      </w:tr>
      <w:tr w14:paraId="0645E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5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64F66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u w:val="none" w:color="auto"/>
                <w:shd w:val="clear" w:color="auto" w:fill="FFFFFF"/>
                <w:lang w:bidi="ar"/>
              </w:rPr>
            </w:pPr>
            <w:r>
              <w:rPr>
                <w:rFonts w:hint="eastAsia" w:ascii="Times New Roman" w:hAnsi="Times New Roman" w:eastAsia="宋体" w:cs="Times New Roman"/>
                <w:color w:val="000000"/>
                <w:kern w:val="0"/>
                <w:sz w:val="21"/>
                <w:szCs w:val="21"/>
                <w:u w:val="none" w:color="auto"/>
                <w:shd w:val="clear" w:color="auto" w:fill="FFFFFF"/>
                <w:lang w:bidi="ar"/>
              </w:rPr>
              <w:t>锰及其化合物（以锰计）</w:t>
            </w:r>
            <w:r>
              <w:rPr>
                <w:rFonts w:hint="eastAsia"/>
                <w:kern w:val="0"/>
                <w:szCs w:val="21"/>
                <w:u w:val="none" w:color="auto"/>
                <w:shd w:val="clear" w:color="auto" w:fill="FFFFFF"/>
                <w:lang w:bidi="ar"/>
              </w:rPr>
              <w:t xml:space="preserve">* </w:t>
            </w:r>
          </w:p>
        </w:tc>
        <w:tc>
          <w:tcPr>
            <w:tcW w:w="106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EA101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u w:val="none" w:color="auto"/>
                <w:shd w:val="clear" w:color="auto" w:fill="FFFFFF"/>
                <w:lang w:val="en-US" w:eastAsia="zh-CN" w:bidi="ar"/>
              </w:rPr>
            </w:pPr>
            <w:r>
              <w:rPr>
                <w:rFonts w:hint="eastAsia" w:ascii="Times New Roman" w:hAnsi="Times New Roman" w:eastAsia="宋体" w:cs="Times New Roman"/>
                <w:color w:val="000000"/>
                <w:kern w:val="0"/>
                <w:sz w:val="21"/>
                <w:szCs w:val="21"/>
                <w:u w:val="none" w:color="auto"/>
                <w:shd w:val="clear" w:color="auto" w:fill="FFFFFF"/>
                <w:lang w:val="en-US" w:eastAsia="zh-CN" w:bidi="ar"/>
              </w:rPr>
              <w:t>/</w:t>
            </w:r>
          </w:p>
        </w:tc>
        <w:tc>
          <w:tcPr>
            <w:tcW w:w="18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2321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u w:val="none" w:color="auto"/>
                <w:shd w:val="clear" w:color="auto" w:fill="FFFFFF"/>
                <w:lang w:val="en-US" w:eastAsia="zh-CN" w:bidi="ar"/>
              </w:rPr>
            </w:pPr>
            <w:r>
              <w:rPr>
                <w:rFonts w:hint="eastAsia" w:ascii="Times New Roman" w:hAnsi="Times New Roman" w:eastAsia="宋体" w:cs="Times New Roman"/>
                <w:color w:val="000000"/>
                <w:kern w:val="0"/>
                <w:sz w:val="21"/>
                <w:szCs w:val="21"/>
                <w:u w:val="none" w:color="auto"/>
                <w:shd w:val="clear" w:color="auto" w:fill="FFFFFF"/>
                <w:lang w:val="en-US" w:eastAsia="zh-CN" w:bidi="ar"/>
              </w:rPr>
              <w:t>36.484</w:t>
            </w:r>
          </w:p>
        </w:tc>
        <w:tc>
          <w:tcPr>
            <w:tcW w:w="18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18F45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u w:val="none" w:color="auto"/>
                <w:shd w:val="clear" w:color="auto" w:fill="FFFFFF"/>
                <w:lang w:val="en-US" w:eastAsia="zh-CN" w:bidi="ar"/>
              </w:rPr>
            </w:pPr>
            <w:r>
              <w:rPr>
                <w:rFonts w:hint="eastAsia" w:ascii="Times New Roman" w:hAnsi="Times New Roman" w:eastAsia="宋体" w:cs="Times New Roman"/>
                <w:color w:val="000000"/>
                <w:kern w:val="0"/>
                <w:sz w:val="21"/>
                <w:szCs w:val="21"/>
                <w:u w:val="none" w:color="auto"/>
                <w:shd w:val="clear" w:color="auto" w:fill="FFFFFF"/>
                <w:lang w:val="en-US" w:eastAsia="zh-CN" w:bidi="ar"/>
              </w:rPr>
              <w:t>0.25</w:t>
            </w:r>
          </w:p>
        </w:tc>
        <w:tc>
          <w:tcPr>
            <w:tcW w:w="25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5061C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000000"/>
                <w:kern w:val="0"/>
                <w:sz w:val="21"/>
                <w:szCs w:val="21"/>
                <w:u w:val="none" w:color="auto"/>
                <w:shd w:val="clear" w:color="auto" w:fill="FFFFFF"/>
                <w:lang w:val="en-US" w:eastAsia="zh-CN" w:bidi="ar"/>
              </w:rPr>
            </w:pPr>
            <w:r>
              <w:rPr>
                <w:rFonts w:hint="default" w:cs="Times New Roman"/>
                <w:color w:val="000000"/>
                <w:kern w:val="0"/>
                <w:sz w:val="21"/>
                <w:szCs w:val="21"/>
                <w:u w:val="none" w:color="auto"/>
                <w:shd w:val="clear" w:color="auto" w:fill="FFFFFF"/>
                <w:lang w:val="en-US" w:eastAsia="zh-CN" w:bidi="ar"/>
              </w:rPr>
              <w:t>145.936</w:t>
            </w:r>
          </w:p>
        </w:tc>
      </w:tr>
      <w:tr w14:paraId="7FBF6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 w:hRule="atLeast"/>
        </w:trPr>
        <w:tc>
          <w:tcPr>
            <w:tcW w:w="15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0B341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u w:val="none" w:color="auto"/>
                <w:shd w:val="clear" w:color="auto" w:fill="FFFFFF"/>
                <w:lang w:bidi="ar"/>
              </w:rPr>
            </w:pPr>
            <w:r>
              <w:rPr>
                <w:rFonts w:hint="eastAsia" w:ascii="Times New Roman" w:hAnsi="Times New Roman" w:eastAsia="宋体" w:cs="Times New Roman"/>
                <w:color w:val="000000"/>
                <w:kern w:val="0"/>
                <w:sz w:val="21"/>
                <w:szCs w:val="21"/>
                <w:u w:val="none" w:color="auto"/>
                <w:shd w:val="clear" w:color="auto" w:fill="FFFFFF"/>
                <w:lang w:bidi="ar"/>
              </w:rPr>
              <w:t>镍及其化合物（以镍计）</w:t>
            </w:r>
            <w:r>
              <w:rPr>
                <w:rFonts w:hint="eastAsia"/>
                <w:kern w:val="0"/>
                <w:szCs w:val="21"/>
                <w:u w:val="none" w:color="auto"/>
                <w:shd w:val="clear" w:color="auto" w:fill="FFFFFF"/>
                <w:lang w:bidi="ar"/>
              </w:rPr>
              <w:t>*</w:t>
            </w:r>
          </w:p>
        </w:tc>
        <w:tc>
          <w:tcPr>
            <w:tcW w:w="106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076EF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u w:val="none" w:color="auto"/>
                <w:shd w:val="clear" w:color="auto" w:fill="FFFFFF"/>
                <w:lang w:val="en-US" w:eastAsia="zh-CN" w:bidi="ar"/>
              </w:rPr>
            </w:pPr>
            <w:r>
              <w:rPr>
                <w:rFonts w:hint="eastAsia" w:ascii="Times New Roman" w:hAnsi="Times New Roman" w:eastAsia="宋体" w:cs="Times New Roman"/>
                <w:color w:val="000000"/>
                <w:kern w:val="0"/>
                <w:sz w:val="21"/>
                <w:szCs w:val="21"/>
                <w:u w:val="none" w:color="auto"/>
                <w:shd w:val="clear" w:color="auto" w:fill="FFFFFF"/>
                <w:lang w:val="en-US" w:eastAsia="zh-CN" w:bidi="ar"/>
              </w:rPr>
              <w:t>/</w:t>
            </w:r>
          </w:p>
        </w:tc>
        <w:tc>
          <w:tcPr>
            <w:tcW w:w="18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C022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u w:val="none" w:color="auto"/>
                <w:shd w:val="clear" w:color="auto" w:fill="FFFFFF"/>
                <w:lang w:val="en-US" w:eastAsia="zh-CN" w:bidi="ar"/>
              </w:rPr>
            </w:pPr>
            <w:r>
              <w:rPr>
                <w:rFonts w:hint="eastAsia" w:ascii="Times New Roman" w:hAnsi="Times New Roman" w:eastAsia="宋体" w:cs="Times New Roman"/>
                <w:color w:val="000000"/>
                <w:kern w:val="0"/>
                <w:sz w:val="21"/>
                <w:szCs w:val="21"/>
                <w:u w:val="none" w:color="auto"/>
                <w:shd w:val="clear" w:color="auto" w:fill="FFFFFF"/>
                <w:lang w:val="en-US" w:eastAsia="zh-CN" w:bidi="ar"/>
              </w:rPr>
              <w:t>0.061</w:t>
            </w:r>
          </w:p>
        </w:tc>
        <w:tc>
          <w:tcPr>
            <w:tcW w:w="18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E25C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u w:val="none" w:color="auto"/>
                <w:shd w:val="clear" w:color="auto" w:fill="FFFFFF"/>
                <w:lang w:val="en-US" w:eastAsia="zh-CN" w:bidi="ar"/>
              </w:rPr>
            </w:pPr>
            <w:r>
              <w:rPr>
                <w:rFonts w:hint="eastAsia" w:ascii="Times New Roman" w:hAnsi="Times New Roman" w:eastAsia="宋体" w:cs="Times New Roman"/>
                <w:color w:val="000000"/>
                <w:kern w:val="0"/>
                <w:sz w:val="21"/>
                <w:szCs w:val="21"/>
                <w:u w:val="none" w:color="auto"/>
                <w:shd w:val="clear" w:color="auto" w:fill="FFFFFF"/>
                <w:lang w:val="en-US" w:eastAsia="zh-CN" w:bidi="ar"/>
              </w:rPr>
              <w:t>0.25</w:t>
            </w:r>
          </w:p>
        </w:tc>
        <w:tc>
          <w:tcPr>
            <w:tcW w:w="25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04DFB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kern w:val="0"/>
                <w:sz w:val="21"/>
                <w:szCs w:val="21"/>
                <w:u w:val="none" w:color="auto"/>
                <w:shd w:val="clear" w:color="auto" w:fill="FFFFFF"/>
                <w:lang w:val="en-US" w:eastAsia="zh-CN" w:bidi="ar"/>
              </w:rPr>
            </w:pPr>
            <w:r>
              <w:rPr>
                <w:rFonts w:hint="default" w:cs="Times New Roman"/>
                <w:color w:val="000000"/>
                <w:kern w:val="0"/>
                <w:sz w:val="21"/>
                <w:szCs w:val="21"/>
                <w:u w:val="none" w:color="auto"/>
                <w:shd w:val="clear" w:color="auto" w:fill="FFFFFF"/>
                <w:lang w:val="en-US" w:eastAsia="zh-CN" w:bidi="ar"/>
              </w:rPr>
              <w:t>0.244</w:t>
            </w:r>
          </w:p>
        </w:tc>
      </w:tr>
      <w:tr w14:paraId="4DDB0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5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8D28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u w:val="none" w:color="auto"/>
                <w:shd w:val="clear" w:color="auto" w:fill="FFFFFF"/>
                <w:lang w:val="en-US" w:eastAsia="zh-CN" w:bidi="ar"/>
              </w:rPr>
            </w:pPr>
            <w:r>
              <w:rPr>
                <w:rFonts w:hint="eastAsia" w:cs="Times New Roman"/>
                <w:color w:val="000000"/>
                <w:kern w:val="0"/>
                <w:sz w:val="21"/>
                <w:szCs w:val="21"/>
                <w:u w:val="none" w:color="auto"/>
                <w:shd w:val="clear" w:color="auto" w:fill="FFFFFF"/>
                <w:lang w:val="en-US" w:eastAsia="zh-CN" w:bidi="ar"/>
              </w:rPr>
              <w:t>NMP</w:t>
            </w:r>
          </w:p>
        </w:tc>
        <w:tc>
          <w:tcPr>
            <w:tcW w:w="106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399B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u w:val="none" w:color="auto"/>
                <w:shd w:val="clear" w:color="auto" w:fill="FFFFFF"/>
                <w:lang w:val="en-US" w:eastAsia="zh-CN" w:bidi="ar"/>
              </w:rPr>
            </w:pPr>
            <w:r>
              <w:rPr>
                <w:rFonts w:hint="eastAsia" w:cs="Times New Roman"/>
                <w:color w:val="000000"/>
                <w:kern w:val="0"/>
                <w:sz w:val="21"/>
                <w:szCs w:val="21"/>
                <w:u w:val="none" w:color="auto"/>
                <w:shd w:val="clear" w:color="auto" w:fill="FFFFFF"/>
                <w:lang w:val="en-US" w:eastAsia="zh-CN" w:bidi="ar"/>
              </w:rPr>
              <w:t>/</w:t>
            </w:r>
          </w:p>
        </w:tc>
        <w:tc>
          <w:tcPr>
            <w:tcW w:w="18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A1A03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u w:val="none" w:color="auto"/>
                <w:shd w:val="clear" w:color="auto" w:fill="FFFFFF"/>
                <w:lang w:val="en-US" w:eastAsia="zh-CN" w:bidi="ar"/>
              </w:rPr>
            </w:pPr>
            <w:r>
              <w:rPr>
                <w:rFonts w:hint="eastAsia" w:cs="Times New Roman"/>
                <w:color w:val="000000"/>
                <w:sz w:val="21"/>
                <w:szCs w:val="21"/>
                <w:u w:val="none" w:color="auto"/>
                <w:vertAlign w:val="baseline"/>
                <w:lang w:val="en-US" w:eastAsia="zh-CN"/>
              </w:rPr>
              <w:t>349.5</w:t>
            </w:r>
          </w:p>
        </w:tc>
        <w:tc>
          <w:tcPr>
            <w:tcW w:w="18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BAC5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u w:val="none" w:color="auto"/>
                <w:shd w:val="clear" w:color="auto" w:fill="FFFFFF"/>
                <w:lang w:val="en-US" w:eastAsia="zh-CN" w:bidi="ar"/>
              </w:rPr>
            </w:pPr>
            <w:r>
              <w:rPr>
                <w:rFonts w:hint="eastAsia" w:cs="Times New Roman"/>
                <w:color w:val="000000"/>
                <w:kern w:val="0"/>
                <w:sz w:val="21"/>
                <w:szCs w:val="21"/>
                <w:u w:val="none" w:color="auto"/>
                <w:shd w:val="clear" w:color="auto" w:fill="FFFFFF"/>
                <w:lang w:val="en-US" w:eastAsia="zh-CN" w:bidi="ar"/>
              </w:rPr>
              <w:t>200</w:t>
            </w:r>
          </w:p>
        </w:tc>
        <w:tc>
          <w:tcPr>
            <w:tcW w:w="25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9BB13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000000"/>
                <w:kern w:val="0"/>
                <w:sz w:val="21"/>
                <w:szCs w:val="21"/>
                <w:u w:val="none" w:color="auto"/>
                <w:shd w:val="clear" w:color="auto" w:fill="FFFFFF"/>
                <w:lang w:val="en-US" w:eastAsia="zh-CN" w:bidi="ar"/>
              </w:rPr>
            </w:pPr>
            <w:r>
              <w:rPr>
                <w:rFonts w:hint="default" w:cs="Times New Roman"/>
                <w:color w:val="000000"/>
                <w:kern w:val="0"/>
                <w:sz w:val="21"/>
                <w:szCs w:val="21"/>
                <w:u w:val="none" w:color="auto"/>
                <w:shd w:val="clear" w:color="auto" w:fill="FFFFFF"/>
                <w:lang w:val="en-US" w:eastAsia="zh-CN" w:bidi="ar"/>
              </w:rPr>
              <w:t>1.7475</w:t>
            </w:r>
          </w:p>
        </w:tc>
      </w:tr>
      <w:tr w14:paraId="022CE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15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07903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000000"/>
                <w:kern w:val="0"/>
                <w:sz w:val="21"/>
                <w:szCs w:val="21"/>
                <w:u w:val="none" w:color="auto"/>
                <w:shd w:val="clear" w:color="auto" w:fill="FFFFFF"/>
                <w:lang w:val="en-US" w:eastAsia="zh-CN" w:bidi="ar"/>
              </w:rPr>
            </w:pPr>
            <w:r>
              <w:rPr>
                <w:rFonts w:hint="eastAsia" w:cs="Times New Roman"/>
                <w:color w:val="000000"/>
                <w:kern w:val="0"/>
                <w:sz w:val="21"/>
                <w:szCs w:val="21"/>
                <w:u w:val="none" w:color="auto"/>
                <w:shd w:val="clear" w:color="auto" w:fill="FFFFFF"/>
                <w:lang w:val="en-US" w:eastAsia="zh-CN" w:bidi="ar"/>
              </w:rPr>
              <w:t>NMP回收液</w:t>
            </w:r>
          </w:p>
        </w:tc>
        <w:tc>
          <w:tcPr>
            <w:tcW w:w="106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56F7E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000000"/>
                <w:kern w:val="0"/>
                <w:sz w:val="21"/>
                <w:szCs w:val="21"/>
                <w:u w:val="none" w:color="auto"/>
                <w:shd w:val="clear" w:color="auto" w:fill="FFFFFF"/>
                <w:lang w:val="en-US" w:eastAsia="zh-CN" w:bidi="ar"/>
              </w:rPr>
            </w:pPr>
            <w:r>
              <w:rPr>
                <w:rFonts w:hint="eastAsia" w:cs="Times New Roman"/>
                <w:color w:val="000000"/>
                <w:kern w:val="0"/>
                <w:sz w:val="21"/>
                <w:szCs w:val="21"/>
                <w:u w:val="none" w:color="auto"/>
                <w:shd w:val="clear" w:color="auto" w:fill="FFFFFF"/>
                <w:lang w:val="en-US" w:eastAsia="zh-CN" w:bidi="ar"/>
              </w:rPr>
              <w:t>/</w:t>
            </w:r>
          </w:p>
        </w:tc>
        <w:tc>
          <w:tcPr>
            <w:tcW w:w="18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3AF22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140</w:t>
            </w:r>
          </w:p>
        </w:tc>
        <w:tc>
          <w:tcPr>
            <w:tcW w:w="18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98E44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000000"/>
                <w:kern w:val="0"/>
                <w:sz w:val="21"/>
                <w:szCs w:val="21"/>
                <w:u w:val="none" w:color="auto"/>
                <w:shd w:val="clear" w:color="auto" w:fill="FFFFFF"/>
                <w:lang w:val="en-US" w:eastAsia="zh-CN" w:bidi="ar"/>
              </w:rPr>
            </w:pPr>
            <w:r>
              <w:rPr>
                <w:rFonts w:hint="eastAsia" w:cs="Times New Roman"/>
                <w:color w:val="000000"/>
                <w:kern w:val="0"/>
                <w:sz w:val="21"/>
                <w:szCs w:val="21"/>
                <w:u w:val="none" w:color="auto"/>
                <w:shd w:val="clear" w:color="auto" w:fill="FFFFFF"/>
                <w:lang w:val="en-US" w:eastAsia="zh-CN" w:bidi="ar"/>
              </w:rPr>
              <w:t>200</w:t>
            </w:r>
          </w:p>
        </w:tc>
        <w:tc>
          <w:tcPr>
            <w:tcW w:w="25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1D24E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kern w:val="0"/>
                <w:sz w:val="21"/>
                <w:szCs w:val="21"/>
                <w:u w:val="none" w:color="auto"/>
                <w:shd w:val="clear" w:color="auto" w:fill="FFFFFF"/>
                <w:lang w:val="en-US" w:eastAsia="zh-CN" w:bidi="ar"/>
              </w:rPr>
            </w:pPr>
            <w:r>
              <w:rPr>
                <w:rFonts w:hint="default" w:cs="Times New Roman"/>
                <w:color w:val="000000"/>
                <w:kern w:val="0"/>
                <w:sz w:val="21"/>
                <w:szCs w:val="21"/>
                <w:u w:val="none" w:color="auto"/>
                <w:shd w:val="clear" w:color="auto" w:fill="FFFFFF"/>
                <w:lang w:val="en-US" w:eastAsia="zh-CN" w:bidi="ar"/>
              </w:rPr>
              <w:t>0.7</w:t>
            </w:r>
          </w:p>
        </w:tc>
      </w:tr>
      <w:tr w14:paraId="120C6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152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8B70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000000"/>
                <w:kern w:val="0"/>
                <w:sz w:val="21"/>
                <w:szCs w:val="21"/>
                <w:u w:val="none" w:color="auto"/>
                <w:shd w:val="clear" w:color="auto" w:fill="FFFFFF"/>
                <w:lang w:val="en-US" w:eastAsia="zh-CN" w:bidi="ar"/>
              </w:rPr>
            </w:pPr>
            <w:r>
              <w:rPr>
                <w:rFonts w:hint="eastAsia" w:cs="Times New Roman"/>
                <w:color w:val="000000"/>
                <w:kern w:val="0"/>
                <w:sz w:val="21"/>
                <w:szCs w:val="21"/>
                <w:u w:val="none" w:color="auto"/>
                <w:shd w:val="clear" w:color="auto" w:fill="FFFFFF"/>
                <w:lang w:val="en-US" w:eastAsia="zh-CN" w:bidi="ar"/>
              </w:rPr>
              <w:t>电解液</w:t>
            </w:r>
          </w:p>
        </w:tc>
        <w:tc>
          <w:tcPr>
            <w:tcW w:w="106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358E4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000000"/>
                <w:kern w:val="0"/>
                <w:sz w:val="21"/>
                <w:szCs w:val="21"/>
                <w:u w:val="none" w:color="auto"/>
                <w:shd w:val="clear" w:color="auto" w:fill="FFFFFF"/>
                <w:lang w:val="en-US" w:eastAsia="zh-CN" w:bidi="ar"/>
              </w:rPr>
            </w:pPr>
            <w:r>
              <w:rPr>
                <w:rFonts w:hint="eastAsia" w:cs="Times New Roman"/>
                <w:color w:val="000000"/>
                <w:kern w:val="0"/>
                <w:sz w:val="21"/>
                <w:szCs w:val="21"/>
                <w:u w:val="none" w:color="auto"/>
                <w:shd w:val="clear" w:color="auto" w:fill="FFFFFF"/>
                <w:lang w:val="en-US" w:eastAsia="zh-CN" w:bidi="ar"/>
              </w:rPr>
              <w:t>/</w:t>
            </w:r>
          </w:p>
        </w:tc>
        <w:tc>
          <w:tcPr>
            <w:tcW w:w="18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B27A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sz w:val="21"/>
                <w:szCs w:val="21"/>
                <w:u w:val="none" w:color="auto"/>
                <w:vertAlign w:val="baseline"/>
                <w:lang w:val="en-US" w:eastAsia="zh-CN"/>
              </w:rPr>
            </w:pPr>
            <w:r>
              <w:rPr>
                <w:rFonts w:hint="eastAsia" w:cs="Times New Roman"/>
                <w:color w:val="000000"/>
                <w:sz w:val="21"/>
                <w:szCs w:val="21"/>
                <w:u w:val="none" w:color="auto"/>
                <w:vertAlign w:val="baseline"/>
                <w:lang w:val="en-US" w:eastAsia="zh-CN"/>
              </w:rPr>
              <w:t>0.4</w:t>
            </w:r>
          </w:p>
        </w:tc>
        <w:tc>
          <w:tcPr>
            <w:tcW w:w="18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C1017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u w:val="none" w:color="auto"/>
                <w:shd w:val="clear" w:color="auto" w:fill="FFFFFF"/>
                <w:lang w:val="en-US" w:eastAsia="zh-CN" w:bidi="ar"/>
              </w:rPr>
            </w:pPr>
            <w:r>
              <w:rPr>
                <w:rFonts w:hint="eastAsia" w:cs="Times New Roman"/>
                <w:color w:val="000000"/>
                <w:kern w:val="0"/>
                <w:sz w:val="21"/>
                <w:szCs w:val="21"/>
                <w:u w:val="none" w:color="auto"/>
                <w:shd w:val="clear" w:color="auto" w:fill="FFFFFF"/>
                <w:lang w:val="en-US" w:eastAsia="zh-CN" w:bidi="ar"/>
              </w:rPr>
              <w:t>200</w:t>
            </w:r>
          </w:p>
        </w:tc>
        <w:tc>
          <w:tcPr>
            <w:tcW w:w="25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8876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kern w:val="0"/>
                <w:sz w:val="21"/>
                <w:szCs w:val="21"/>
                <w:u w:val="none" w:color="auto"/>
                <w:shd w:val="clear" w:color="auto" w:fill="FFFFFF"/>
                <w:lang w:val="en-US" w:eastAsia="zh-CN" w:bidi="ar"/>
              </w:rPr>
            </w:pPr>
            <w:r>
              <w:rPr>
                <w:rFonts w:hint="default" w:cs="Times New Roman"/>
                <w:color w:val="000000"/>
                <w:kern w:val="0"/>
                <w:sz w:val="21"/>
                <w:szCs w:val="21"/>
                <w:u w:val="none" w:color="auto"/>
                <w:shd w:val="clear" w:color="auto" w:fill="FFFFFF"/>
                <w:lang w:val="en-US" w:eastAsia="zh-CN" w:bidi="ar"/>
              </w:rPr>
              <w:t>0.002</w:t>
            </w:r>
          </w:p>
        </w:tc>
      </w:tr>
      <w:tr w14:paraId="0D233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366" w:type="dxa"/>
            <w:gridSpan w:val="4"/>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CF084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u w:val="none" w:color="auto"/>
                <w:shd w:val="clear" w:color="auto" w:fill="FFFFFF"/>
                <w:lang w:val="en-US" w:eastAsia="zh-CN" w:bidi="ar"/>
              </w:rPr>
            </w:pPr>
            <w:r>
              <w:rPr>
                <w:rFonts w:hint="eastAsia" w:ascii="Times New Roman" w:hAnsi="Times New Roman" w:eastAsia="宋体" w:cs="Times New Roman"/>
                <w:color w:val="000000"/>
                <w:kern w:val="0"/>
                <w:sz w:val="21"/>
                <w:szCs w:val="21"/>
                <w:u w:val="none" w:color="auto"/>
                <w:shd w:val="clear" w:color="auto" w:fill="FFFFFF"/>
                <w:lang w:val="en-US" w:eastAsia="zh-CN" w:bidi="ar"/>
              </w:rPr>
              <w:t>合计</w:t>
            </w:r>
          </w:p>
        </w:tc>
        <w:tc>
          <w:tcPr>
            <w:tcW w:w="258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A4FC2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000000"/>
                <w:kern w:val="0"/>
                <w:sz w:val="21"/>
                <w:szCs w:val="21"/>
                <w:u w:val="none" w:color="auto"/>
                <w:shd w:val="clear" w:color="auto" w:fill="FFFFFF"/>
                <w:lang w:val="en-US" w:eastAsia="zh-CN" w:bidi="ar"/>
              </w:rPr>
            </w:pPr>
            <w:r>
              <w:rPr>
                <w:rFonts w:hint="eastAsia" w:cs="Times New Roman"/>
                <w:color w:val="000000"/>
                <w:kern w:val="0"/>
                <w:sz w:val="21"/>
                <w:szCs w:val="21"/>
                <w:u w:val="none" w:color="auto"/>
                <w:shd w:val="clear" w:color="auto" w:fill="FFFFFF"/>
                <w:lang w:val="en-US" w:eastAsia="zh-CN" w:bidi="ar"/>
              </w:rPr>
              <w:t>148.6295</w:t>
            </w:r>
          </w:p>
        </w:tc>
      </w:tr>
      <w:tr w14:paraId="135A2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8954" w:type="dxa"/>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B099A9">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default" w:cs="Times New Roman"/>
                <w:color w:val="000000"/>
                <w:kern w:val="0"/>
                <w:sz w:val="21"/>
                <w:szCs w:val="21"/>
                <w:u w:val="none" w:color="auto"/>
                <w:shd w:val="clear" w:color="auto" w:fill="FFFFFF"/>
                <w:lang w:val="en-US" w:eastAsia="zh-CN" w:bidi="ar"/>
              </w:rPr>
            </w:pPr>
            <w:r>
              <w:rPr>
                <w:rFonts w:hint="eastAsia" w:cs="Times New Roman"/>
                <w:color w:val="000000"/>
                <w:kern w:val="0"/>
                <w:sz w:val="21"/>
                <w:szCs w:val="21"/>
                <w:u w:val="none" w:color="auto"/>
                <w:shd w:val="clear" w:color="auto" w:fill="FFFFFF"/>
                <w:lang w:val="en-US" w:eastAsia="zh-CN" w:bidi="ar"/>
              </w:rPr>
              <w:t>备注：</w:t>
            </w:r>
            <w:r>
              <w:rPr>
                <w:rFonts w:hint="eastAsia"/>
                <w:kern w:val="0"/>
                <w:szCs w:val="21"/>
                <w:u w:val="none" w:color="auto"/>
                <w:shd w:val="clear" w:color="auto" w:fill="FFFFFF"/>
                <w:lang w:bidi="ar"/>
              </w:rPr>
              <w:t>* 该类物质按标注物质的质量计。</w:t>
            </w:r>
          </w:p>
        </w:tc>
      </w:tr>
    </w:tbl>
    <w:p w14:paraId="0523D5BF">
      <w:pPr>
        <w:spacing w:line="460" w:lineRule="exact"/>
        <w:ind w:firstLine="480" w:firstLineChars="200"/>
        <w:rPr>
          <w:rFonts w:hint="default" w:ascii="Times New Roman" w:hAnsi="Times New Roman" w:eastAsia="宋体" w:cs="Times New Roman"/>
          <w:color w:val="000000"/>
          <w:spacing w:val="0"/>
          <w:w w:val="100"/>
          <w:kern w:val="21"/>
          <w:position w:val="0"/>
          <w:sz w:val="24"/>
          <w:u w:val="none" w:color="auto"/>
          <w:lang w:val="en-US" w:eastAsia="zh-CN"/>
        </w:rPr>
      </w:pPr>
      <w:r>
        <w:rPr>
          <w:rFonts w:hint="default" w:ascii="Times New Roman" w:hAnsi="Times New Roman" w:eastAsia="宋体" w:cs="Times New Roman"/>
          <w:color w:val="000000"/>
          <w:spacing w:val="0"/>
          <w:w w:val="100"/>
          <w:kern w:val="21"/>
          <w:position w:val="0"/>
          <w:sz w:val="24"/>
          <w:szCs w:val="24"/>
          <w:u w:val="none" w:color="auto"/>
        </w:rPr>
        <w:t>根据上表，拟建项目建成后，危险物质数量与临界量比值</w:t>
      </w:r>
      <w:r>
        <w:rPr>
          <w:rFonts w:hint="default" w:ascii="Times New Roman" w:hAnsi="Times New Roman" w:eastAsia="TimesNewRomanPSMT" w:cs="Times New Roman"/>
          <w:color w:val="000000"/>
          <w:spacing w:val="0"/>
          <w:w w:val="100"/>
          <w:kern w:val="21"/>
          <w:position w:val="0"/>
          <w:sz w:val="24"/>
          <w:szCs w:val="24"/>
          <w:u w:val="none" w:color="auto"/>
        </w:rPr>
        <w:t>Q</w:t>
      </w:r>
      <w:r>
        <w:rPr>
          <w:rFonts w:hint="default" w:ascii="Times New Roman" w:hAnsi="Times New Roman" w:eastAsia="宋体" w:cs="Times New Roman"/>
          <w:color w:val="000000"/>
          <w:spacing w:val="0"/>
          <w:w w:val="100"/>
          <w:kern w:val="21"/>
          <w:position w:val="0"/>
          <w:sz w:val="24"/>
          <w:szCs w:val="24"/>
          <w:u w:val="none" w:color="auto"/>
        </w:rPr>
        <w:t>值为</w:t>
      </w:r>
      <w:r>
        <w:rPr>
          <w:rFonts w:hint="eastAsia" w:cs="Times New Roman"/>
          <w:color w:val="000000"/>
          <w:kern w:val="0"/>
          <w:sz w:val="24"/>
          <w:szCs w:val="24"/>
          <w:u w:val="none" w:color="auto"/>
          <w:shd w:val="clear" w:color="auto" w:fill="FFFFFF"/>
          <w:lang w:val="en-US" w:eastAsia="zh-CN" w:bidi="ar"/>
        </w:rPr>
        <w:t>148.6295</w:t>
      </w:r>
      <w:r>
        <w:rPr>
          <w:rFonts w:hint="default" w:ascii="Times New Roman" w:hAnsi="Times New Roman" w:eastAsia="宋体" w:cs="Times New Roman"/>
          <w:color w:val="000000"/>
          <w:spacing w:val="0"/>
          <w:w w:val="100"/>
          <w:kern w:val="21"/>
          <w:position w:val="0"/>
          <w:sz w:val="24"/>
          <w:szCs w:val="24"/>
          <w:u w:val="none" w:color="auto"/>
        </w:rPr>
        <w:t>，</w:t>
      </w:r>
      <w:r>
        <w:rPr>
          <w:rFonts w:hint="default" w:ascii="Times New Roman" w:hAnsi="Times New Roman" w:eastAsia="TimesNewRomanPSMT" w:cs="Times New Roman"/>
          <w:color w:val="000000"/>
          <w:spacing w:val="0"/>
          <w:w w:val="100"/>
          <w:kern w:val="21"/>
          <w:position w:val="0"/>
          <w:sz w:val="24"/>
          <w:szCs w:val="24"/>
          <w:u w:val="none" w:color="auto"/>
        </w:rPr>
        <w:t>Q</w:t>
      </w:r>
      <w:r>
        <w:rPr>
          <w:rFonts w:hint="eastAsia" w:ascii="Times New Roman" w:hAnsi="Times New Roman" w:eastAsia="宋体" w:cs="Times New Roman"/>
          <w:color w:val="000000"/>
          <w:spacing w:val="0"/>
          <w:w w:val="100"/>
          <w:kern w:val="21"/>
          <w:position w:val="0"/>
          <w:sz w:val="24"/>
          <w:szCs w:val="24"/>
          <w:u w:val="none" w:color="auto"/>
          <w:lang w:val="en-US" w:eastAsia="zh-CN"/>
        </w:rPr>
        <w:t>＞</w:t>
      </w:r>
      <w:r>
        <w:rPr>
          <w:rFonts w:hint="default" w:ascii="Times New Roman" w:hAnsi="Times New Roman" w:eastAsia="TimesNewRomanPSMT" w:cs="Times New Roman"/>
          <w:color w:val="000000"/>
          <w:spacing w:val="0"/>
          <w:w w:val="100"/>
          <w:kern w:val="21"/>
          <w:position w:val="0"/>
          <w:sz w:val="24"/>
          <w:szCs w:val="24"/>
          <w:u w:val="none" w:color="auto"/>
        </w:rPr>
        <w:t>100</w:t>
      </w:r>
      <w:r>
        <w:rPr>
          <w:rFonts w:hint="default" w:ascii="Times New Roman" w:hAnsi="Times New Roman" w:eastAsia="宋体" w:cs="Times New Roman"/>
          <w:color w:val="000000"/>
          <w:spacing w:val="0"/>
          <w:w w:val="100"/>
          <w:kern w:val="21"/>
          <w:position w:val="0"/>
          <w:sz w:val="24"/>
          <w:szCs w:val="24"/>
          <w:u w:val="none" w:color="auto"/>
        </w:rPr>
        <w:t>。</w:t>
      </w:r>
    </w:p>
    <w:p w14:paraId="4BDF06F9">
      <w:pPr>
        <w:bidi w:val="0"/>
        <w:spacing w:line="460" w:lineRule="exact"/>
        <w:ind w:left="0" w:leftChars="0" w:firstLine="0" w:firstLineChars="0"/>
        <w:rPr>
          <w:rFonts w:hint="default" w:ascii="Times New Roman" w:hAnsi="Times New Roman" w:eastAsia="宋体" w:cs="Times New Roman"/>
          <w:b/>
          <w:bCs/>
          <w:color w:val="auto"/>
          <w:spacing w:val="0"/>
          <w:w w:val="100"/>
          <w:kern w:val="21"/>
          <w:position w:val="0"/>
          <w:sz w:val="28"/>
          <w:szCs w:val="28"/>
          <w:u w:val="none" w:color="auto"/>
          <w:lang w:val="en-US" w:eastAsia="zh-CN"/>
        </w:rPr>
      </w:pPr>
      <w:r>
        <w:rPr>
          <w:rFonts w:hint="eastAsia" w:ascii="Times New Roman" w:hAnsi="Times New Roman" w:eastAsia="宋体" w:cs="Times New Roman"/>
          <w:b/>
          <w:bCs/>
          <w:color w:val="auto"/>
          <w:spacing w:val="0"/>
          <w:w w:val="100"/>
          <w:kern w:val="21"/>
          <w:position w:val="0"/>
          <w:sz w:val="28"/>
          <w:szCs w:val="28"/>
          <w:u w:val="none" w:color="auto"/>
          <w:lang w:val="en-US" w:eastAsia="zh-CN"/>
        </w:rPr>
        <w:t>3</w:t>
      </w:r>
      <w:r>
        <w:rPr>
          <w:rFonts w:hint="default" w:ascii="Times New Roman" w:hAnsi="Times New Roman" w:eastAsia="宋体" w:cs="Times New Roman"/>
          <w:b/>
          <w:bCs/>
          <w:color w:val="auto"/>
          <w:spacing w:val="0"/>
          <w:w w:val="100"/>
          <w:kern w:val="21"/>
          <w:position w:val="0"/>
          <w:sz w:val="28"/>
          <w:szCs w:val="28"/>
          <w:u w:val="none" w:color="auto"/>
          <w:lang w:val="en-US" w:eastAsia="zh-CN"/>
        </w:rPr>
        <w:t>.3行业及生产工艺（M）</w:t>
      </w:r>
    </w:p>
    <w:p w14:paraId="2B0B7443">
      <w:pPr>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color w:val="auto"/>
          <w:spacing w:val="0"/>
          <w:w w:val="100"/>
          <w:kern w:val="21"/>
          <w:position w:val="0"/>
          <w:sz w:val="24"/>
          <w:u w:val="none" w:color="auto"/>
        </w:rPr>
        <w:t>经查阅《建设项目环境风险评价技术导则》（HJ169-2018）附录C，将M划分为（1）M＞20；（2）10＜M≤20；（3）5＜M≤10；（4）M=5，分别以M1、M2、M3和M4表示</w:t>
      </w:r>
      <w:r>
        <w:rPr>
          <w:rFonts w:hint="default" w:ascii="Times New Roman" w:hAnsi="Times New Roman" w:eastAsia="宋体" w:cs="Times New Roman"/>
          <w:color w:val="auto"/>
          <w:spacing w:val="0"/>
          <w:w w:val="100"/>
          <w:kern w:val="21"/>
          <w:position w:val="0"/>
          <w:sz w:val="24"/>
          <w:u w:val="none" w:color="auto"/>
          <w:lang w:eastAsia="zh-CN"/>
        </w:rPr>
        <w:t>，</w:t>
      </w:r>
      <w:r>
        <w:rPr>
          <w:rFonts w:hint="default" w:ascii="Times New Roman" w:hAnsi="Times New Roman" w:eastAsia="宋体" w:cs="Times New Roman"/>
          <w:color w:val="auto"/>
          <w:spacing w:val="0"/>
          <w:w w:val="100"/>
          <w:kern w:val="21"/>
          <w:position w:val="0"/>
          <w:sz w:val="24"/>
          <w:u w:val="none" w:color="auto"/>
        </w:rPr>
        <w:t>行业及生产工艺（M）见下表。</w:t>
      </w:r>
    </w:p>
    <w:p w14:paraId="13F6AF44">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行业及生产工艺（M）表</w:t>
      </w:r>
    </w:p>
    <w:tbl>
      <w:tblPr>
        <w:tblStyle w:val="32"/>
        <w:tblW w:w="4998" w:type="pct"/>
        <w:jc w:val="center"/>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Layout w:type="autofit"/>
        <w:tblCellMar>
          <w:top w:w="0" w:type="dxa"/>
          <w:left w:w="108" w:type="dxa"/>
          <w:bottom w:w="0" w:type="dxa"/>
          <w:right w:w="108" w:type="dxa"/>
        </w:tblCellMar>
      </w:tblPr>
      <w:tblGrid>
        <w:gridCol w:w="1861"/>
        <w:gridCol w:w="4914"/>
        <w:gridCol w:w="1234"/>
        <w:gridCol w:w="1229"/>
      </w:tblGrid>
      <w:tr w14:paraId="31AB3A76">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7" w:type="pct"/>
            <w:noWrap w:val="0"/>
            <w:vAlign w:val="center"/>
          </w:tcPr>
          <w:p w14:paraId="516DD971">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行业</w:t>
            </w:r>
          </w:p>
        </w:tc>
        <w:tc>
          <w:tcPr>
            <w:tcW w:w="2659" w:type="pct"/>
            <w:noWrap w:val="0"/>
            <w:vAlign w:val="center"/>
          </w:tcPr>
          <w:p w14:paraId="5C984974">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评估依据</w:t>
            </w:r>
          </w:p>
        </w:tc>
        <w:tc>
          <w:tcPr>
            <w:tcW w:w="667" w:type="pct"/>
            <w:noWrap w:val="0"/>
            <w:vAlign w:val="center"/>
          </w:tcPr>
          <w:p w14:paraId="057B25A8">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分值</w:t>
            </w:r>
          </w:p>
        </w:tc>
        <w:tc>
          <w:tcPr>
            <w:tcW w:w="665" w:type="pct"/>
            <w:noWrap w:val="0"/>
            <w:vAlign w:val="center"/>
          </w:tcPr>
          <w:p w14:paraId="05371B6C">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本项目</w:t>
            </w:r>
          </w:p>
        </w:tc>
      </w:tr>
      <w:tr w14:paraId="6C065DEC">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7" w:type="pct"/>
            <w:vMerge w:val="restart"/>
            <w:noWrap w:val="0"/>
            <w:vAlign w:val="center"/>
          </w:tcPr>
          <w:p w14:paraId="195A25E2">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石油、化工、医药、轻工、化纤、有色冶炼等</w:t>
            </w:r>
          </w:p>
        </w:tc>
        <w:tc>
          <w:tcPr>
            <w:tcW w:w="2659" w:type="pct"/>
            <w:noWrap w:val="0"/>
            <w:vAlign w:val="center"/>
          </w:tcPr>
          <w:p w14:paraId="77B30866">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667" w:type="pct"/>
            <w:noWrap w:val="0"/>
            <w:vAlign w:val="center"/>
          </w:tcPr>
          <w:p w14:paraId="05A9D6D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10/套</w:t>
            </w:r>
          </w:p>
        </w:tc>
        <w:tc>
          <w:tcPr>
            <w:tcW w:w="665" w:type="pct"/>
            <w:vMerge w:val="restart"/>
            <w:noWrap w:val="0"/>
            <w:vAlign w:val="center"/>
          </w:tcPr>
          <w:p w14:paraId="3A9BA468">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本项目属于其他（涉及危险物质使用、贮存的项目），则M=5</w:t>
            </w:r>
          </w:p>
        </w:tc>
      </w:tr>
      <w:tr w14:paraId="47D4DB05">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7" w:type="pct"/>
            <w:vMerge w:val="continue"/>
            <w:noWrap w:val="0"/>
            <w:vAlign w:val="center"/>
          </w:tcPr>
          <w:p w14:paraId="33CE497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2659" w:type="pct"/>
            <w:noWrap w:val="0"/>
            <w:vAlign w:val="center"/>
          </w:tcPr>
          <w:p w14:paraId="56408E0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无机酸制酸工艺、焦化工艺</w:t>
            </w:r>
          </w:p>
        </w:tc>
        <w:tc>
          <w:tcPr>
            <w:tcW w:w="667" w:type="pct"/>
            <w:noWrap w:val="0"/>
            <w:vAlign w:val="center"/>
          </w:tcPr>
          <w:p w14:paraId="586E976D">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5/套</w:t>
            </w:r>
          </w:p>
        </w:tc>
        <w:tc>
          <w:tcPr>
            <w:tcW w:w="665" w:type="pct"/>
            <w:vMerge w:val="continue"/>
            <w:noWrap w:val="0"/>
            <w:vAlign w:val="center"/>
          </w:tcPr>
          <w:p w14:paraId="0DBF3626">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r>
      <w:tr w14:paraId="00D4FB86">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7" w:type="pct"/>
            <w:vMerge w:val="continue"/>
            <w:noWrap w:val="0"/>
            <w:vAlign w:val="center"/>
          </w:tcPr>
          <w:p w14:paraId="3885AD51">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2659" w:type="pct"/>
            <w:noWrap w:val="0"/>
            <w:vAlign w:val="center"/>
          </w:tcPr>
          <w:p w14:paraId="59063EF8">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其他高温或高压，且涉及危险物质的工艺过程a、危险物质贮存罐区</w:t>
            </w:r>
          </w:p>
        </w:tc>
        <w:tc>
          <w:tcPr>
            <w:tcW w:w="667" w:type="pct"/>
            <w:noWrap w:val="0"/>
            <w:vAlign w:val="center"/>
          </w:tcPr>
          <w:p w14:paraId="2FF27DD3">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5/套（罐区）</w:t>
            </w:r>
          </w:p>
        </w:tc>
        <w:tc>
          <w:tcPr>
            <w:tcW w:w="665" w:type="pct"/>
            <w:vMerge w:val="continue"/>
            <w:noWrap w:val="0"/>
            <w:vAlign w:val="center"/>
          </w:tcPr>
          <w:p w14:paraId="0B09F7C2">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r>
      <w:tr w14:paraId="63AA6FAE">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7" w:type="pct"/>
            <w:noWrap w:val="0"/>
            <w:vAlign w:val="center"/>
          </w:tcPr>
          <w:p w14:paraId="7861E60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管道、港口/码头等</w:t>
            </w:r>
          </w:p>
        </w:tc>
        <w:tc>
          <w:tcPr>
            <w:tcW w:w="2659" w:type="pct"/>
            <w:noWrap w:val="0"/>
            <w:vAlign w:val="center"/>
          </w:tcPr>
          <w:p w14:paraId="2C66F86D">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涉及危险物质管道运输项目、港口/码头等</w:t>
            </w:r>
          </w:p>
        </w:tc>
        <w:tc>
          <w:tcPr>
            <w:tcW w:w="667" w:type="pct"/>
            <w:noWrap w:val="0"/>
            <w:vAlign w:val="center"/>
          </w:tcPr>
          <w:p w14:paraId="72FBB430">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10</w:t>
            </w:r>
          </w:p>
        </w:tc>
        <w:tc>
          <w:tcPr>
            <w:tcW w:w="665" w:type="pct"/>
            <w:vMerge w:val="continue"/>
            <w:noWrap w:val="0"/>
            <w:vAlign w:val="center"/>
          </w:tcPr>
          <w:p w14:paraId="54F7645E">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r>
      <w:tr w14:paraId="73236615">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7" w:type="pct"/>
            <w:noWrap w:val="0"/>
            <w:vAlign w:val="center"/>
          </w:tcPr>
          <w:p w14:paraId="290200A3">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石油天然气</w:t>
            </w:r>
          </w:p>
        </w:tc>
        <w:tc>
          <w:tcPr>
            <w:tcW w:w="2659" w:type="pct"/>
            <w:noWrap w:val="0"/>
            <w:vAlign w:val="center"/>
          </w:tcPr>
          <w:p w14:paraId="621053B1">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石油、天然气、页岩气开采（含净化），气库（不含加气站的气库），油库（不含加气站的油库）、油气管线b（不含城镇燃气管线）</w:t>
            </w:r>
          </w:p>
        </w:tc>
        <w:tc>
          <w:tcPr>
            <w:tcW w:w="667" w:type="pct"/>
            <w:noWrap w:val="0"/>
            <w:vAlign w:val="center"/>
          </w:tcPr>
          <w:p w14:paraId="3B5BDFC1">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10</w:t>
            </w:r>
          </w:p>
        </w:tc>
        <w:tc>
          <w:tcPr>
            <w:tcW w:w="665" w:type="pct"/>
            <w:vMerge w:val="continue"/>
            <w:noWrap w:val="0"/>
            <w:vAlign w:val="center"/>
          </w:tcPr>
          <w:p w14:paraId="130998D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r>
      <w:tr w14:paraId="58E7541F">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7" w:type="pct"/>
            <w:noWrap w:val="0"/>
            <w:vAlign w:val="center"/>
          </w:tcPr>
          <w:p w14:paraId="24E64FA3">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其他</w:t>
            </w:r>
          </w:p>
        </w:tc>
        <w:tc>
          <w:tcPr>
            <w:tcW w:w="2659" w:type="pct"/>
            <w:noWrap w:val="0"/>
            <w:vAlign w:val="center"/>
          </w:tcPr>
          <w:p w14:paraId="4F9783D7">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涉及危险物质使用、贮存的项目</w:t>
            </w:r>
          </w:p>
        </w:tc>
        <w:tc>
          <w:tcPr>
            <w:tcW w:w="667" w:type="pct"/>
            <w:noWrap w:val="0"/>
            <w:vAlign w:val="center"/>
          </w:tcPr>
          <w:p w14:paraId="0CB309D1">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5</w:t>
            </w:r>
          </w:p>
        </w:tc>
        <w:tc>
          <w:tcPr>
            <w:tcW w:w="665" w:type="pct"/>
            <w:vMerge w:val="continue"/>
            <w:noWrap w:val="0"/>
            <w:vAlign w:val="center"/>
          </w:tcPr>
          <w:p w14:paraId="4A4098E3">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r>
      <w:tr w14:paraId="56F020D5">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34" w:type="pct"/>
            <w:gridSpan w:val="3"/>
            <w:noWrap w:val="0"/>
            <w:vAlign w:val="center"/>
          </w:tcPr>
          <w:p w14:paraId="1972B8B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bCs/>
                <w:color w:val="auto"/>
                <w:spacing w:val="0"/>
                <w:w w:val="100"/>
                <w:kern w:val="21"/>
                <w:position w:val="0"/>
                <w:sz w:val="18"/>
                <w:szCs w:val="21"/>
                <w:u w:val="none" w:color="auto"/>
              </w:rPr>
            </w:pPr>
            <w:r>
              <w:rPr>
                <w:rFonts w:hint="default" w:ascii="Times New Roman" w:hAnsi="Times New Roman" w:eastAsia="宋体" w:cs="Times New Roman"/>
                <w:b/>
                <w:bCs/>
                <w:color w:val="auto"/>
                <w:spacing w:val="0"/>
                <w:w w:val="100"/>
                <w:kern w:val="21"/>
                <w:position w:val="0"/>
                <w:sz w:val="18"/>
                <w:szCs w:val="21"/>
                <w:u w:val="none" w:color="auto"/>
              </w:rPr>
              <w:t>a高温指工艺温度≥300℃，高压指压力容器的设计压力（P）≥10.0Mpa；</w:t>
            </w:r>
          </w:p>
          <w:p w14:paraId="6DB8E18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bCs/>
                <w:color w:val="auto"/>
                <w:spacing w:val="0"/>
                <w:w w:val="100"/>
                <w:kern w:val="21"/>
                <w:position w:val="0"/>
                <w:sz w:val="18"/>
                <w:szCs w:val="21"/>
                <w:u w:val="none" w:color="auto"/>
              </w:rPr>
            </w:pPr>
            <w:r>
              <w:rPr>
                <w:rFonts w:hint="default" w:ascii="Times New Roman" w:hAnsi="Times New Roman" w:eastAsia="宋体" w:cs="Times New Roman"/>
                <w:b/>
                <w:bCs/>
                <w:color w:val="auto"/>
                <w:spacing w:val="0"/>
                <w:w w:val="100"/>
                <w:kern w:val="21"/>
                <w:position w:val="0"/>
                <w:sz w:val="18"/>
                <w:szCs w:val="21"/>
                <w:u w:val="none" w:color="auto"/>
              </w:rPr>
              <w:t>b长输管道运输项目应按站场、管线分段评价</w:t>
            </w:r>
          </w:p>
        </w:tc>
        <w:tc>
          <w:tcPr>
            <w:tcW w:w="665" w:type="pct"/>
            <w:noWrap w:val="0"/>
            <w:vAlign w:val="center"/>
          </w:tcPr>
          <w:p w14:paraId="0FFA6A90">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w:t>
            </w:r>
          </w:p>
        </w:tc>
      </w:tr>
    </w:tbl>
    <w:p w14:paraId="2ABA32F3">
      <w:pPr>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color w:val="auto"/>
          <w:spacing w:val="0"/>
          <w:w w:val="100"/>
          <w:kern w:val="21"/>
          <w:position w:val="0"/>
          <w:sz w:val="24"/>
          <w:u w:val="none" w:color="auto"/>
        </w:rPr>
        <w:t>根据上表可知，本项目属于其他行业，分值为5分，属于（4）M=5，用M4表示。</w:t>
      </w:r>
    </w:p>
    <w:p w14:paraId="5C7A16FF">
      <w:pPr>
        <w:bidi w:val="0"/>
        <w:spacing w:line="460" w:lineRule="exact"/>
        <w:ind w:left="0" w:leftChars="0" w:firstLine="0" w:firstLineChars="0"/>
        <w:rPr>
          <w:rFonts w:hint="default" w:ascii="Times New Roman" w:hAnsi="Times New Roman" w:eastAsia="宋体" w:cs="Times New Roman"/>
          <w:b/>
          <w:bCs/>
          <w:color w:val="auto"/>
          <w:spacing w:val="0"/>
          <w:w w:val="100"/>
          <w:kern w:val="21"/>
          <w:position w:val="0"/>
          <w:sz w:val="28"/>
          <w:szCs w:val="28"/>
          <w:u w:val="none" w:color="auto"/>
          <w:lang w:val="en-US" w:eastAsia="zh-CN"/>
        </w:rPr>
      </w:pPr>
      <w:r>
        <w:rPr>
          <w:rFonts w:hint="eastAsia" w:ascii="Times New Roman" w:hAnsi="Times New Roman" w:eastAsia="宋体" w:cs="Times New Roman"/>
          <w:b/>
          <w:bCs/>
          <w:color w:val="auto"/>
          <w:spacing w:val="0"/>
          <w:w w:val="100"/>
          <w:kern w:val="21"/>
          <w:position w:val="0"/>
          <w:sz w:val="28"/>
          <w:szCs w:val="28"/>
          <w:u w:val="none" w:color="auto"/>
          <w:lang w:val="en-US" w:eastAsia="zh-CN"/>
        </w:rPr>
        <w:t>3</w:t>
      </w:r>
      <w:r>
        <w:rPr>
          <w:rFonts w:hint="default" w:ascii="Times New Roman" w:hAnsi="Times New Roman" w:eastAsia="宋体" w:cs="Times New Roman"/>
          <w:b/>
          <w:bCs/>
          <w:color w:val="auto"/>
          <w:spacing w:val="0"/>
          <w:w w:val="100"/>
          <w:kern w:val="21"/>
          <w:position w:val="0"/>
          <w:sz w:val="28"/>
          <w:szCs w:val="28"/>
          <w:u w:val="none" w:color="auto"/>
          <w:lang w:val="en-US" w:eastAsia="zh-CN"/>
        </w:rPr>
        <w:t>.4危险物质及工艺系统危险性（P）分级</w:t>
      </w:r>
    </w:p>
    <w:p w14:paraId="3E273EDD">
      <w:pPr>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color w:val="auto"/>
          <w:spacing w:val="0"/>
          <w:w w:val="100"/>
          <w:kern w:val="21"/>
          <w:position w:val="0"/>
          <w:sz w:val="24"/>
          <w:u w:val="none" w:color="auto"/>
        </w:rPr>
        <w:t>根据危险物质数量与临界量比值（Q）和行业及生产工艺（M），按照下表确定危险物质及工艺系统危险性等级（P），分别以P1、P2、P3、P4表示。</w:t>
      </w:r>
    </w:p>
    <w:p w14:paraId="39825477">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危险物质及工艺系统危险性等级判断（P）表</w:t>
      </w:r>
    </w:p>
    <w:tbl>
      <w:tblPr>
        <w:tblStyle w:val="32"/>
        <w:tblW w:w="9159" w:type="dxa"/>
        <w:tblInd w:w="93"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240"/>
        <w:gridCol w:w="1737"/>
        <w:gridCol w:w="1737"/>
        <w:gridCol w:w="1984"/>
        <w:gridCol w:w="1461"/>
      </w:tblGrid>
      <w:tr w14:paraId="12814EB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1" w:hRule="atLeast"/>
        </w:trPr>
        <w:tc>
          <w:tcPr>
            <w:tcW w:w="2240" w:type="dxa"/>
            <w:vMerge w:val="restart"/>
            <w:tcBorders>
              <w:tl2br w:val="nil"/>
              <w:tr2bl w:val="nil"/>
            </w:tcBorders>
            <w:shd w:val="clear" w:color="auto" w:fill="auto"/>
            <w:vAlign w:val="center"/>
          </w:tcPr>
          <w:p w14:paraId="466989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危险物质数量与临界值比值（</w:t>
            </w:r>
            <w:r>
              <w:rPr>
                <w:rFonts w:hint="default" w:ascii="Times New Roman" w:hAnsi="Times New Roman" w:eastAsia="宋体" w:cs="Times New Roman"/>
                <w:b/>
                <w:bCs/>
                <w:color w:val="000000"/>
                <w:szCs w:val="21"/>
                <w:u w:val="none" w:color="auto"/>
                <w:lang w:val="en-US" w:eastAsia="zh-CN" w:bidi="ar"/>
              </w:rPr>
              <w:t>Q</w:t>
            </w:r>
            <w:r>
              <w:rPr>
                <w:rFonts w:hint="eastAsia" w:ascii="宋体" w:hAnsi="宋体" w:eastAsia="宋体" w:cs="宋体"/>
                <w:b/>
                <w:bCs/>
                <w:color w:val="000000"/>
                <w:szCs w:val="21"/>
                <w:u w:val="none" w:color="auto"/>
                <w:lang w:val="en-US" w:eastAsia="zh-CN" w:bidi="ar"/>
              </w:rPr>
              <w:t>）</w:t>
            </w:r>
          </w:p>
        </w:tc>
        <w:tc>
          <w:tcPr>
            <w:tcW w:w="6919" w:type="dxa"/>
            <w:gridSpan w:val="4"/>
            <w:tcBorders>
              <w:tl2br w:val="nil"/>
              <w:tr2bl w:val="nil"/>
            </w:tcBorders>
            <w:shd w:val="clear" w:color="auto" w:fill="auto"/>
            <w:vAlign w:val="center"/>
          </w:tcPr>
          <w:p w14:paraId="1C8741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行业及生产工艺（</w:t>
            </w:r>
            <w:r>
              <w:rPr>
                <w:rFonts w:hint="default" w:ascii="Times New Roman" w:hAnsi="Times New Roman" w:eastAsia="宋体" w:cs="Times New Roman"/>
                <w:b/>
                <w:bCs/>
                <w:color w:val="000000"/>
                <w:szCs w:val="21"/>
                <w:u w:val="none" w:color="auto"/>
                <w:lang w:val="en-US" w:eastAsia="zh-CN" w:bidi="ar"/>
              </w:rPr>
              <w:t>M</w:t>
            </w:r>
            <w:r>
              <w:rPr>
                <w:rFonts w:hint="eastAsia" w:ascii="宋体" w:hAnsi="宋体" w:eastAsia="宋体" w:cs="宋体"/>
                <w:b/>
                <w:bCs/>
                <w:color w:val="000000"/>
                <w:szCs w:val="21"/>
                <w:u w:val="none" w:color="auto"/>
                <w:lang w:val="en-US" w:eastAsia="zh-CN" w:bidi="ar"/>
              </w:rPr>
              <w:t>）</w:t>
            </w:r>
          </w:p>
        </w:tc>
      </w:tr>
      <w:tr w14:paraId="0ADE18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2" w:hRule="atLeast"/>
        </w:trPr>
        <w:tc>
          <w:tcPr>
            <w:tcW w:w="2240" w:type="dxa"/>
            <w:vMerge w:val="continue"/>
            <w:tcBorders>
              <w:tl2br w:val="nil"/>
              <w:tr2bl w:val="nil"/>
            </w:tcBorders>
            <w:shd w:val="clear" w:color="auto" w:fill="auto"/>
            <w:vAlign w:val="center"/>
          </w:tcPr>
          <w:p w14:paraId="09678A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color="auto"/>
              </w:rPr>
            </w:pPr>
          </w:p>
        </w:tc>
        <w:tc>
          <w:tcPr>
            <w:tcW w:w="1737" w:type="dxa"/>
            <w:tcBorders>
              <w:tl2br w:val="nil"/>
              <w:tr2bl w:val="nil"/>
            </w:tcBorders>
            <w:shd w:val="clear" w:color="auto" w:fill="auto"/>
            <w:vAlign w:val="center"/>
          </w:tcPr>
          <w:p w14:paraId="58EEBC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M1</w:t>
            </w:r>
          </w:p>
        </w:tc>
        <w:tc>
          <w:tcPr>
            <w:tcW w:w="1737" w:type="dxa"/>
            <w:tcBorders>
              <w:tl2br w:val="nil"/>
              <w:tr2bl w:val="nil"/>
            </w:tcBorders>
            <w:shd w:val="clear" w:color="auto" w:fill="auto"/>
            <w:vAlign w:val="center"/>
          </w:tcPr>
          <w:p w14:paraId="6429B7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M2</w:t>
            </w:r>
          </w:p>
        </w:tc>
        <w:tc>
          <w:tcPr>
            <w:tcW w:w="1984" w:type="dxa"/>
            <w:tcBorders>
              <w:tl2br w:val="nil"/>
              <w:tr2bl w:val="nil"/>
            </w:tcBorders>
            <w:shd w:val="clear" w:color="auto" w:fill="auto"/>
            <w:vAlign w:val="center"/>
          </w:tcPr>
          <w:p w14:paraId="4DA621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M3</w:t>
            </w:r>
          </w:p>
        </w:tc>
        <w:tc>
          <w:tcPr>
            <w:tcW w:w="1461" w:type="dxa"/>
            <w:tcBorders>
              <w:tl2br w:val="nil"/>
              <w:tr2bl w:val="nil"/>
            </w:tcBorders>
            <w:shd w:val="clear" w:color="auto" w:fill="auto"/>
            <w:vAlign w:val="center"/>
          </w:tcPr>
          <w:p w14:paraId="08D53B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M4</w:t>
            </w:r>
          </w:p>
        </w:tc>
      </w:tr>
      <w:tr w14:paraId="37C20D4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1" w:hRule="atLeast"/>
        </w:trPr>
        <w:tc>
          <w:tcPr>
            <w:tcW w:w="2240" w:type="dxa"/>
            <w:tcBorders>
              <w:tl2br w:val="nil"/>
              <w:tr2bl w:val="nil"/>
            </w:tcBorders>
            <w:shd w:val="clear" w:color="auto" w:fill="auto"/>
            <w:vAlign w:val="center"/>
          </w:tcPr>
          <w:p w14:paraId="2CAF9D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Q≥100</w:t>
            </w:r>
          </w:p>
        </w:tc>
        <w:tc>
          <w:tcPr>
            <w:tcW w:w="1737" w:type="dxa"/>
            <w:tcBorders>
              <w:tl2br w:val="nil"/>
              <w:tr2bl w:val="nil"/>
            </w:tcBorders>
            <w:shd w:val="clear" w:color="auto" w:fill="auto"/>
            <w:vAlign w:val="center"/>
          </w:tcPr>
          <w:p w14:paraId="1CA298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P1</w:t>
            </w:r>
          </w:p>
        </w:tc>
        <w:tc>
          <w:tcPr>
            <w:tcW w:w="1737" w:type="dxa"/>
            <w:tcBorders>
              <w:tl2br w:val="nil"/>
              <w:tr2bl w:val="nil"/>
            </w:tcBorders>
            <w:shd w:val="clear" w:color="auto" w:fill="auto"/>
            <w:vAlign w:val="center"/>
          </w:tcPr>
          <w:p w14:paraId="3E7B07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P1</w:t>
            </w:r>
          </w:p>
        </w:tc>
        <w:tc>
          <w:tcPr>
            <w:tcW w:w="1984" w:type="dxa"/>
            <w:tcBorders>
              <w:tl2br w:val="nil"/>
              <w:tr2bl w:val="nil"/>
            </w:tcBorders>
            <w:shd w:val="clear" w:color="auto" w:fill="auto"/>
            <w:vAlign w:val="center"/>
          </w:tcPr>
          <w:p w14:paraId="1828D0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P2</w:t>
            </w:r>
          </w:p>
        </w:tc>
        <w:tc>
          <w:tcPr>
            <w:tcW w:w="1461" w:type="dxa"/>
            <w:tcBorders>
              <w:tl2br w:val="nil"/>
              <w:tr2bl w:val="nil"/>
            </w:tcBorders>
            <w:shd w:val="clear" w:color="auto" w:fill="7E7E7E"/>
            <w:vAlign w:val="center"/>
          </w:tcPr>
          <w:p w14:paraId="71D47A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P3</w:t>
            </w:r>
          </w:p>
        </w:tc>
      </w:tr>
      <w:tr w14:paraId="0DBE15E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1" w:hRule="atLeast"/>
        </w:trPr>
        <w:tc>
          <w:tcPr>
            <w:tcW w:w="2240" w:type="dxa"/>
            <w:tcBorders>
              <w:tl2br w:val="nil"/>
              <w:tr2bl w:val="nil"/>
            </w:tcBorders>
            <w:shd w:val="clear" w:color="auto" w:fill="auto"/>
            <w:vAlign w:val="center"/>
          </w:tcPr>
          <w:p w14:paraId="5E0A29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10≤Q&lt;100</w:t>
            </w:r>
          </w:p>
        </w:tc>
        <w:tc>
          <w:tcPr>
            <w:tcW w:w="1737" w:type="dxa"/>
            <w:tcBorders>
              <w:tl2br w:val="nil"/>
              <w:tr2bl w:val="nil"/>
            </w:tcBorders>
            <w:shd w:val="clear" w:color="auto" w:fill="auto"/>
            <w:vAlign w:val="center"/>
          </w:tcPr>
          <w:p w14:paraId="6B11C1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P1</w:t>
            </w:r>
          </w:p>
        </w:tc>
        <w:tc>
          <w:tcPr>
            <w:tcW w:w="1737" w:type="dxa"/>
            <w:tcBorders>
              <w:tl2br w:val="nil"/>
              <w:tr2bl w:val="nil"/>
            </w:tcBorders>
            <w:shd w:val="clear" w:color="auto" w:fill="auto"/>
            <w:vAlign w:val="center"/>
          </w:tcPr>
          <w:p w14:paraId="3E4DF3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P2</w:t>
            </w:r>
          </w:p>
        </w:tc>
        <w:tc>
          <w:tcPr>
            <w:tcW w:w="1984" w:type="dxa"/>
            <w:tcBorders>
              <w:tl2br w:val="nil"/>
              <w:tr2bl w:val="nil"/>
            </w:tcBorders>
            <w:shd w:val="clear" w:color="auto" w:fill="auto"/>
            <w:vAlign w:val="center"/>
          </w:tcPr>
          <w:p w14:paraId="1D9E14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P3</w:t>
            </w:r>
          </w:p>
        </w:tc>
        <w:tc>
          <w:tcPr>
            <w:tcW w:w="1461" w:type="dxa"/>
            <w:tcBorders>
              <w:tl2br w:val="nil"/>
              <w:tr2bl w:val="nil"/>
            </w:tcBorders>
            <w:shd w:val="clear" w:color="auto" w:fill="auto"/>
            <w:vAlign w:val="center"/>
          </w:tcPr>
          <w:p w14:paraId="1DE3A7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P4</w:t>
            </w:r>
          </w:p>
        </w:tc>
      </w:tr>
      <w:tr w14:paraId="0D6F8FA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PrEx>
        <w:trPr>
          <w:trHeight w:val="407" w:hRule="atLeast"/>
        </w:trPr>
        <w:tc>
          <w:tcPr>
            <w:tcW w:w="2240" w:type="dxa"/>
            <w:tcBorders>
              <w:tl2br w:val="nil"/>
              <w:tr2bl w:val="nil"/>
            </w:tcBorders>
            <w:shd w:val="clear" w:color="auto" w:fill="auto"/>
            <w:vAlign w:val="center"/>
          </w:tcPr>
          <w:p w14:paraId="7C4719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1≤Q&lt;10</w:t>
            </w:r>
          </w:p>
        </w:tc>
        <w:tc>
          <w:tcPr>
            <w:tcW w:w="1737" w:type="dxa"/>
            <w:tcBorders>
              <w:tl2br w:val="nil"/>
              <w:tr2bl w:val="nil"/>
            </w:tcBorders>
            <w:shd w:val="clear" w:color="auto" w:fill="auto"/>
            <w:vAlign w:val="center"/>
          </w:tcPr>
          <w:p w14:paraId="35250A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P3</w:t>
            </w:r>
          </w:p>
        </w:tc>
        <w:tc>
          <w:tcPr>
            <w:tcW w:w="1737" w:type="dxa"/>
            <w:tcBorders>
              <w:tl2br w:val="nil"/>
              <w:tr2bl w:val="nil"/>
            </w:tcBorders>
            <w:shd w:val="clear" w:color="auto" w:fill="auto"/>
            <w:vAlign w:val="center"/>
          </w:tcPr>
          <w:p w14:paraId="2E8A30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P3</w:t>
            </w:r>
          </w:p>
        </w:tc>
        <w:tc>
          <w:tcPr>
            <w:tcW w:w="1984" w:type="dxa"/>
            <w:tcBorders>
              <w:tl2br w:val="nil"/>
              <w:tr2bl w:val="nil"/>
            </w:tcBorders>
            <w:shd w:val="clear" w:color="auto" w:fill="auto"/>
            <w:vAlign w:val="center"/>
          </w:tcPr>
          <w:p w14:paraId="298319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P4</w:t>
            </w:r>
          </w:p>
        </w:tc>
        <w:tc>
          <w:tcPr>
            <w:tcW w:w="1461" w:type="dxa"/>
            <w:tcBorders>
              <w:tl2br w:val="nil"/>
              <w:tr2bl w:val="nil"/>
            </w:tcBorders>
            <w:shd w:val="clear" w:color="auto" w:fill="auto"/>
            <w:vAlign w:val="center"/>
          </w:tcPr>
          <w:p w14:paraId="2EB4AA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P4</w:t>
            </w:r>
          </w:p>
        </w:tc>
      </w:tr>
    </w:tbl>
    <w:p w14:paraId="7D1297C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color w:val="000000"/>
          <w:spacing w:val="0"/>
          <w:w w:val="100"/>
          <w:kern w:val="21"/>
          <w:position w:val="0"/>
          <w:sz w:val="24"/>
          <w:u w:val="none" w:color="auto"/>
          <w:lang w:val="en-US" w:eastAsia="zh-CN"/>
        </w:rPr>
      </w:pPr>
      <w:r>
        <w:rPr>
          <w:rFonts w:hint="default" w:ascii="Times New Roman" w:hAnsi="Times New Roman" w:eastAsia="宋体" w:cs="Times New Roman"/>
          <w:color w:val="auto"/>
          <w:spacing w:val="0"/>
          <w:w w:val="100"/>
          <w:kern w:val="21"/>
          <w:position w:val="0"/>
          <w:sz w:val="24"/>
          <w:u w:val="none" w:color="auto"/>
        </w:rPr>
        <w:t>根据上表可知，危险物质及工艺系统危险性等级为P</w:t>
      </w:r>
      <w:r>
        <w:rPr>
          <w:rFonts w:hint="eastAsia" w:ascii="Times New Roman" w:hAnsi="Times New Roman" w:eastAsia="宋体" w:cs="Times New Roman"/>
          <w:color w:val="auto"/>
          <w:spacing w:val="0"/>
          <w:w w:val="100"/>
          <w:kern w:val="21"/>
          <w:position w:val="0"/>
          <w:sz w:val="24"/>
          <w:u w:val="none" w:color="auto"/>
          <w:lang w:val="en-US" w:eastAsia="zh-CN"/>
        </w:rPr>
        <w:t>3</w:t>
      </w:r>
      <w:r>
        <w:rPr>
          <w:rFonts w:hint="default" w:ascii="Times New Roman" w:hAnsi="Times New Roman" w:eastAsia="宋体" w:cs="Times New Roman"/>
          <w:color w:val="auto"/>
          <w:spacing w:val="0"/>
          <w:w w:val="100"/>
          <w:kern w:val="21"/>
          <w:position w:val="0"/>
          <w:sz w:val="24"/>
          <w:u w:val="none" w:color="auto"/>
        </w:rPr>
        <w:t>。</w:t>
      </w:r>
    </w:p>
    <w:p w14:paraId="29BE802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eastAsia="宋体" w:cs="Times New Roman"/>
          <w:b/>
          <w:bCs/>
          <w:color w:val="auto"/>
          <w:spacing w:val="0"/>
          <w:w w:val="100"/>
          <w:kern w:val="21"/>
          <w:position w:val="0"/>
          <w:sz w:val="28"/>
          <w:szCs w:val="28"/>
          <w:u w:val="none" w:color="auto"/>
          <w:lang w:val="en-US" w:eastAsia="zh-CN"/>
        </w:rPr>
      </w:pPr>
      <w:r>
        <w:rPr>
          <w:rFonts w:hint="eastAsia" w:ascii="Times New Roman" w:hAnsi="Times New Roman" w:eastAsia="宋体" w:cs="Times New Roman"/>
          <w:b/>
          <w:bCs/>
          <w:color w:val="auto"/>
          <w:spacing w:val="0"/>
          <w:w w:val="100"/>
          <w:kern w:val="21"/>
          <w:position w:val="0"/>
          <w:sz w:val="28"/>
          <w:szCs w:val="28"/>
          <w:u w:val="none" w:color="auto"/>
          <w:lang w:val="en-US" w:eastAsia="zh-CN"/>
        </w:rPr>
        <w:t>3</w:t>
      </w:r>
      <w:r>
        <w:rPr>
          <w:rFonts w:hint="default" w:ascii="Times New Roman" w:hAnsi="Times New Roman" w:eastAsia="宋体" w:cs="Times New Roman"/>
          <w:b/>
          <w:bCs/>
          <w:color w:val="auto"/>
          <w:spacing w:val="0"/>
          <w:w w:val="100"/>
          <w:kern w:val="21"/>
          <w:position w:val="0"/>
          <w:sz w:val="28"/>
          <w:szCs w:val="28"/>
          <w:u w:val="none" w:color="auto"/>
          <w:lang w:val="en-US" w:eastAsia="zh-CN"/>
        </w:rPr>
        <w:t>.5环境敏感程度（E）的确定</w:t>
      </w:r>
    </w:p>
    <w:p w14:paraId="43E735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color w:val="000000"/>
          <w:sz w:val="24"/>
          <w:szCs w:val="24"/>
          <w:u w:val="none" w:color="auto"/>
          <w:lang w:val="en-US" w:eastAsia="zh-CN"/>
        </w:rPr>
      </w:pPr>
      <w:r>
        <w:rPr>
          <w:rFonts w:hint="eastAsia" w:ascii="Times New Roman" w:hAnsi="Times New Roman" w:eastAsia="宋体" w:cs="Times New Roman"/>
          <w:b/>
          <w:bCs/>
          <w:color w:val="000000"/>
          <w:sz w:val="24"/>
          <w:szCs w:val="24"/>
          <w:u w:val="none" w:color="auto"/>
          <w:lang w:val="en-US" w:eastAsia="zh-CN"/>
        </w:rPr>
        <w:t>3.5.1大气环境</w:t>
      </w:r>
    </w:p>
    <w:p w14:paraId="27C0E98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color w:val="auto"/>
          <w:spacing w:val="0"/>
          <w:w w:val="100"/>
          <w:kern w:val="21"/>
          <w:position w:val="0"/>
          <w:sz w:val="24"/>
          <w:u w:val="none" w:color="auto"/>
        </w:rPr>
        <w:t>依据环境敏感目标环境敏感性及人口密度划分环境风险受体的敏感性，共分为三种类型，E1为环境高度敏感区，E2为环境中度敏感区，E3为环境低度敏感区，分级原则见下表。</w:t>
      </w:r>
    </w:p>
    <w:p w14:paraId="1C416CA6">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大气环境敏感程度分级表</w:t>
      </w:r>
    </w:p>
    <w:tbl>
      <w:tblPr>
        <w:tblStyle w:val="32"/>
        <w:tblW w:w="4998" w:type="pct"/>
        <w:jc w:val="center"/>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8351"/>
      </w:tblGrid>
      <w:tr w14:paraId="737C7CA7">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noWrap w:val="0"/>
            <w:vAlign w:val="center"/>
          </w:tcPr>
          <w:p w14:paraId="7C024C1D">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分级</w:t>
            </w:r>
          </w:p>
        </w:tc>
        <w:tc>
          <w:tcPr>
            <w:tcW w:w="4519" w:type="pct"/>
            <w:noWrap w:val="0"/>
            <w:vAlign w:val="center"/>
          </w:tcPr>
          <w:p w14:paraId="7835383C">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大气环境敏感性</w:t>
            </w:r>
          </w:p>
        </w:tc>
      </w:tr>
      <w:tr w14:paraId="552431E9">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noWrap w:val="0"/>
            <w:vAlign w:val="center"/>
          </w:tcPr>
          <w:p w14:paraId="0FCC64C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E1</w:t>
            </w:r>
          </w:p>
        </w:tc>
        <w:tc>
          <w:tcPr>
            <w:tcW w:w="4519" w:type="pct"/>
            <w:noWrap w:val="0"/>
            <w:vAlign w:val="center"/>
          </w:tcPr>
          <w:p w14:paraId="5C625F55">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周边5km范围内居住区、医疗卫生、文化教育、科研、行政办公等机构人口总数大于5万人，或其他需要特殊保护区域；或周边500m范围内人口总数大于1000人；油气、化学品输送管线管段周边200m范围内，每千米管段人口数大于200人</w:t>
            </w:r>
          </w:p>
        </w:tc>
      </w:tr>
      <w:tr w14:paraId="30240DE2">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noWrap w:val="0"/>
            <w:vAlign w:val="center"/>
          </w:tcPr>
          <w:p w14:paraId="4DA980B2">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E2</w:t>
            </w:r>
          </w:p>
        </w:tc>
        <w:tc>
          <w:tcPr>
            <w:tcW w:w="4519" w:type="pct"/>
            <w:noWrap w:val="0"/>
            <w:vAlign w:val="center"/>
          </w:tcPr>
          <w:p w14:paraId="53F5731D">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周边5km范围内居住区、医疗卫生、文化教育、科研、行政办公等机构人口总数大于万人，小于5万人；或周边500m范围内人口总数大于500人，小于1000人：油气、化学品输送管线管段周边200m范围内，每千米管段人口数大于100人，小于200人</w:t>
            </w:r>
          </w:p>
        </w:tc>
      </w:tr>
      <w:tr w14:paraId="5A5A5A53">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noWrap w:val="0"/>
            <w:vAlign w:val="center"/>
          </w:tcPr>
          <w:p w14:paraId="26638D97">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E3</w:t>
            </w:r>
          </w:p>
        </w:tc>
        <w:tc>
          <w:tcPr>
            <w:tcW w:w="4519" w:type="pct"/>
            <w:noWrap w:val="0"/>
            <w:vAlign w:val="center"/>
          </w:tcPr>
          <w:p w14:paraId="0F3FBC3D">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周边5km范围内居住区、医疗卫生、文化教育、科研、行政办公等机构人口总数小于1万人：或周边500m范围内人口总数小于500人；油气、化学品输送管线管段周边200m范围内，每千米管段人口数小于100人</w:t>
            </w:r>
          </w:p>
        </w:tc>
      </w:tr>
    </w:tbl>
    <w:p w14:paraId="1277A32A">
      <w:pPr>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color w:val="auto"/>
          <w:spacing w:val="0"/>
          <w:w w:val="100"/>
          <w:kern w:val="21"/>
          <w:position w:val="0"/>
          <w:sz w:val="24"/>
          <w:u w:val="none" w:color="auto"/>
        </w:rPr>
        <w:t>本项目厂址周边5km范围内人口数</w:t>
      </w:r>
      <w:r>
        <w:rPr>
          <w:rFonts w:hint="default" w:ascii="Times New Roman" w:hAnsi="Times New Roman" w:eastAsia="宋体" w:cs="Times New Roman"/>
          <w:color w:val="000000"/>
          <w:spacing w:val="0"/>
          <w:w w:val="100"/>
          <w:kern w:val="21"/>
          <w:position w:val="0"/>
          <w:sz w:val="24"/>
          <w:u w:val="none" w:color="auto"/>
        </w:rPr>
        <w:t>为125668，大</w:t>
      </w:r>
      <w:r>
        <w:rPr>
          <w:rFonts w:hint="default" w:ascii="Times New Roman" w:hAnsi="Times New Roman" w:eastAsia="宋体" w:cs="Times New Roman"/>
          <w:color w:val="auto"/>
          <w:spacing w:val="0"/>
          <w:w w:val="100"/>
          <w:kern w:val="21"/>
          <w:position w:val="0"/>
          <w:sz w:val="24"/>
          <w:u w:val="none" w:color="auto"/>
        </w:rPr>
        <w:t>于5万人，故本项目大气环境敏感程度分级为E1。</w:t>
      </w:r>
    </w:p>
    <w:p w14:paraId="5C4DC2BD">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000000"/>
          <w:spacing w:val="0"/>
          <w:w w:val="100"/>
          <w:kern w:val="21"/>
          <w:position w:val="0"/>
          <w:sz w:val="24"/>
          <w:szCs w:val="24"/>
          <w:u w:val="none" w:color="auto"/>
          <w:lang w:val="en-US" w:eastAsia="zh-CN"/>
        </w:rPr>
      </w:pPr>
      <w:r>
        <w:rPr>
          <w:rFonts w:hint="default" w:ascii="Times New Roman" w:hAnsi="Times New Roman" w:eastAsia="黑体" w:cs="Times New Roman"/>
          <w:color w:val="000000"/>
          <w:spacing w:val="0"/>
          <w:w w:val="100"/>
          <w:kern w:val="21"/>
          <w:position w:val="0"/>
          <w:sz w:val="24"/>
          <w:szCs w:val="24"/>
          <w:u w:val="none" w:color="auto"/>
          <w:lang w:val="en-US" w:eastAsia="zh-CN"/>
        </w:rPr>
        <w:t xml:space="preserve">    建设项目环境风险潜势划分</w:t>
      </w:r>
    </w:p>
    <w:tbl>
      <w:tblPr>
        <w:tblStyle w:val="32"/>
        <w:tblW w:w="9232" w:type="dxa"/>
        <w:tblInd w:w="-2"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278"/>
        <w:gridCol w:w="1409"/>
        <w:gridCol w:w="1796"/>
        <w:gridCol w:w="1796"/>
        <w:gridCol w:w="1953"/>
      </w:tblGrid>
      <w:tr w14:paraId="4D5EF36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0" w:hRule="atLeast"/>
        </w:trPr>
        <w:tc>
          <w:tcPr>
            <w:tcW w:w="2278" w:type="dxa"/>
            <w:vMerge w:val="restart"/>
            <w:tcBorders>
              <w:tl2br w:val="nil"/>
              <w:tr2bl w:val="nil"/>
            </w:tcBorders>
            <w:shd w:val="clear" w:color="auto" w:fill="auto"/>
            <w:vAlign w:val="center"/>
          </w:tcPr>
          <w:p w14:paraId="1751FF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环境敏感程度（</w:t>
            </w:r>
            <w:r>
              <w:rPr>
                <w:rFonts w:hint="default" w:ascii="Times New Roman" w:hAnsi="Times New Roman" w:eastAsia="宋体" w:cs="Times New Roman"/>
                <w:b/>
                <w:bCs/>
                <w:color w:val="000000"/>
                <w:szCs w:val="21"/>
                <w:u w:val="none" w:color="auto"/>
                <w:lang w:val="en-US" w:eastAsia="zh-CN" w:bidi="ar"/>
              </w:rPr>
              <w:t>E</w:t>
            </w:r>
            <w:r>
              <w:rPr>
                <w:rFonts w:hint="eastAsia" w:ascii="宋体" w:hAnsi="宋体" w:eastAsia="宋体" w:cs="宋体"/>
                <w:b/>
                <w:bCs/>
                <w:i w:val="0"/>
                <w:iCs w:val="0"/>
                <w:color w:val="000000"/>
                <w:kern w:val="0"/>
                <w:sz w:val="21"/>
                <w:szCs w:val="21"/>
                <w:u w:val="none" w:color="auto"/>
                <w:lang w:val="en-US" w:eastAsia="zh-CN" w:bidi="ar"/>
              </w:rPr>
              <w:t>）</w:t>
            </w:r>
          </w:p>
        </w:tc>
        <w:tc>
          <w:tcPr>
            <w:tcW w:w="6954" w:type="dxa"/>
            <w:gridSpan w:val="4"/>
            <w:tcBorders>
              <w:tl2br w:val="nil"/>
              <w:tr2bl w:val="nil"/>
            </w:tcBorders>
            <w:shd w:val="clear" w:color="auto" w:fill="auto"/>
            <w:vAlign w:val="center"/>
          </w:tcPr>
          <w:p w14:paraId="32B592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危险物质及工艺系统危险性（</w:t>
            </w:r>
            <w:r>
              <w:rPr>
                <w:rFonts w:hint="default" w:ascii="Times New Roman" w:hAnsi="Times New Roman" w:eastAsia="宋体" w:cs="Times New Roman"/>
                <w:b/>
                <w:bCs/>
                <w:color w:val="000000"/>
                <w:szCs w:val="21"/>
                <w:u w:val="none" w:color="auto"/>
                <w:lang w:val="en-US" w:eastAsia="zh-CN" w:bidi="ar"/>
              </w:rPr>
              <w:t>P</w:t>
            </w:r>
            <w:r>
              <w:rPr>
                <w:rFonts w:hint="eastAsia" w:ascii="宋体" w:hAnsi="宋体" w:eastAsia="宋体" w:cs="宋体"/>
                <w:b/>
                <w:bCs/>
                <w:i w:val="0"/>
                <w:iCs w:val="0"/>
                <w:color w:val="000000"/>
                <w:kern w:val="0"/>
                <w:sz w:val="21"/>
                <w:szCs w:val="21"/>
                <w:u w:val="none" w:color="auto"/>
                <w:lang w:val="en-US" w:eastAsia="zh-CN" w:bidi="ar"/>
              </w:rPr>
              <w:t>）</w:t>
            </w:r>
          </w:p>
        </w:tc>
      </w:tr>
      <w:tr w14:paraId="483C34A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09" w:hRule="atLeast"/>
        </w:trPr>
        <w:tc>
          <w:tcPr>
            <w:tcW w:w="2278" w:type="dxa"/>
            <w:vMerge w:val="continue"/>
            <w:tcBorders>
              <w:tl2br w:val="nil"/>
              <w:tr2bl w:val="nil"/>
            </w:tcBorders>
            <w:shd w:val="clear" w:color="auto" w:fill="auto"/>
            <w:vAlign w:val="center"/>
          </w:tcPr>
          <w:p w14:paraId="67ACC5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color="auto"/>
              </w:rPr>
            </w:pPr>
          </w:p>
        </w:tc>
        <w:tc>
          <w:tcPr>
            <w:tcW w:w="1409" w:type="dxa"/>
            <w:tcBorders>
              <w:tl2br w:val="nil"/>
              <w:tr2bl w:val="nil"/>
            </w:tcBorders>
            <w:shd w:val="clear" w:color="auto" w:fill="auto"/>
            <w:vAlign w:val="center"/>
          </w:tcPr>
          <w:p w14:paraId="48D9F8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极高危（</w:t>
            </w:r>
            <w:r>
              <w:rPr>
                <w:rFonts w:hint="default" w:ascii="Times New Roman" w:hAnsi="Times New Roman" w:eastAsia="宋体" w:cs="Times New Roman"/>
                <w:b/>
                <w:bCs/>
                <w:color w:val="000000"/>
                <w:szCs w:val="21"/>
                <w:u w:val="none" w:color="auto"/>
                <w:lang w:val="en-US" w:eastAsia="zh-CN" w:bidi="ar"/>
              </w:rPr>
              <w:t>P1</w:t>
            </w:r>
            <w:r>
              <w:rPr>
                <w:rFonts w:hint="eastAsia" w:ascii="宋体" w:hAnsi="宋体" w:eastAsia="宋体" w:cs="宋体"/>
                <w:b/>
                <w:bCs/>
                <w:i w:val="0"/>
                <w:iCs w:val="0"/>
                <w:color w:val="000000"/>
                <w:kern w:val="0"/>
                <w:sz w:val="21"/>
                <w:szCs w:val="21"/>
                <w:u w:val="none" w:color="auto"/>
                <w:lang w:val="en-US" w:eastAsia="zh-CN" w:bidi="ar"/>
              </w:rPr>
              <w:t>）</w:t>
            </w:r>
          </w:p>
        </w:tc>
        <w:tc>
          <w:tcPr>
            <w:tcW w:w="1796" w:type="dxa"/>
            <w:tcBorders>
              <w:tl2br w:val="nil"/>
              <w:tr2bl w:val="nil"/>
            </w:tcBorders>
            <w:shd w:val="clear" w:color="auto" w:fill="auto"/>
            <w:vAlign w:val="center"/>
          </w:tcPr>
          <w:p w14:paraId="3D8AE9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高度危害（</w:t>
            </w:r>
            <w:r>
              <w:rPr>
                <w:rFonts w:hint="default" w:ascii="Times New Roman" w:hAnsi="Times New Roman" w:eastAsia="宋体" w:cs="Times New Roman"/>
                <w:b/>
                <w:bCs/>
                <w:color w:val="000000"/>
                <w:szCs w:val="21"/>
                <w:u w:val="none" w:color="auto"/>
                <w:lang w:val="en-US" w:eastAsia="zh-CN" w:bidi="ar"/>
              </w:rPr>
              <w:t>P2</w:t>
            </w:r>
            <w:r>
              <w:rPr>
                <w:rFonts w:hint="eastAsia" w:ascii="宋体" w:hAnsi="宋体" w:eastAsia="宋体" w:cs="宋体"/>
                <w:b/>
                <w:bCs/>
                <w:i w:val="0"/>
                <w:iCs w:val="0"/>
                <w:color w:val="000000"/>
                <w:kern w:val="0"/>
                <w:sz w:val="21"/>
                <w:szCs w:val="21"/>
                <w:u w:val="none" w:color="auto"/>
                <w:lang w:val="en-US" w:eastAsia="zh-CN" w:bidi="ar"/>
              </w:rPr>
              <w:t>）</w:t>
            </w:r>
          </w:p>
        </w:tc>
        <w:tc>
          <w:tcPr>
            <w:tcW w:w="1796" w:type="dxa"/>
            <w:tcBorders>
              <w:tl2br w:val="nil"/>
              <w:tr2bl w:val="nil"/>
            </w:tcBorders>
            <w:shd w:val="clear" w:color="auto" w:fill="auto"/>
            <w:vAlign w:val="center"/>
          </w:tcPr>
          <w:p w14:paraId="059A62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中度危害（</w:t>
            </w:r>
            <w:r>
              <w:rPr>
                <w:rFonts w:hint="default" w:ascii="Times New Roman" w:hAnsi="Times New Roman" w:eastAsia="宋体" w:cs="Times New Roman"/>
                <w:b/>
                <w:bCs/>
                <w:color w:val="000000"/>
                <w:szCs w:val="21"/>
                <w:u w:val="none" w:color="auto"/>
                <w:lang w:val="en-US" w:eastAsia="zh-CN" w:bidi="ar"/>
              </w:rPr>
              <w:t>P3</w:t>
            </w:r>
            <w:r>
              <w:rPr>
                <w:rFonts w:hint="eastAsia" w:ascii="宋体" w:hAnsi="宋体" w:eastAsia="宋体" w:cs="宋体"/>
                <w:b/>
                <w:bCs/>
                <w:i w:val="0"/>
                <w:iCs w:val="0"/>
                <w:color w:val="000000"/>
                <w:kern w:val="0"/>
                <w:sz w:val="21"/>
                <w:szCs w:val="21"/>
                <w:u w:val="none" w:color="auto"/>
                <w:lang w:val="en-US" w:eastAsia="zh-CN" w:bidi="ar"/>
              </w:rPr>
              <w:t>）</w:t>
            </w:r>
          </w:p>
        </w:tc>
        <w:tc>
          <w:tcPr>
            <w:tcW w:w="1953" w:type="dxa"/>
            <w:tcBorders>
              <w:tl2br w:val="nil"/>
              <w:tr2bl w:val="nil"/>
            </w:tcBorders>
            <w:shd w:val="clear" w:color="auto" w:fill="auto"/>
            <w:vAlign w:val="center"/>
          </w:tcPr>
          <w:p w14:paraId="1B3C69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轻度危害（</w:t>
            </w:r>
            <w:r>
              <w:rPr>
                <w:rFonts w:hint="default" w:ascii="Times New Roman" w:hAnsi="Times New Roman" w:eastAsia="宋体" w:cs="Times New Roman"/>
                <w:b/>
                <w:bCs/>
                <w:color w:val="000000"/>
                <w:szCs w:val="21"/>
                <w:u w:val="none" w:color="auto"/>
                <w:lang w:val="en-US" w:eastAsia="zh-CN" w:bidi="ar"/>
              </w:rPr>
              <w:t>P4</w:t>
            </w:r>
            <w:r>
              <w:rPr>
                <w:rFonts w:hint="eastAsia" w:ascii="宋体" w:hAnsi="宋体" w:eastAsia="宋体" w:cs="宋体"/>
                <w:b/>
                <w:bCs/>
                <w:i w:val="0"/>
                <w:iCs w:val="0"/>
                <w:color w:val="000000"/>
                <w:kern w:val="0"/>
                <w:sz w:val="21"/>
                <w:szCs w:val="21"/>
                <w:u w:val="none" w:color="auto"/>
                <w:lang w:val="en-US" w:eastAsia="zh-CN" w:bidi="ar"/>
              </w:rPr>
              <w:t>）</w:t>
            </w:r>
          </w:p>
        </w:tc>
      </w:tr>
      <w:tr w14:paraId="6C48EA9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5" w:hRule="atLeast"/>
        </w:trPr>
        <w:tc>
          <w:tcPr>
            <w:tcW w:w="2278" w:type="dxa"/>
            <w:tcBorders>
              <w:tl2br w:val="nil"/>
              <w:tr2bl w:val="nil"/>
            </w:tcBorders>
            <w:shd w:val="clear" w:color="auto" w:fill="auto"/>
            <w:vAlign w:val="center"/>
          </w:tcPr>
          <w:p w14:paraId="1F061B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环境高度敏感区（</w:t>
            </w:r>
            <w:r>
              <w:rPr>
                <w:rFonts w:hint="default" w:ascii="Times New Roman" w:hAnsi="Times New Roman" w:eastAsia="宋体" w:cs="Times New Roman"/>
                <w:i w:val="0"/>
                <w:iCs w:val="0"/>
                <w:color w:val="000000"/>
                <w:kern w:val="0"/>
                <w:sz w:val="21"/>
                <w:szCs w:val="21"/>
                <w:u w:val="none" w:color="auto"/>
                <w:lang w:val="en-US" w:eastAsia="zh-CN" w:bidi="ar"/>
              </w:rPr>
              <w:t>E1</w:t>
            </w:r>
            <w:r>
              <w:rPr>
                <w:rFonts w:hint="eastAsia" w:ascii="宋体" w:hAnsi="宋体" w:eastAsia="宋体" w:cs="宋体"/>
                <w:color w:val="000000"/>
                <w:szCs w:val="21"/>
                <w:u w:val="none" w:color="auto"/>
                <w:lang w:val="en-US" w:eastAsia="zh-CN" w:bidi="ar"/>
              </w:rPr>
              <w:t>）</w:t>
            </w:r>
          </w:p>
        </w:tc>
        <w:tc>
          <w:tcPr>
            <w:tcW w:w="1409" w:type="dxa"/>
            <w:tcBorders>
              <w:tl2br w:val="nil"/>
              <w:tr2bl w:val="nil"/>
            </w:tcBorders>
            <w:shd w:val="clear" w:color="auto" w:fill="auto"/>
            <w:vAlign w:val="center"/>
          </w:tcPr>
          <w:p w14:paraId="2E2382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796" w:type="dxa"/>
            <w:tcBorders>
              <w:tl2br w:val="nil"/>
              <w:tr2bl w:val="nil"/>
            </w:tcBorders>
            <w:shd w:val="clear" w:color="auto" w:fill="auto"/>
            <w:vAlign w:val="center"/>
          </w:tcPr>
          <w:p w14:paraId="29BFCB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796" w:type="dxa"/>
            <w:tcBorders>
              <w:tl2br w:val="nil"/>
              <w:tr2bl w:val="nil"/>
            </w:tcBorders>
            <w:shd w:val="clear" w:color="auto" w:fill="A4A4A4"/>
            <w:vAlign w:val="center"/>
          </w:tcPr>
          <w:p w14:paraId="5DEEFE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953" w:type="dxa"/>
            <w:tcBorders>
              <w:tl2br w:val="nil"/>
              <w:tr2bl w:val="nil"/>
            </w:tcBorders>
            <w:shd w:val="clear" w:color="auto" w:fill="auto"/>
            <w:vAlign w:val="center"/>
          </w:tcPr>
          <w:p w14:paraId="276B99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r>
      <w:tr w14:paraId="6FC4B76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6" w:hRule="atLeast"/>
        </w:trPr>
        <w:tc>
          <w:tcPr>
            <w:tcW w:w="2278" w:type="dxa"/>
            <w:tcBorders>
              <w:tl2br w:val="nil"/>
              <w:tr2bl w:val="nil"/>
            </w:tcBorders>
            <w:shd w:val="clear" w:color="auto" w:fill="auto"/>
            <w:vAlign w:val="center"/>
          </w:tcPr>
          <w:p w14:paraId="082C15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环境中度敏感区（</w:t>
            </w:r>
            <w:r>
              <w:rPr>
                <w:rFonts w:hint="default" w:ascii="Times New Roman" w:hAnsi="Times New Roman" w:eastAsia="宋体" w:cs="Times New Roman"/>
                <w:i w:val="0"/>
                <w:iCs w:val="0"/>
                <w:color w:val="000000"/>
                <w:kern w:val="0"/>
                <w:sz w:val="21"/>
                <w:szCs w:val="21"/>
                <w:u w:val="none" w:color="auto"/>
                <w:lang w:val="en-US" w:eastAsia="zh-CN" w:bidi="ar"/>
              </w:rPr>
              <w:t>E2</w:t>
            </w:r>
            <w:r>
              <w:rPr>
                <w:rFonts w:hint="eastAsia" w:ascii="宋体" w:hAnsi="宋体" w:eastAsia="宋体" w:cs="宋体"/>
                <w:color w:val="000000"/>
                <w:szCs w:val="21"/>
                <w:u w:val="none" w:color="auto"/>
                <w:lang w:val="en-US" w:eastAsia="zh-CN" w:bidi="ar"/>
              </w:rPr>
              <w:t>）</w:t>
            </w:r>
          </w:p>
        </w:tc>
        <w:tc>
          <w:tcPr>
            <w:tcW w:w="1409" w:type="dxa"/>
            <w:tcBorders>
              <w:tl2br w:val="nil"/>
              <w:tr2bl w:val="nil"/>
            </w:tcBorders>
            <w:shd w:val="clear" w:color="auto" w:fill="auto"/>
            <w:vAlign w:val="center"/>
          </w:tcPr>
          <w:p w14:paraId="3D1D1E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796" w:type="dxa"/>
            <w:tcBorders>
              <w:tl2br w:val="nil"/>
              <w:tr2bl w:val="nil"/>
            </w:tcBorders>
            <w:shd w:val="clear" w:color="auto" w:fill="auto"/>
            <w:vAlign w:val="center"/>
          </w:tcPr>
          <w:p w14:paraId="5B4791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796" w:type="dxa"/>
            <w:tcBorders>
              <w:tl2br w:val="nil"/>
              <w:tr2bl w:val="nil"/>
            </w:tcBorders>
            <w:shd w:val="clear" w:color="auto" w:fill="auto"/>
            <w:vAlign w:val="center"/>
          </w:tcPr>
          <w:p w14:paraId="4A8B83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953" w:type="dxa"/>
            <w:tcBorders>
              <w:tl2br w:val="nil"/>
              <w:tr2bl w:val="nil"/>
            </w:tcBorders>
            <w:shd w:val="clear" w:color="auto" w:fill="auto"/>
            <w:vAlign w:val="center"/>
          </w:tcPr>
          <w:p w14:paraId="68B719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Ⅱ</w:t>
            </w:r>
          </w:p>
        </w:tc>
      </w:tr>
      <w:tr w14:paraId="0FADC16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27" w:hRule="atLeast"/>
        </w:trPr>
        <w:tc>
          <w:tcPr>
            <w:tcW w:w="2278" w:type="dxa"/>
            <w:tcBorders>
              <w:tl2br w:val="nil"/>
              <w:tr2bl w:val="nil"/>
            </w:tcBorders>
            <w:shd w:val="clear" w:color="auto" w:fill="auto"/>
            <w:vAlign w:val="center"/>
          </w:tcPr>
          <w:p w14:paraId="6C53A1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环境低度敏感区（</w:t>
            </w:r>
            <w:r>
              <w:rPr>
                <w:rFonts w:hint="default" w:ascii="Times New Roman" w:hAnsi="Times New Roman" w:eastAsia="宋体" w:cs="Times New Roman"/>
                <w:i w:val="0"/>
                <w:iCs w:val="0"/>
                <w:color w:val="000000"/>
                <w:kern w:val="0"/>
                <w:sz w:val="21"/>
                <w:szCs w:val="21"/>
                <w:u w:val="none" w:color="auto"/>
                <w:lang w:val="en-US" w:eastAsia="zh-CN" w:bidi="ar"/>
              </w:rPr>
              <w:t>E3</w:t>
            </w:r>
            <w:r>
              <w:rPr>
                <w:rFonts w:hint="eastAsia" w:ascii="宋体" w:hAnsi="宋体" w:eastAsia="宋体" w:cs="宋体"/>
                <w:color w:val="000000"/>
                <w:szCs w:val="21"/>
                <w:u w:val="none" w:color="auto"/>
                <w:lang w:val="en-US" w:eastAsia="zh-CN" w:bidi="ar"/>
              </w:rPr>
              <w:t>）</w:t>
            </w:r>
          </w:p>
        </w:tc>
        <w:tc>
          <w:tcPr>
            <w:tcW w:w="1409" w:type="dxa"/>
            <w:tcBorders>
              <w:tl2br w:val="nil"/>
              <w:tr2bl w:val="nil"/>
            </w:tcBorders>
            <w:shd w:val="clear" w:color="auto" w:fill="auto"/>
            <w:vAlign w:val="center"/>
          </w:tcPr>
          <w:p w14:paraId="355892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796" w:type="dxa"/>
            <w:tcBorders>
              <w:tl2br w:val="nil"/>
              <w:tr2bl w:val="nil"/>
            </w:tcBorders>
            <w:shd w:val="clear" w:color="auto" w:fill="auto"/>
            <w:vAlign w:val="center"/>
          </w:tcPr>
          <w:p w14:paraId="47FADE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796" w:type="dxa"/>
            <w:tcBorders>
              <w:tl2br w:val="nil"/>
              <w:tr2bl w:val="nil"/>
            </w:tcBorders>
            <w:shd w:val="clear" w:color="auto" w:fill="auto"/>
            <w:vAlign w:val="center"/>
          </w:tcPr>
          <w:p w14:paraId="2E1DB6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Ⅱ</w:t>
            </w:r>
          </w:p>
        </w:tc>
        <w:tc>
          <w:tcPr>
            <w:tcW w:w="1953" w:type="dxa"/>
            <w:tcBorders>
              <w:tl2br w:val="nil"/>
              <w:tr2bl w:val="nil"/>
            </w:tcBorders>
            <w:shd w:val="clear" w:color="auto" w:fill="auto"/>
            <w:vAlign w:val="center"/>
          </w:tcPr>
          <w:p w14:paraId="05CE11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Ⅰ</w:t>
            </w:r>
          </w:p>
        </w:tc>
      </w:tr>
      <w:tr w14:paraId="6AA1AC3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5" w:hRule="atLeast"/>
        </w:trPr>
        <w:tc>
          <w:tcPr>
            <w:tcW w:w="9232" w:type="dxa"/>
            <w:gridSpan w:val="5"/>
            <w:tcBorders>
              <w:tl2br w:val="nil"/>
              <w:tr2bl w:val="nil"/>
            </w:tcBorders>
            <w:shd w:val="clear" w:color="auto" w:fill="auto"/>
            <w:vAlign w:val="center"/>
          </w:tcPr>
          <w:p w14:paraId="27C31F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18"/>
                <w:szCs w:val="18"/>
                <w:u w:val="none" w:color="auto"/>
              </w:rPr>
            </w:pPr>
            <w:r>
              <w:rPr>
                <w:rFonts w:hint="eastAsia" w:ascii="宋体" w:hAnsi="宋体" w:eastAsia="宋体" w:cs="宋体"/>
                <w:b/>
                <w:bCs/>
                <w:i w:val="0"/>
                <w:iCs w:val="0"/>
                <w:color w:val="000000"/>
                <w:kern w:val="0"/>
                <w:sz w:val="18"/>
                <w:szCs w:val="18"/>
                <w:u w:val="none" w:color="auto"/>
                <w:lang w:val="en-US" w:eastAsia="zh-CN" w:bidi="ar"/>
              </w:rPr>
              <w:t>注：</w:t>
            </w:r>
            <w:r>
              <w:rPr>
                <w:rFonts w:hint="default" w:ascii="Times New Roman" w:hAnsi="Times New Roman" w:eastAsia="宋体" w:cs="Times New Roman"/>
                <w:b/>
                <w:bCs/>
                <w:color w:val="000000"/>
                <w:sz w:val="18"/>
                <w:szCs w:val="18"/>
                <w:u w:val="none" w:color="auto"/>
                <w:lang w:val="en-US" w:eastAsia="zh-CN" w:bidi="ar"/>
              </w:rPr>
              <w:t>Ⅳ+</w:t>
            </w:r>
            <w:r>
              <w:rPr>
                <w:rFonts w:hint="eastAsia" w:ascii="宋体" w:hAnsi="宋体" w:eastAsia="宋体" w:cs="宋体"/>
                <w:b/>
                <w:bCs/>
                <w:color w:val="000000"/>
                <w:sz w:val="18"/>
                <w:szCs w:val="18"/>
                <w:u w:val="none" w:color="auto"/>
                <w:lang w:val="en-US" w:eastAsia="zh-CN" w:bidi="ar"/>
              </w:rPr>
              <w:t>为极高环境风险。</w:t>
            </w:r>
          </w:p>
        </w:tc>
      </w:tr>
    </w:tbl>
    <w:p w14:paraId="399159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default" w:ascii="Times New Roman" w:hAnsi="Times New Roman" w:eastAsia="宋体" w:cs="Times New Roman"/>
          <w:b/>
          <w:bCs/>
          <w:color w:val="000000"/>
          <w:sz w:val="24"/>
          <w:szCs w:val="24"/>
          <w:u w:val="none" w:color="auto"/>
          <w:lang w:val="en-US" w:eastAsia="zh-CN"/>
        </w:rPr>
      </w:pPr>
      <w:r>
        <w:rPr>
          <w:rFonts w:hint="eastAsia" w:ascii="Times New Roman" w:hAnsi="Times New Roman" w:eastAsia="宋体" w:cs="Times New Roman"/>
          <w:b/>
          <w:bCs/>
          <w:color w:val="000000"/>
          <w:sz w:val="24"/>
          <w:szCs w:val="24"/>
          <w:u w:val="none" w:color="auto"/>
          <w:lang w:val="en-US" w:eastAsia="zh-CN"/>
        </w:rPr>
        <w:t>3.5.2地表水环境</w:t>
      </w:r>
    </w:p>
    <w:p w14:paraId="4CBB1E6B">
      <w:pPr>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color w:val="auto"/>
          <w:spacing w:val="0"/>
          <w:w w:val="100"/>
          <w:kern w:val="21"/>
          <w:position w:val="0"/>
          <w:sz w:val="24"/>
          <w:u w:val="none" w:color="auto"/>
          <w:lang w:val="en-US" w:eastAsia="zh-CN"/>
        </w:rPr>
        <w:t>本项目地表水环境敏感程度分析如下：</w:t>
      </w:r>
    </w:p>
    <w:p w14:paraId="78C00197">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default" w:ascii="Times New Roman" w:hAnsi="Times New Roman" w:eastAsia="黑体" w:cs="Times New Roman"/>
          <w:color w:val="auto"/>
          <w:spacing w:val="0"/>
          <w:w w:val="100"/>
          <w:kern w:val="21"/>
          <w:position w:val="0"/>
          <w:sz w:val="24"/>
          <w:szCs w:val="24"/>
          <w:u w:val="none" w:color="auto"/>
          <w:lang w:val="en-US" w:eastAsia="zh-CN"/>
        </w:rPr>
        <w:t>地表水功能敏感性分区表</w:t>
      </w:r>
    </w:p>
    <w:tbl>
      <w:tblPr>
        <w:tblStyle w:val="32"/>
        <w:tblW w:w="4999" w:type="pct"/>
        <w:jc w:val="center"/>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7519"/>
      </w:tblGrid>
      <w:tr w14:paraId="0EB0D5AF">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pct"/>
            <w:noWrap w:val="0"/>
            <w:vAlign w:val="center"/>
          </w:tcPr>
          <w:p w14:paraId="1E4D3E91">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敏感性</w:t>
            </w:r>
          </w:p>
        </w:tc>
        <w:tc>
          <w:tcPr>
            <w:tcW w:w="4068" w:type="pct"/>
            <w:noWrap w:val="0"/>
            <w:vAlign w:val="center"/>
          </w:tcPr>
          <w:p w14:paraId="052132D7">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地表水环境敏感特征</w:t>
            </w:r>
          </w:p>
        </w:tc>
      </w:tr>
      <w:tr w14:paraId="2ACC9827">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pct"/>
            <w:noWrap w:val="0"/>
            <w:vAlign w:val="center"/>
          </w:tcPr>
          <w:p w14:paraId="14B01B71">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敏感F1</w:t>
            </w:r>
          </w:p>
        </w:tc>
        <w:tc>
          <w:tcPr>
            <w:tcW w:w="4068" w:type="pct"/>
            <w:noWrap w:val="0"/>
            <w:vAlign w:val="center"/>
          </w:tcPr>
          <w:p w14:paraId="38BFCE5C">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排放点进入地表水水域环境功能为Ⅱ类及以上，或海水水质分类第一类；或以发生事故时，危险物质泄漏到水体的排放点算起，排放进入受纳河流最大流速时，24h流经范围内涉跨国界的</w:t>
            </w:r>
          </w:p>
        </w:tc>
      </w:tr>
      <w:tr w14:paraId="41E47CF0">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pct"/>
            <w:noWrap w:val="0"/>
            <w:vAlign w:val="center"/>
          </w:tcPr>
          <w:p w14:paraId="6B13A7F3">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较敏感F2</w:t>
            </w:r>
          </w:p>
        </w:tc>
        <w:tc>
          <w:tcPr>
            <w:tcW w:w="4068" w:type="pct"/>
            <w:noWrap w:val="0"/>
            <w:vAlign w:val="center"/>
          </w:tcPr>
          <w:p w14:paraId="368BABC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排放点进入地表水水域环境功能为Ⅲ类，或海水水质分类第二类；或以发生事故时，危险物质泄漏到水体的排放点算起，排放进入受纳河流最大流速时，24h流经范围内涉跨省界的</w:t>
            </w:r>
          </w:p>
        </w:tc>
      </w:tr>
      <w:tr w14:paraId="2B93FDF5">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pct"/>
            <w:noWrap w:val="0"/>
            <w:vAlign w:val="center"/>
          </w:tcPr>
          <w:p w14:paraId="694F53A5">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低敏感F3</w:t>
            </w:r>
          </w:p>
        </w:tc>
        <w:tc>
          <w:tcPr>
            <w:tcW w:w="4068" w:type="pct"/>
            <w:noWrap w:val="0"/>
            <w:vAlign w:val="center"/>
          </w:tcPr>
          <w:p w14:paraId="3D6AB3F4">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上述地区之外的其他地区</w:t>
            </w:r>
          </w:p>
        </w:tc>
      </w:tr>
    </w:tbl>
    <w:p w14:paraId="1A18548D">
      <w:pPr>
        <w:bidi w:val="0"/>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eastAsia="zh-CN"/>
        </w:rPr>
      </w:pPr>
      <w:r>
        <w:rPr>
          <w:rFonts w:hint="default" w:ascii="Times New Roman" w:hAnsi="Times New Roman" w:eastAsia="宋体" w:cs="Times New Roman"/>
          <w:color w:val="auto"/>
          <w:spacing w:val="0"/>
          <w:w w:val="100"/>
          <w:kern w:val="21"/>
          <w:position w:val="0"/>
          <w:sz w:val="24"/>
          <w:u w:val="none" w:color="auto"/>
        </w:rPr>
        <w:t>距离本项目最近的地表水</w:t>
      </w:r>
      <w:r>
        <w:rPr>
          <w:rFonts w:hint="default" w:ascii="Times New Roman" w:hAnsi="Times New Roman" w:eastAsia="宋体" w:cs="Times New Roman"/>
          <w:color w:val="auto"/>
          <w:spacing w:val="0"/>
          <w:w w:val="100"/>
          <w:kern w:val="21"/>
          <w:position w:val="0"/>
          <w:sz w:val="24"/>
          <w:u w:val="none" w:color="auto"/>
          <w:lang w:val="en-US" w:eastAsia="zh-CN"/>
        </w:rPr>
        <w:t>为项目</w:t>
      </w:r>
      <w:r>
        <w:rPr>
          <w:rFonts w:hint="eastAsia" w:ascii="Times New Roman" w:hAnsi="Times New Roman" w:eastAsia="宋体" w:cs="Times New Roman"/>
          <w:color w:val="auto"/>
          <w:spacing w:val="0"/>
          <w:w w:val="100"/>
          <w:kern w:val="21"/>
          <w:position w:val="0"/>
          <w:sz w:val="24"/>
          <w:u w:val="none" w:color="auto"/>
          <w:lang w:val="en-US" w:eastAsia="zh-CN"/>
        </w:rPr>
        <w:t>厂区</w:t>
      </w:r>
      <w:r>
        <w:rPr>
          <w:rFonts w:hint="default" w:ascii="Times New Roman" w:hAnsi="Times New Roman" w:eastAsia="宋体" w:cs="Times New Roman"/>
          <w:color w:val="auto"/>
          <w:spacing w:val="0"/>
          <w:w w:val="100"/>
          <w:kern w:val="21"/>
          <w:position w:val="0"/>
          <w:sz w:val="24"/>
          <w:u w:val="none" w:color="auto"/>
          <w:lang w:val="en-US" w:eastAsia="zh-CN"/>
        </w:rPr>
        <w:t>东侧</w:t>
      </w:r>
      <w:r>
        <w:rPr>
          <w:rFonts w:hint="eastAsia" w:ascii="Times New Roman" w:hAnsi="Times New Roman" w:eastAsia="宋体" w:cs="Times New Roman"/>
          <w:color w:val="auto"/>
          <w:spacing w:val="0"/>
          <w:w w:val="100"/>
          <w:kern w:val="21"/>
          <w:position w:val="0"/>
          <w:sz w:val="24"/>
          <w:u w:val="none" w:color="auto"/>
          <w:lang w:val="en-US" w:eastAsia="zh-CN"/>
        </w:rPr>
        <w:t>520</w:t>
      </w:r>
      <w:r>
        <w:rPr>
          <w:rFonts w:hint="default" w:ascii="Times New Roman" w:hAnsi="Times New Roman" w:eastAsia="宋体" w:cs="Times New Roman"/>
          <w:color w:val="auto"/>
          <w:spacing w:val="0"/>
          <w:w w:val="100"/>
          <w:kern w:val="21"/>
          <w:position w:val="0"/>
          <w:sz w:val="24"/>
          <w:u w:val="none" w:color="auto"/>
        </w:rPr>
        <w:t>m处</w:t>
      </w:r>
      <w:r>
        <w:rPr>
          <w:rFonts w:hint="default" w:ascii="Times New Roman" w:hAnsi="Times New Roman" w:eastAsia="宋体" w:cs="Times New Roman"/>
          <w:color w:val="auto"/>
          <w:spacing w:val="0"/>
          <w:w w:val="100"/>
          <w:kern w:val="21"/>
          <w:position w:val="0"/>
          <w:sz w:val="24"/>
          <w:u w:val="none" w:color="auto"/>
          <w:lang w:val="en-US" w:eastAsia="zh-CN"/>
        </w:rPr>
        <w:t>的</w:t>
      </w:r>
      <w:r>
        <w:rPr>
          <w:rFonts w:hint="eastAsia" w:ascii="Times New Roman" w:hAnsi="Times New Roman" w:eastAsia="宋体" w:cs="Times New Roman"/>
          <w:color w:val="auto"/>
          <w:spacing w:val="0"/>
          <w:w w:val="100"/>
          <w:kern w:val="21"/>
          <w:position w:val="0"/>
          <w:sz w:val="24"/>
          <w:u w:val="none" w:color="auto"/>
          <w:lang w:val="en-US" w:eastAsia="zh-CN"/>
        </w:rPr>
        <w:t>东孟姜女河</w:t>
      </w:r>
      <w:r>
        <w:rPr>
          <w:rFonts w:hint="default" w:ascii="Times New Roman" w:hAnsi="Times New Roman" w:eastAsia="宋体" w:cs="Times New Roman"/>
          <w:color w:val="auto"/>
          <w:spacing w:val="0"/>
          <w:w w:val="100"/>
          <w:kern w:val="21"/>
          <w:position w:val="0"/>
          <w:sz w:val="24"/>
          <w:u w:val="none" w:color="auto"/>
        </w:rPr>
        <w:t>，本项目</w:t>
      </w:r>
      <w:r>
        <w:rPr>
          <w:rFonts w:hint="eastAsia" w:ascii="Times New Roman" w:hAnsi="Times New Roman" w:eastAsia="宋体" w:cs="Times New Roman"/>
          <w:color w:val="auto"/>
          <w:spacing w:val="0"/>
          <w:w w:val="100"/>
          <w:kern w:val="21"/>
          <w:position w:val="0"/>
          <w:sz w:val="24"/>
          <w:u w:val="none" w:color="auto"/>
          <w:lang w:val="en-US" w:eastAsia="zh-CN"/>
        </w:rPr>
        <w:t>废水</w:t>
      </w:r>
      <w:r>
        <w:rPr>
          <w:rFonts w:hint="eastAsia" w:cs="Times New Roman"/>
          <w:color w:val="auto"/>
          <w:spacing w:val="0"/>
          <w:w w:val="100"/>
          <w:kern w:val="21"/>
          <w:position w:val="0"/>
          <w:sz w:val="24"/>
          <w:u w:val="none" w:color="auto"/>
          <w:lang w:val="en-US" w:eastAsia="zh-CN"/>
        </w:rPr>
        <w:t>处理后纳管</w:t>
      </w:r>
      <w:r>
        <w:rPr>
          <w:rFonts w:hint="default" w:ascii="Times New Roman" w:hAnsi="Times New Roman" w:eastAsia="宋体" w:cs="Times New Roman"/>
          <w:color w:val="auto"/>
          <w:spacing w:val="0"/>
          <w:w w:val="100"/>
          <w:kern w:val="21"/>
          <w:position w:val="0"/>
          <w:sz w:val="24"/>
          <w:u w:val="none" w:color="auto"/>
        </w:rPr>
        <w:t>，</w:t>
      </w:r>
      <w:r>
        <w:rPr>
          <w:rFonts w:hint="eastAsia" w:cs="Times New Roman"/>
          <w:color w:val="auto"/>
          <w:spacing w:val="0"/>
          <w:w w:val="100"/>
          <w:kern w:val="21"/>
          <w:position w:val="0"/>
          <w:sz w:val="24"/>
          <w:u w:val="none" w:color="auto"/>
          <w:lang w:val="en-US" w:eastAsia="zh-CN"/>
        </w:rPr>
        <w:t>最终进入新乡市贾屯污水处理厂进一步处理，</w:t>
      </w:r>
      <w:r>
        <w:rPr>
          <w:rFonts w:hint="default" w:ascii="Times New Roman" w:hAnsi="Times New Roman" w:eastAsia="宋体" w:cs="Times New Roman"/>
          <w:color w:val="auto"/>
          <w:spacing w:val="0"/>
          <w:w w:val="100"/>
          <w:kern w:val="21"/>
          <w:position w:val="0"/>
          <w:sz w:val="24"/>
          <w:u w:val="none" w:color="auto"/>
        </w:rPr>
        <w:t>不直接进入地表水体，</w:t>
      </w:r>
      <w:r>
        <w:rPr>
          <w:rFonts w:hint="default" w:ascii="Times New Roman" w:hAnsi="Times New Roman" w:eastAsia="宋体" w:cs="Times New Roman"/>
          <w:color w:val="auto"/>
          <w:spacing w:val="0"/>
          <w:w w:val="100"/>
          <w:kern w:val="21"/>
          <w:position w:val="0"/>
          <w:sz w:val="24"/>
          <w:u w:val="none" w:color="auto"/>
          <w:lang w:val="en-US" w:eastAsia="zh-CN"/>
        </w:rPr>
        <w:t>正常</w:t>
      </w:r>
      <w:r>
        <w:rPr>
          <w:rFonts w:hint="default" w:ascii="Times New Roman" w:hAnsi="Times New Roman" w:eastAsia="宋体" w:cs="Times New Roman"/>
          <w:color w:val="auto"/>
          <w:spacing w:val="0"/>
          <w:w w:val="100"/>
          <w:kern w:val="21"/>
          <w:position w:val="0"/>
          <w:sz w:val="24"/>
          <w:u w:val="none" w:color="auto"/>
        </w:rPr>
        <w:t>情况下不存在危险物质泄漏到水体的情况</w:t>
      </w:r>
      <w:r>
        <w:rPr>
          <w:rFonts w:hint="default" w:ascii="Times New Roman" w:hAnsi="Times New Roman" w:eastAsia="宋体" w:cs="Times New Roman"/>
          <w:color w:val="auto"/>
          <w:spacing w:val="0"/>
          <w:w w:val="100"/>
          <w:kern w:val="21"/>
          <w:position w:val="0"/>
          <w:sz w:val="24"/>
          <w:u w:val="none" w:color="auto"/>
          <w:lang w:eastAsia="zh-CN"/>
        </w:rPr>
        <w:t>，</w:t>
      </w:r>
      <w:r>
        <w:rPr>
          <w:rFonts w:hint="default" w:ascii="Times New Roman" w:hAnsi="Times New Roman" w:eastAsia="宋体" w:cs="Times New Roman"/>
          <w:color w:val="auto"/>
          <w:spacing w:val="0"/>
          <w:w w:val="100"/>
          <w:kern w:val="21"/>
          <w:position w:val="0"/>
          <w:sz w:val="24"/>
          <w:u w:val="none" w:color="auto"/>
          <w:lang w:val="en-US" w:eastAsia="zh-CN"/>
        </w:rPr>
        <w:t>事故状态下</w:t>
      </w:r>
      <w:r>
        <w:rPr>
          <w:rFonts w:hint="eastAsia" w:ascii="Times New Roman" w:hAnsi="Times New Roman" w:eastAsia="宋体" w:cs="Times New Roman"/>
          <w:color w:val="auto"/>
          <w:spacing w:val="0"/>
          <w:w w:val="100"/>
          <w:kern w:val="21"/>
          <w:position w:val="0"/>
          <w:sz w:val="24"/>
          <w:u w:val="none" w:color="auto"/>
          <w:lang w:val="en-US" w:eastAsia="zh-CN"/>
        </w:rPr>
        <w:t>危险物质泄漏可尽快收集，收集后的锰酸锂作为危险废物处置</w:t>
      </w:r>
      <w:r>
        <w:rPr>
          <w:rFonts w:hint="default" w:ascii="Times New Roman" w:hAnsi="Times New Roman" w:eastAsia="宋体" w:cs="Times New Roman"/>
          <w:color w:val="auto"/>
          <w:spacing w:val="0"/>
          <w:w w:val="100"/>
          <w:kern w:val="21"/>
          <w:position w:val="0"/>
          <w:sz w:val="24"/>
          <w:u w:val="none" w:color="auto"/>
          <w:lang w:eastAsia="zh-CN"/>
        </w:rPr>
        <w:t>。</w:t>
      </w:r>
      <w:r>
        <w:rPr>
          <w:rFonts w:hint="default" w:ascii="Times New Roman" w:hAnsi="Times New Roman" w:eastAsia="宋体" w:cs="Times New Roman"/>
          <w:color w:val="auto"/>
          <w:spacing w:val="0"/>
          <w:w w:val="100"/>
          <w:kern w:val="21"/>
          <w:position w:val="0"/>
          <w:sz w:val="24"/>
          <w:u w:val="none" w:color="auto"/>
        </w:rPr>
        <w:t>因此，本项目地表水功能敏感程度属于低敏感F</w:t>
      </w:r>
      <w:r>
        <w:rPr>
          <w:rFonts w:hint="default" w:ascii="Times New Roman" w:hAnsi="Times New Roman" w:eastAsia="宋体" w:cs="Times New Roman"/>
          <w:color w:val="auto"/>
          <w:spacing w:val="0"/>
          <w:w w:val="100"/>
          <w:kern w:val="21"/>
          <w:position w:val="0"/>
          <w:sz w:val="24"/>
          <w:u w:val="none" w:color="auto"/>
          <w:lang w:val="en-US" w:eastAsia="zh-CN"/>
        </w:rPr>
        <w:t>3</w:t>
      </w:r>
      <w:r>
        <w:rPr>
          <w:rFonts w:hint="default" w:ascii="Times New Roman" w:hAnsi="Times New Roman" w:eastAsia="宋体" w:cs="Times New Roman"/>
          <w:color w:val="auto"/>
          <w:spacing w:val="0"/>
          <w:w w:val="100"/>
          <w:kern w:val="21"/>
          <w:position w:val="0"/>
          <w:sz w:val="24"/>
          <w:u w:val="none" w:color="auto"/>
          <w:lang w:eastAsia="zh-CN"/>
        </w:rPr>
        <w:t>。</w:t>
      </w:r>
    </w:p>
    <w:p w14:paraId="52736804">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default" w:ascii="Times New Roman" w:hAnsi="Times New Roman" w:eastAsia="黑体" w:cs="Times New Roman"/>
          <w:color w:val="auto"/>
          <w:spacing w:val="0"/>
          <w:w w:val="100"/>
          <w:kern w:val="21"/>
          <w:position w:val="0"/>
          <w:sz w:val="24"/>
          <w:szCs w:val="24"/>
          <w:u w:val="none" w:color="auto"/>
          <w:lang w:val="en-US" w:eastAsia="zh-CN"/>
        </w:rPr>
        <w:t>环境敏感目标分级</w:t>
      </w:r>
    </w:p>
    <w:tbl>
      <w:tblPr>
        <w:tblStyle w:val="32"/>
        <w:tblW w:w="4998" w:type="pct"/>
        <w:jc w:val="center"/>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8194"/>
      </w:tblGrid>
      <w:tr w14:paraId="3A22CE1B">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65" w:type="pct"/>
            <w:noWrap w:val="0"/>
            <w:vAlign w:val="center"/>
          </w:tcPr>
          <w:p w14:paraId="6B8676C5">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分级</w:t>
            </w:r>
          </w:p>
        </w:tc>
        <w:tc>
          <w:tcPr>
            <w:tcW w:w="4434" w:type="pct"/>
            <w:noWrap w:val="0"/>
            <w:vAlign w:val="center"/>
          </w:tcPr>
          <w:p w14:paraId="6B899D53">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环境敏感目标</w:t>
            </w:r>
          </w:p>
        </w:tc>
      </w:tr>
      <w:tr w14:paraId="0F408EB3">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5" w:type="pct"/>
            <w:noWrap w:val="0"/>
            <w:vAlign w:val="center"/>
          </w:tcPr>
          <w:p w14:paraId="08EF823E">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S1</w:t>
            </w:r>
          </w:p>
        </w:tc>
        <w:tc>
          <w:tcPr>
            <w:tcW w:w="4434" w:type="pct"/>
            <w:noWrap w:val="0"/>
            <w:vAlign w:val="center"/>
          </w:tcPr>
          <w:p w14:paraId="7AD3773B">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发生事故时，危险物质泄漏到内陆水体的排放点下游（顺水流向）10km范围内、近岸海域一个潮周期水质点可能达到的最大水平距离的两倍范围内，有如下一类或多类环境风险受体：集中式地表水饮用水水源保护区（包括一级保护区、二级保护区及准保护区）；农村及分散式饮用水水源保护区；自然保护区；重要湿地；珍稀濒危野生动植物天然集中分布区；重要水生生物的自然产卵场及索饵场、越冬场和洄游通道；世界文化和自然遗产地；红树林、珊瑚礁等滨海湿地生态系统；珍稀、濒危海洋生物的天然集中分布区；海洋特别保护区；海上自然保护区；盐场保护区；海水浴场；海洋自然历史遗迹；风景名胜区；或其他特殊重要保护区域</w:t>
            </w:r>
          </w:p>
        </w:tc>
      </w:tr>
      <w:tr w14:paraId="3E463645">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5" w:type="pct"/>
            <w:noWrap w:val="0"/>
            <w:vAlign w:val="center"/>
          </w:tcPr>
          <w:p w14:paraId="47AA5BEA">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S2</w:t>
            </w:r>
          </w:p>
        </w:tc>
        <w:tc>
          <w:tcPr>
            <w:tcW w:w="4434" w:type="pct"/>
            <w:noWrap w:val="0"/>
            <w:vAlign w:val="center"/>
          </w:tcPr>
          <w:p w14:paraId="239386EA">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发生事故时，危险物质泄漏到内陆水体的排放点下游（顺水流向）10km范围内、近岸海域一个潮周期水质点可能达到的最大水平距离的两倍范围内，有如下一类或多类环境风险受体的：水产养殖区；天然渔场；森林公园；地质公园；海滨风景游览区；具有重要经济价值的海洋生物生存区域</w:t>
            </w:r>
          </w:p>
        </w:tc>
      </w:tr>
      <w:tr w14:paraId="4D055998">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5" w:type="pct"/>
            <w:noWrap w:val="0"/>
            <w:vAlign w:val="center"/>
          </w:tcPr>
          <w:p w14:paraId="36C72CD9">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S3</w:t>
            </w:r>
          </w:p>
        </w:tc>
        <w:tc>
          <w:tcPr>
            <w:tcW w:w="4434" w:type="pct"/>
            <w:noWrap w:val="0"/>
            <w:vAlign w:val="center"/>
          </w:tcPr>
          <w:p w14:paraId="3F2A7349">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排放点下游（顺水流向）10km范围、近岸海域一个潮周期水质点可能达到的最大水平距离的两倍范围内无上述类型1和类型2包括的敏感保护目标</w:t>
            </w:r>
          </w:p>
        </w:tc>
      </w:tr>
    </w:tbl>
    <w:p w14:paraId="056E6153">
      <w:pPr>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color w:val="auto"/>
          <w:spacing w:val="0"/>
          <w:w w:val="100"/>
          <w:kern w:val="21"/>
          <w:position w:val="0"/>
          <w:sz w:val="24"/>
          <w:u w:val="none" w:color="auto"/>
        </w:rPr>
        <w:t>本项目发生事故时，危险物质泄漏</w:t>
      </w:r>
      <w:r>
        <w:rPr>
          <w:rFonts w:hint="default" w:ascii="Times New Roman" w:hAnsi="Times New Roman" w:eastAsia="宋体" w:cs="Times New Roman"/>
          <w:color w:val="auto"/>
          <w:spacing w:val="0"/>
          <w:w w:val="100"/>
          <w:kern w:val="21"/>
          <w:position w:val="0"/>
          <w:sz w:val="24"/>
          <w:u w:val="none" w:color="auto"/>
          <w:lang w:val="en-US" w:eastAsia="zh-CN"/>
        </w:rPr>
        <w:t>不会进入地表水体</w:t>
      </w:r>
      <w:r>
        <w:rPr>
          <w:rFonts w:hint="default" w:ascii="Times New Roman" w:hAnsi="Times New Roman" w:eastAsia="宋体" w:cs="Times New Roman"/>
          <w:color w:val="auto"/>
          <w:spacing w:val="0"/>
          <w:w w:val="100"/>
          <w:kern w:val="21"/>
          <w:position w:val="0"/>
          <w:sz w:val="24"/>
          <w:u w:val="none" w:color="auto"/>
        </w:rPr>
        <w:t>，环境敏感目标分级为S</w:t>
      </w:r>
      <w:r>
        <w:rPr>
          <w:rFonts w:hint="default" w:ascii="Times New Roman" w:hAnsi="Times New Roman" w:eastAsia="宋体" w:cs="Times New Roman"/>
          <w:color w:val="auto"/>
          <w:spacing w:val="0"/>
          <w:w w:val="100"/>
          <w:kern w:val="21"/>
          <w:position w:val="0"/>
          <w:sz w:val="24"/>
          <w:u w:val="none" w:color="auto"/>
          <w:lang w:val="en-US" w:eastAsia="zh-CN"/>
        </w:rPr>
        <w:t>3。</w:t>
      </w:r>
    </w:p>
    <w:p w14:paraId="229406D0">
      <w:pPr>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val="en-US" w:eastAsia="zh-CN"/>
        </w:rPr>
      </w:pPr>
    </w:p>
    <w:p w14:paraId="6FB0CCFF">
      <w:pPr>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val="en-US" w:eastAsia="zh-CN"/>
        </w:rPr>
      </w:pPr>
    </w:p>
    <w:p w14:paraId="40B2DAB3">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default" w:ascii="Times New Roman" w:hAnsi="Times New Roman" w:eastAsia="黑体" w:cs="Times New Roman"/>
          <w:color w:val="auto"/>
          <w:spacing w:val="0"/>
          <w:w w:val="100"/>
          <w:kern w:val="21"/>
          <w:position w:val="0"/>
          <w:sz w:val="24"/>
          <w:szCs w:val="24"/>
          <w:u w:val="none" w:color="auto"/>
          <w:lang w:val="en-US" w:eastAsia="zh-CN"/>
        </w:rPr>
        <w:t>地表水环境敏感程度分级表</w:t>
      </w:r>
    </w:p>
    <w:tbl>
      <w:tblPr>
        <w:tblStyle w:val="32"/>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2453"/>
        <w:gridCol w:w="2261"/>
        <w:gridCol w:w="2261"/>
        <w:gridCol w:w="2267"/>
      </w:tblGrid>
      <w:tr w14:paraId="3CDEE4A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327" w:type="pct"/>
            <w:vMerge w:val="restart"/>
            <w:noWrap/>
            <w:vAlign w:val="center"/>
          </w:tcPr>
          <w:p w14:paraId="46775BAE">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环境敏感目标</w:t>
            </w:r>
          </w:p>
        </w:tc>
        <w:tc>
          <w:tcPr>
            <w:tcW w:w="3672" w:type="pct"/>
            <w:gridSpan w:val="3"/>
            <w:noWrap w:val="0"/>
            <w:vAlign w:val="center"/>
          </w:tcPr>
          <w:p w14:paraId="1E354ED7">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地表水功能敏感性</w:t>
            </w:r>
          </w:p>
        </w:tc>
      </w:tr>
      <w:tr w14:paraId="1E2CF04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327" w:type="pct"/>
            <w:vMerge w:val="continue"/>
            <w:noWrap/>
            <w:vAlign w:val="center"/>
          </w:tcPr>
          <w:p w14:paraId="41514E81">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1223" w:type="pct"/>
            <w:noWrap w:val="0"/>
            <w:vAlign w:val="center"/>
          </w:tcPr>
          <w:p w14:paraId="7B5D65F6">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t>F1</w:t>
            </w:r>
          </w:p>
        </w:tc>
        <w:tc>
          <w:tcPr>
            <w:tcW w:w="1223" w:type="pct"/>
            <w:noWrap w:val="0"/>
            <w:vAlign w:val="center"/>
          </w:tcPr>
          <w:p w14:paraId="4251BC2D">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t>F2</w:t>
            </w:r>
          </w:p>
        </w:tc>
        <w:tc>
          <w:tcPr>
            <w:tcW w:w="1225" w:type="pct"/>
            <w:noWrap w:val="0"/>
            <w:vAlign w:val="center"/>
          </w:tcPr>
          <w:p w14:paraId="6D2BFB0D">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t>F3</w:t>
            </w:r>
          </w:p>
        </w:tc>
      </w:tr>
      <w:tr w14:paraId="3A70C4A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327" w:type="pct"/>
            <w:noWrap/>
            <w:vAlign w:val="center"/>
          </w:tcPr>
          <w:p w14:paraId="09DD74C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S1</w:t>
            </w:r>
          </w:p>
        </w:tc>
        <w:tc>
          <w:tcPr>
            <w:tcW w:w="1223" w:type="pct"/>
            <w:noWrap w:val="0"/>
            <w:vAlign w:val="center"/>
          </w:tcPr>
          <w:p w14:paraId="5D502DB4">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E1</w:t>
            </w:r>
          </w:p>
        </w:tc>
        <w:tc>
          <w:tcPr>
            <w:tcW w:w="1223" w:type="pct"/>
            <w:noWrap w:val="0"/>
            <w:vAlign w:val="center"/>
          </w:tcPr>
          <w:p w14:paraId="3F251CD3">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E1</w:t>
            </w:r>
          </w:p>
        </w:tc>
        <w:tc>
          <w:tcPr>
            <w:tcW w:w="1225" w:type="pct"/>
            <w:noWrap w:val="0"/>
            <w:vAlign w:val="center"/>
          </w:tcPr>
          <w:p w14:paraId="30B1AF10">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E2</w:t>
            </w:r>
          </w:p>
        </w:tc>
      </w:tr>
      <w:tr w14:paraId="200EF42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327" w:type="pct"/>
            <w:noWrap/>
            <w:vAlign w:val="center"/>
          </w:tcPr>
          <w:p w14:paraId="7B0AA3C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S2</w:t>
            </w:r>
          </w:p>
        </w:tc>
        <w:tc>
          <w:tcPr>
            <w:tcW w:w="1223" w:type="pct"/>
            <w:noWrap w:val="0"/>
            <w:vAlign w:val="center"/>
          </w:tcPr>
          <w:p w14:paraId="10152CC2">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E1</w:t>
            </w:r>
          </w:p>
        </w:tc>
        <w:tc>
          <w:tcPr>
            <w:tcW w:w="1223" w:type="pct"/>
            <w:noWrap w:val="0"/>
            <w:vAlign w:val="center"/>
          </w:tcPr>
          <w:p w14:paraId="6AB4BBD9">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E2</w:t>
            </w:r>
          </w:p>
        </w:tc>
        <w:tc>
          <w:tcPr>
            <w:tcW w:w="1225" w:type="pct"/>
            <w:noWrap w:val="0"/>
            <w:vAlign w:val="center"/>
          </w:tcPr>
          <w:p w14:paraId="7703319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E3</w:t>
            </w:r>
          </w:p>
        </w:tc>
      </w:tr>
      <w:tr w14:paraId="7706886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327" w:type="pct"/>
            <w:shd w:val="clear" w:color="auto" w:fill="auto"/>
            <w:noWrap/>
            <w:vAlign w:val="center"/>
          </w:tcPr>
          <w:p w14:paraId="5374C1FB">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S3</w:t>
            </w:r>
          </w:p>
        </w:tc>
        <w:tc>
          <w:tcPr>
            <w:tcW w:w="1223" w:type="pct"/>
            <w:shd w:val="clear" w:color="auto" w:fill="auto"/>
            <w:noWrap w:val="0"/>
            <w:vAlign w:val="center"/>
          </w:tcPr>
          <w:p w14:paraId="5E31EC6C">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E1</w:t>
            </w:r>
          </w:p>
        </w:tc>
        <w:tc>
          <w:tcPr>
            <w:tcW w:w="1223" w:type="pct"/>
            <w:shd w:val="clear" w:color="auto" w:fill="auto"/>
            <w:noWrap w:val="0"/>
            <w:vAlign w:val="center"/>
          </w:tcPr>
          <w:p w14:paraId="404134E0">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E2</w:t>
            </w:r>
          </w:p>
        </w:tc>
        <w:tc>
          <w:tcPr>
            <w:tcW w:w="1225" w:type="pct"/>
            <w:shd w:val="clear" w:color="auto" w:fill="A4A4A4"/>
            <w:noWrap w:val="0"/>
            <w:vAlign w:val="center"/>
          </w:tcPr>
          <w:p w14:paraId="4C45656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E3</w:t>
            </w:r>
          </w:p>
        </w:tc>
      </w:tr>
    </w:tbl>
    <w:p w14:paraId="10A1680E">
      <w:pPr>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color w:val="auto"/>
          <w:spacing w:val="0"/>
          <w:w w:val="100"/>
          <w:kern w:val="21"/>
          <w:position w:val="0"/>
          <w:sz w:val="24"/>
          <w:u w:val="none" w:color="auto"/>
          <w:lang w:val="en-US" w:eastAsia="zh-CN"/>
        </w:rPr>
        <w:t>由上表可知，本项目地表水环境敏感程度为E3。</w:t>
      </w:r>
    </w:p>
    <w:p w14:paraId="6D2941B6">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default" w:ascii="Times New Roman" w:hAnsi="Times New Roman" w:eastAsia="黑体" w:cs="Times New Roman"/>
          <w:color w:val="auto"/>
          <w:spacing w:val="0"/>
          <w:w w:val="100"/>
          <w:kern w:val="21"/>
          <w:position w:val="0"/>
          <w:sz w:val="24"/>
          <w:szCs w:val="24"/>
          <w:u w:val="none" w:color="auto"/>
          <w:lang w:val="en-US" w:eastAsia="zh-CN"/>
        </w:rPr>
        <w:t>建设项目环境风险潜势划分</w:t>
      </w:r>
    </w:p>
    <w:tbl>
      <w:tblPr>
        <w:tblStyle w:val="32"/>
        <w:tblW w:w="9159" w:type="dxa"/>
        <w:tblInd w:w="93"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924"/>
        <w:gridCol w:w="2488"/>
        <w:gridCol w:w="1735"/>
        <w:gridCol w:w="1505"/>
        <w:gridCol w:w="1507"/>
      </w:tblGrid>
      <w:tr w14:paraId="7BBAB53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28" w:hRule="atLeast"/>
        </w:trPr>
        <w:tc>
          <w:tcPr>
            <w:tcW w:w="1924" w:type="dxa"/>
            <w:vMerge w:val="restart"/>
            <w:tcBorders>
              <w:tl2br w:val="nil"/>
              <w:tr2bl w:val="nil"/>
            </w:tcBorders>
            <w:shd w:val="clear" w:color="auto" w:fill="auto"/>
            <w:vAlign w:val="center"/>
          </w:tcPr>
          <w:p w14:paraId="19393F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环境敏感程度（</w:t>
            </w:r>
            <w:r>
              <w:rPr>
                <w:rFonts w:hint="default" w:ascii="Times New Roman" w:hAnsi="Times New Roman" w:eastAsia="宋体" w:cs="Times New Roman"/>
                <w:b/>
                <w:bCs/>
                <w:i w:val="0"/>
                <w:iCs w:val="0"/>
                <w:color w:val="000000"/>
                <w:kern w:val="0"/>
                <w:sz w:val="21"/>
                <w:szCs w:val="21"/>
                <w:u w:val="none" w:color="auto"/>
                <w:lang w:val="en-US" w:eastAsia="zh-CN" w:bidi="ar"/>
              </w:rPr>
              <w:t>E</w:t>
            </w:r>
            <w:r>
              <w:rPr>
                <w:rFonts w:hint="eastAsia" w:ascii="宋体" w:hAnsi="宋体" w:eastAsia="宋体" w:cs="宋体"/>
                <w:b/>
                <w:bCs/>
                <w:i w:val="0"/>
                <w:iCs w:val="0"/>
                <w:color w:val="000000"/>
                <w:kern w:val="0"/>
                <w:sz w:val="21"/>
                <w:szCs w:val="21"/>
                <w:u w:val="none" w:color="auto"/>
                <w:lang w:val="en-US" w:eastAsia="zh-CN" w:bidi="ar"/>
              </w:rPr>
              <w:t>）</w:t>
            </w:r>
          </w:p>
        </w:tc>
        <w:tc>
          <w:tcPr>
            <w:tcW w:w="7235" w:type="dxa"/>
            <w:gridSpan w:val="4"/>
            <w:tcBorders>
              <w:tl2br w:val="nil"/>
              <w:tr2bl w:val="nil"/>
            </w:tcBorders>
            <w:shd w:val="clear" w:color="auto" w:fill="auto"/>
            <w:vAlign w:val="center"/>
          </w:tcPr>
          <w:p w14:paraId="31A4FF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危险物质及工艺系统危险性（</w:t>
            </w:r>
            <w:r>
              <w:rPr>
                <w:rFonts w:hint="default" w:ascii="Times New Roman" w:hAnsi="Times New Roman" w:eastAsia="宋体" w:cs="Times New Roman"/>
                <w:b/>
                <w:bCs/>
                <w:i w:val="0"/>
                <w:iCs w:val="0"/>
                <w:color w:val="000000"/>
                <w:kern w:val="0"/>
                <w:sz w:val="21"/>
                <w:szCs w:val="21"/>
                <w:u w:val="none" w:color="auto"/>
                <w:lang w:val="en-US" w:eastAsia="zh-CN" w:bidi="ar"/>
              </w:rPr>
              <w:t>P</w:t>
            </w:r>
            <w:r>
              <w:rPr>
                <w:rFonts w:hint="eastAsia" w:ascii="宋体" w:hAnsi="宋体" w:eastAsia="宋体" w:cs="宋体"/>
                <w:b/>
                <w:bCs/>
                <w:i w:val="0"/>
                <w:iCs w:val="0"/>
                <w:color w:val="000000"/>
                <w:kern w:val="0"/>
                <w:sz w:val="21"/>
                <w:szCs w:val="21"/>
                <w:u w:val="none" w:color="auto"/>
                <w:lang w:val="en-US" w:eastAsia="zh-CN" w:bidi="ar"/>
              </w:rPr>
              <w:t>）</w:t>
            </w:r>
          </w:p>
        </w:tc>
      </w:tr>
      <w:tr w14:paraId="41D8863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26" w:hRule="atLeast"/>
        </w:trPr>
        <w:tc>
          <w:tcPr>
            <w:tcW w:w="1924" w:type="dxa"/>
            <w:vMerge w:val="continue"/>
            <w:tcBorders>
              <w:tl2br w:val="nil"/>
              <w:tr2bl w:val="nil"/>
            </w:tcBorders>
            <w:shd w:val="clear" w:color="auto" w:fill="auto"/>
            <w:vAlign w:val="center"/>
          </w:tcPr>
          <w:p w14:paraId="018160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color="auto"/>
              </w:rPr>
            </w:pPr>
          </w:p>
        </w:tc>
        <w:tc>
          <w:tcPr>
            <w:tcW w:w="2488" w:type="dxa"/>
            <w:tcBorders>
              <w:tl2br w:val="nil"/>
              <w:tr2bl w:val="nil"/>
            </w:tcBorders>
            <w:shd w:val="clear" w:color="auto" w:fill="auto"/>
            <w:vAlign w:val="center"/>
          </w:tcPr>
          <w:p w14:paraId="7228B7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极高危害（</w:t>
            </w:r>
            <w:r>
              <w:rPr>
                <w:rFonts w:hint="default" w:ascii="Times New Roman" w:hAnsi="Times New Roman" w:eastAsia="宋体" w:cs="Times New Roman"/>
                <w:b/>
                <w:bCs/>
                <w:i w:val="0"/>
                <w:iCs w:val="0"/>
                <w:color w:val="000000"/>
                <w:kern w:val="0"/>
                <w:sz w:val="21"/>
                <w:szCs w:val="21"/>
                <w:u w:val="none" w:color="auto"/>
                <w:lang w:val="en-US" w:eastAsia="zh-CN" w:bidi="ar"/>
              </w:rPr>
              <w:t>P1</w:t>
            </w:r>
            <w:r>
              <w:rPr>
                <w:rFonts w:hint="eastAsia" w:ascii="宋体" w:hAnsi="宋体" w:eastAsia="宋体" w:cs="宋体"/>
                <w:b/>
                <w:bCs/>
                <w:i w:val="0"/>
                <w:iCs w:val="0"/>
                <w:color w:val="000000"/>
                <w:kern w:val="0"/>
                <w:sz w:val="21"/>
                <w:szCs w:val="21"/>
                <w:u w:val="none" w:color="auto"/>
                <w:lang w:val="en-US" w:eastAsia="zh-CN" w:bidi="ar"/>
              </w:rPr>
              <w:t>）</w:t>
            </w:r>
          </w:p>
        </w:tc>
        <w:tc>
          <w:tcPr>
            <w:tcW w:w="1735" w:type="dxa"/>
            <w:tcBorders>
              <w:tl2br w:val="nil"/>
              <w:tr2bl w:val="nil"/>
            </w:tcBorders>
            <w:shd w:val="clear" w:color="auto" w:fill="auto"/>
            <w:vAlign w:val="center"/>
          </w:tcPr>
          <w:p w14:paraId="650610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高度危害（</w:t>
            </w:r>
            <w:r>
              <w:rPr>
                <w:rFonts w:hint="default" w:ascii="Times New Roman" w:hAnsi="Times New Roman" w:eastAsia="宋体" w:cs="Times New Roman"/>
                <w:b/>
                <w:bCs/>
                <w:i w:val="0"/>
                <w:iCs w:val="0"/>
                <w:color w:val="000000"/>
                <w:kern w:val="0"/>
                <w:sz w:val="21"/>
                <w:szCs w:val="21"/>
                <w:u w:val="none" w:color="auto"/>
                <w:lang w:val="en-US" w:eastAsia="zh-CN" w:bidi="ar"/>
              </w:rPr>
              <w:t>P2</w:t>
            </w:r>
            <w:r>
              <w:rPr>
                <w:rFonts w:hint="eastAsia" w:ascii="宋体" w:hAnsi="宋体" w:eastAsia="宋体" w:cs="宋体"/>
                <w:b/>
                <w:bCs/>
                <w:i w:val="0"/>
                <w:iCs w:val="0"/>
                <w:color w:val="000000"/>
                <w:kern w:val="0"/>
                <w:sz w:val="21"/>
                <w:szCs w:val="21"/>
                <w:u w:val="none" w:color="auto"/>
                <w:lang w:val="en-US" w:eastAsia="zh-CN" w:bidi="ar"/>
              </w:rPr>
              <w:t>）</w:t>
            </w:r>
          </w:p>
        </w:tc>
        <w:tc>
          <w:tcPr>
            <w:tcW w:w="1505" w:type="dxa"/>
            <w:tcBorders>
              <w:tl2br w:val="nil"/>
              <w:tr2bl w:val="nil"/>
            </w:tcBorders>
            <w:shd w:val="clear" w:color="auto" w:fill="auto"/>
            <w:vAlign w:val="center"/>
          </w:tcPr>
          <w:p w14:paraId="581E61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中度危害（</w:t>
            </w:r>
            <w:r>
              <w:rPr>
                <w:rFonts w:hint="default" w:ascii="Times New Roman" w:hAnsi="Times New Roman" w:eastAsia="宋体" w:cs="Times New Roman"/>
                <w:b/>
                <w:bCs/>
                <w:i w:val="0"/>
                <w:iCs w:val="0"/>
                <w:color w:val="000000"/>
                <w:kern w:val="0"/>
                <w:sz w:val="21"/>
                <w:szCs w:val="21"/>
                <w:u w:val="none" w:color="auto"/>
                <w:lang w:val="en-US" w:eastAsia="zh-CN" w:bidi="ar"/>
              </w:rPr>
              <w:t>P3</w:t>
            </w:r>
            <w:r>
              <w:rPr>
                <w:rFonts w:hint="eastAsia" w:ascii="宋体" w:hAnsi="宋体" w:eastAsia="宋体" w:cs="宋体"/>
                <w:b/>
                <w:bCs/>
                <w:i w:val="0"/>
                <w:iCs w:val="0"/>
                <w:color w:val="000000"/>
                <w:kern w:val="0"/>
                <w:sz w:val="21"/>
                <w:szCs w:val="21"/>
                <w:u w:val="none" w:color="auto"/>
                <w:lang w:val="en-US" w:eastAsia="zh-CN" w:bidi="ar"/>
              </w:rPr>
              <w:t>）</w:t>
            </w:r>
          </w:p>
        </w:tc>
        <w:tc>
          <w:tcPr>
            <w:tcW w:w="1507" w:type="dxa"/>
            <w:tcBorders>
              <w:tl2br w:val="nil"/>
              <w:tr2bl w:val="nil"/>
            </w:tcBorders>
            <w:shd w:val="clear" w:color="auto" w:fill="auto"/>
            <w:vAlign w:val="center"/>
          </w:tcPr>
          <w:p w14:paraId="730579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轻度危害（</w:t>
            </w:r>
            <w:r>
              <w:rPr>
                <w:rFonts w:hint="default" w:ascii="Times New Roman" w:hAnsi="Times New Roman" w:eastAsia="宋体" w:cs="Times New Roman"/>
                <w:b/>
                <w:bCs/>
                <w:i w:val="0"/>
                <w:iCs w:val="0"/>
                <w:color w:val="000000"/>
                <w:kern w:val="0"/>
                <w:sz w:val="21"/>
                <w:szCs w:val="21"/>
                <w:u w:val="none" w:color="auto"/>
                <w:lang w:val="en-US" w:eastAsia="zh-CN" w:bidi="ar"/>
              </w:rPr>
              <w:t>P4</w:t>
            </w:r>
            <w:r>
              <w:rPr>
                <w:rFonts w:hint="eastAsia" w:ascii="宋体" w:hAnsi="宋体" w:eastAsia="宋体" w:cs="宋体"/>
                <w:b/>
                <w:bCs/>
                <w:i w:val="0"/>
                <w:iCs w:val="0"/>
                <w:color w:val="000000"/>
                <w:kern w:val="0"/>
                <w:sz w:val="21"/>
                <w:szCs w:val="21"/>
                <w:u w:val="none" w:color="auto"/>
                <w:lang w:val="en-US" w:eastAsia="zh-CN" w:bidi="ar"/>
              </w:rPr>
              <w:t>）</w:t>
            </w:r>
          </w:p>
        </w:tc>
      </w:tr>
      <w:tr w14:paraId="1F8D4F1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8" w:hRule="atLeast"/>
        </w:trPr>
        <w:tc>
          <w:tcPr>
            <w:tcW w:w="1924" w:type="dxa"/>
            <w:tcBorders>
              <w:tl2br w:val="nil"/>
              <w:tr2bl w:val="nil"/>
            </w:tcBorders>
            <w:shd w:val="clear" w:color="auto" w:fill="auto"/>
            <w:vAlign w:val="center"/>
          </w:tcPr>
          <w:p w14:paraId="5EB3B2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环境高度敏感（</w:t>
            </w:r>
            <w:r>
              <w:rPr>
                <w:rFonts w:hint="default" w:ascii="Times New Roman" w:hAnsi="Times New Roman" w:eastAsia="宋体" w:cs="Times New Roman"/>
                <w:i w:val="0"/>
                <w:iCs w:val="0"/>
                <w:color w:val="000000"/>
                <w:kern w:val="0"/>
                <w:sz w:val="21"/>
                <w:szCs w:val="21"/>
                <w:u w:val="none" w:color="auto"/>
                <w:lang w:val="en-US" w:eastAsia="zh-CN" w:bidi="ar"/>
              </w:rPr>
              <w:t>E1</w:t>
            </w:r>
            <w:r>
              <w:rPr>
                <w:rFonts w:hint="eastAsia" w:ascii="宋体" w:hAnsi="宋体" w:eastAsia="宋体" w:cs="宋体"/>
                <w:i w:val="0"/>
                <w:iCs w:val="0"/>
                <w:color w:val="000000"/>
                <w:kern w:val="0"/>
                <w:sz w:val="21"/>
                <w:szCs w:val="21"/>
                <w:u w:val="none" w:color="auto"/>
                <w:lang w:val="en-US" w:eastAsia="zh-CN" w:bidi="ar"/>
              </w:rPr>
              <w:t>）</w:t>
            </w:r>
          </w:p>
        </w:tc>
        <w:tc>
          <w:tcPr>
            <w:tcW w:w="2488" w:type="dxa"/>
            <w:tcBorders>
              <w:tl2br w:val="nil"/>
              <w:tr2bl w:val="nil"/>
            </w:tcBorders>
            <w:shd w:val="clear" w:color="auto" w:fill="auto"/>
            <w:vAlign w:val="center"/>
          </w:tcPr>
          <w:p w14:paraId="337F08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735" w:type="dxa"/>
            <w:tcBorders>
              <w:tl2br w:val="nil"/>
              <w:tr2bl w:val="nil"/>
            </w:tcBorders>
            <w:shd w:val="clear" w:color="auto" w:fill="auto"/>
            <w:vAlign w:val="center"/>
          </w:tcPr>
          <w:p w14:paraId="5DBF35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505" w:type="dxa"/>
            <w:tcBorders>
              <w:tl2br w:val="nil"/>
              <w:tr2bl w:val="nil"/>
            </w:tcBorders>
            <w:shd w:val="clear" w:color="auto" w:fill="auto"/>
            <w:vAlign w:val="center"/>
          </w:tcPr>
          <w:p w14:paraId="0E7144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507" w:type="dxa"/>
            <w:tcBorders>
              <w:tl2br w:val="nil"/>
              <w:tr2bl w:val="nil"/>
            </w:tcBorders>
            <w:shd w:val="clear" w:color="auto" w:fill="auto"/>
            <w:vAlign w:val="center"/>
          </w:tcPr>
          <w:p w14:paraId="7463DD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r>
      <w:tr w14:paraId="0473B76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69" w:hRule="atLeast"/>
        </w:trPr>
        <w:tc>
          <w:tcPr>
            <w:tcW w:w="1924" w:type="dxa"/>
            <w:tcBorders>
              <w:tl2br w:val="nil"/>
              <w:tr2bl w:val="nil"/>
            </w:tcBorders>
            <w:shd w:val="clear" w:color="auto" w:fill="auto"/>
            <w:vAlign w:val="center"/>
          </w:tcPr>
          <w:p w14:paraId="3E89F4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环境中度敏感（</w:t>
            </w:r>
            <w:r>
              <w:rPr>
                <w:rFonts w:hint="default" w:ascii="Times New Roman" w:hAnsi="Times New Roman" w:eastAsia="宋体" w:cs="Times New Roman"/>
                <w:i w:val="0"/>
                <w:iCs w:val="0"/>
                <w:color w:val="000000"/>
                <w:kern w:val="0"/>
                <w:sz w:val="21"/>
                <w:szCs w:val="21"/>
                <w:u w:val="none" w:color="auto"/>
                <w:lang w:val="en-US" w:eastAsia="zh-CN" w:bidi="ar"/>
              </w:rPr>
              <w:t>E2</w:t>
            </w:r>
            <w:r>
              <w:rPr>
                <w:rFonts w:hint="eastAsia" w:ascii="宋体" w:hAnsi="宋体" w:eastAsia="宋体" w:cs="宋体"/>
                <w:i w:val="0"/>
                <w:iCs w:val="0"/>
                <w:color w:val="000000"/>
                <w:kern w:val="0"/>
                <w:sz w:val="21"/>
                <w:szCs w:val="21"/>
                <w:u w:val="none" w:color="auto"/>
                <w:lang w:val="en-US" w:eastAsia="zh-CN" w:bidi="ar"/>
              </w:rPr>
              <w:t>）</w:t>
            </w:r>
          </w:p>
        </w:tc>
        <w:tc>
          <w:tcPr>
            <w:tcW w:w="2488" w:type="dxa"/>
            <w:tcBorders>
              <w:tl2br w:val="nil"/>
              <w:tr2bl w:val="nil"/>
            </w:tcBorders>
            <w:shd w:val="clear" w:color="auto" w:fill="auto"/>
            <w:vAlign w:val="center"/>
          </w:tcPr>
          <w:p w14:paraId="72978D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735" w:type="dxa"/>
            <w:tcBorders>
              <w:tl2br w:val="nil"/>
              <w:tr2bl w:val="nil"/>
            </w:tcBorders>
            <w:shd w:val="clear" w:color="auto" w:fill="auto"/>
            <w:vAlign w:val="center"/>
          </w:tcPr>
          <w:p w14:paraId="5241C3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505" w:type="dxa"/>
            <w:tcBorders>
              <w:tl2br w:val="nil"/>
              <w:tr2bl w:val="nil"/>
            </w:tcBorders>
            <w:shd w:val="clear" w:color="auto" w:fill="auto"/>
            <w:vAlign w:val="center"/>
          </w:tcPr>
          <w:p w14:paraId="5EBB3A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507" w:type="dxa"/>
            <w:tcBorders>
              <w:tl2br w:val="nil"/>
              <w:tr2bl w:val="nil"/>
            </w:tcBorders>
            <w:shd w:val="clear" w:color="auto" w:fill="auto"/>
            <w:vAlign w:val="center"/>
          </w:tcPr>
          <w:p w14:paraId="1FCA04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Ⅱ</w:t>
            </w:r>
          </w:p>
        </w:tc>
      </w:tr>
      <w:tr w14:paraId="7AF7D11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4" w:hRule="atLeast"/>
        </w:trPr>
        <w:tc>
          <w:tcPr>
            <w:tcW w:w="1924" w:type="dxa"/>
            <w:tcBorders>
              <w:tl2br w:val="nil"/>
              <w:tr2bl w:val="nil"/>
            </w:tcBorders>
            <w:shd w:val="clear" w:color="auto" w:fill="auto"/>
            <w:vAlign w:val="center"/>
          </w:tcPr>
          <w:p w14:paraId="45CE1B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环境低度敏感（</w:t>
            </w:r>
            <w:r>
              <w:rPr>
                <w:rFonts w:hint="default" w:ascii="Times New Roman" w:hAnsi="Times New Roman" w:eastAsia="宋体" w:cs="Times New Roman"/>
                <w:i w:val="0"/>
                <w:iCs w:val="0"/>
                <w:color w:val="000000"/>
                <w:kern w:val="0"/>
                <w:sz w:val="21"/>
                <w:szCs w:val="21"/>
                <w:u w:val="none" w:color="auto"/>
                <w:lang w:val="en-US" w:eastAsia="zh-CN" w:bidi="ar"/>
              </w:rPr>
              <w:t>E3</w:t>
            </w:r>
            <w:r>
              <w:rPr>
                <w:rFonts w:hint="eastAsia" w:ascii="宋体" w:hAnsi="宋体" w:eastAsia="宋体" w:cs="宋体"/>
                <w:i w:val="0"/>
                <w:iCs w:val="0"/>
                <w:color w:val="000000"/>
                <w:kern w:val="0"/>
                <w:sz w:val="21"/>
                <w:szCs w:val="21"/>
                <w:u w:val="none" w:color="auto"/>
                <w:lang w:val="en-US" w:eastAsia="zh-CN" w:bidi="ar"/>
              </w:rPr>
              <w:t>）</w:t>
            </w:r>
          </w:p>
        </w:tc>
        <w:tc>
          <w:tcPr>
            <w:tcW w:w="2488" w:type="dxa"/>
            <w:tcBorders>
              <w:tl2br w:val="nil"/>
              <w:tr2bl w:val="nil"/>
            </w:tcBorders>
            <w:shd w:val="clear" w:color="auto" w:fill="auto"/>
            <w:vAlign w:val="center"/>
          </w:tcPr>
          <w:p w14:paraId="5E47DC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735" w:type="dxa"/>
            <w:tcBorders>
              <w:tl2br w:val="nil"/>
              <w:tr2bl w:val="nil"/>
            </w:tcBorders>
            <w:shd w:val="clear" w:color="auto" w:fill="auto"/>
            <w:vAlign w:val="center"/>
          </w:tcPr>
          <w:p w14:paraId="5E6E7B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505" w:type="dxa"/>
            <w:tcBorders>
              <w:tl2br w:val="nil"/>
              <w:tr2bl w:val="nil"/>
            </w:tcBorders>
            <w:shd w:val="clear" w:color="auto" w:fill="A4A4A4"/>
            <w:vAlign w:val="center"/>
          </w:tcPr>
          <w:p w14:paraId="4092ED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Ⅱ</w:t>
            </w:r>
          </w:p>
        </w:tc>
        <w:tc>
          <w:tcPr>
            <w:tcW w:w="1507" w:type="dxa"/>
            <w:tcBorders>
              <w:tl2br w:val="nil"/>
              <w:tr2bl w:val="nil"/>
            </w:tcBorders>
            <w:shd w:val="clear" w:color="auto" w:fill="auto"/>
            <w:vAlign w:val="center"/>
          </w:tcPr>
          <w:p w14:paraId="0B7874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Ⅰ</w:t>
            </w:r>
          </w:p>
        </w:tc>
      </w:tr>
      <w:tr w14:paraId="66DFE3F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7" w:hRule="atLeast"/>
        </w:trPr>
        <w:tc>
          <w:tcPr>
            <w:tcW w:w="9159" w:type="dxa"/>
            <w:gridSpan w:val="5"/>
            <w:tcBorders>
              <w:tl2br w:val="nil"/>
              <w:tr2bl w:val="nil"/>
            </w:tcBorders>
            <w:shd w:val="clear" w:color="auto" w:fill="auto"/>
            <w:vAlign w:val="center"/>
          </w:tcPr>
          <w:p w14:paraId="6776B2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18"/>
                <w:szCs w:val="18"/>
                <w:u w:val="none" w:color="auto"/>
              </w:rPr>
            </w:pPr>
            <w:r>
              <w:rPr>
                <w:rFonts w:hint="eastAsia" w:ascii="宋体" w:hAnsi="宋体" w:eastAsia="宋体" w:cs="宋体"/>
                <w:b/>
                <w:bCs/>
                <w:i w:val="0"/>
                <w:iCs w:val="0"/>
                <w:color w:val="000000"/>
                <w:kern w:val="0"/>
                <w:sz w:val="18"/>
                <w:szCs w:val="18"/>
                <w:u w:val="none" w:color="auto"/>
                <w:lang w:val="en-US" w:eastAsia="zh-CN" w:bidi="ar"/>
              </w:rPr>
              <w:t>注：</w:t>
            </w:r>
            <w:r>
              <w:rPr>
                <w:rFonts w:hint="default" w:ascii="Times New Roman" w:hAnsi="Times New Roman" w:eastAsia="宋体" w:cs="Times New Roman"/>
                <w:b/>
                <w:bCs/>
                <w:i w:val="0"/>
                <w:iCs w:val="0"/>
                <w:color w:val="000000"/>
                <w:kern w:val="0"/>
                <w:sz w:val="18"/>
                <w:szCs w:val="18"/>
                <w:u w:val="none" w:color="auto"/>
                <w:lang w:val="en-US" w:eastAsia="zh-CN" w:bidi="ar"/>
              </w:rPr>
              <w:t>Ⅳ+</w:t>
            </w:r>
            <w:r>
              <w:rPr>
                <w:rFonts w:hint="eastAsia" w:ascii="宋体" w:hAnsi="宋体" w:eastAsia="宋体" w:cs="宋体"/>
                <w:b/>
                <w:bCs/>
                <w:i w:val="0"/>
                <w:iCs w:val="0"/>
                <w:color w:val="000000"/>
                <w:kern w:val="0"/>
                <w:sz w:val="18"/>
                <w:szCs w:val="18"/>
                <w:u w:val="none" w:color="auto"/>
                <w:lang w:val="en-US" w:eastAsia="zh-CN" w:bidi="ar"/>
              </w:rPr>
              <w:t>为极高环境风险。</w:t>
            </w:r>
          </w:p>
        </w:tc>
      </w:tr>
    </w:tbl>
    <w:p w14:paraId="57C334E4">
      <w:pPr>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color w:val="auto"/>
          <w:spacing w:val="0"/>
          <w:w w:val="100"/>
          <w:kern w:val="21"/>
          <w:position w:val="0"/>
          <w:sz w:val="24"/>
          <w:highlight w:val="none"/>
          <w:u w:val="none" w:color="auto"/>
          <w:lang w:val="en-US" w:eastAsia="zh-CN"/>
        </w:rPr>
        <w:t>根据上表，本项目地表水环境敏感程度为E3，结合P值（P</w:t>
      </w:r>
      <w:r>
        <w:rPr>
          <w:rFonts w:hint="eastAsia" w:ascii="Times New Roman" w:hAnsi="Times New Roman" w:eastAsia="宋体" w:cs="Times New Roman"/>
          <w:color w:val="auto"/>
          <w:spacing w:val="0"/>
          <w:w w:val="100"/>
          <w:kern w:val="21"/>
          <w:position w:val="0"/>
          <w:sz w:val="24"/>
          <w:highlight w:val="none"/>
          <w:u w:val="none" w:color="auto"/>
          <w:lang w:val="en-US" w:eastAsia="zh-CN"/>
        </w:rPr>
        <w:t>3</w:t>
      </w:r>
      <w:r>
        <w:rPr>
          <w:rFonts w:hint="default" w:ascii="Times New Roman" w:hAnsi="Times New Roman" w:eastAsia="宋体" w:cs="Times New Roman"/>
          <w:color w:val="auto"/>
          <w:spacing w:val="0"/>
          <w:w w:val="100"/>
          <w:kern w:val="21"/>
          <w:position w:val="0"/>
          <w:sz w:val="24"/>
          <w:highlight w:val="none"/>
          <w:u w:val="none" w:color="auto"/>
          <w:lang w:val="en-US" w:eastAsia="zh-CN"/>
        </w:rPr>
        <w:t>），则本项目地表水环</w:t>
      </w:r>
      <w:r>
        <w:rPr>
          <w:rFonts w:hint="default" w:ascii="Times New Roman" w:hAnsi="Times New Roman" w:eastAsia="宋体" w:cs="Times New Roman"/>
          <w:color w:val="000000"/>
          <w:spacing w:val="0"/>
          <w:w w:val="100"/>
          <w:kern w:val="21"/>
          <w:position w:val="0"/>
          <w:sz w:val="24"/>
          <w:highlight w:val="none"/>
          <w:u w:val="none" w:color="auto"/>
          <w:lang w:val="en-US" w:eastAsia="zh-CN"/>
        </w:rPr>
        <w:t>境风险潜势划分等级为Ⅱ，即</w:t>
      </w:r>
      <w:r>
        <w:rPr>
          <w:rFonts w:hint="default" w:ascii="Times New Roman" w:hAnsi="Times New Roman" w:eastAsia="宋体" w:cs="Times New Roman"/>
          <w:color w:val="auto"/>
          <w:spacing w:val="0"/>
          <w:w w:val="100"/>
          <w:kern w:val="21"/>
          <w:position w:val="0"/>
          <w:sz w:val="24"/>
          <w:highlight w:val="none"/>
          <w:u w:val="none" w:color="auto"/>
          <w:lang w:val="en-US" w:eastAsia="zh-CN"/>
        </w:rPr>
        <w:t>地表水环境风险评价工作等级为</w:t>
      </w:r>
      <w:r>
        <w:rPr>
          <w:rFonts w:hint="eastAsia" w:ascii="Times New Roman" w:hAnsi="Times New Roman" w:eastAsia="宋体" w:cs="Times New Roman"/>
          <w:color w:val="auto"/>
          <w:spacing w:val="0"/>
          <w:w w:val="100"/>
          <w:kern w:val="21"/>
          <w:position w:val="0"/>
          <w:sz w:val="24"/>
          <w:highlight w:val="none"/>
          <w:u w:val="none" w:color="auto"/>
          <w:lang w:val="en-US" w:eastAsia="zh-CN"/>
        </w:rPr>
        <w:t>三级评价</w:t>
      </w:r>
      <w:r>
        <w:rPr>
          <w:rFonts w:hint="default" w:ascii="Times New Roman" w:hAnsi="Times New Roman" w:eastAsia="宋体" w:cs="Times New Roman"/>
          <w:color w:val="auto"/>
          <w:spacing w:val="0"/>
          <w:w w:val="100"/>
          <w:kern w:val="21"/>
          <w:position w:val="0"/>
          <w:sz w:val="24"/>
          <w:highlight w:val="none"/>
          <w:u w:val="none" w:color="auto"/>
          <w:lang w:val="en-US" w:eastAsia="zh-CN"/>
        </w:rPr>
        <w:t>。</w:t>
      </w:r>
    </w:p>
    <w:p w14:paraId="208C4E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default" w:ascii="Times New Roman" w:hAnsi="Times New Roman" w:eastAsia="宋体" w:cs="Times New Roman"/>
          <w:b/>
          <w:bCs/>
          <w:color w:val="000000"/>
          <w:sz w:val="24"/>
          <w:szCs w:val="24"/>
          <w:u w:val="none" w:color="auto"/>
          <w:lang w:val="en-US" w:eastAsia="zh-CN"/>
        </w:rPr>
      </w:pPr>
      <w:r>
        <w:rPr>
          <w:rFonts w:hint="eastAsia" w:ascii="Times New Roman" w:hAnsi="Times New Roman" w:eastAsia="宋体" w:cs="Times New Roman"/>
          <w:b/>
          <w:bCs/>
          <w:color w:val="000000"/>
          <w:sz w:val="24"/>
          <w:szCs w:val="24"/>
          <w:u w:val="none" w:color="auto"/>
          <w:lang w:val="en-US" w:eastAsia="zh-CN"/>
        </w:rPr>
        <w:t>3.5.3地下水环境</w:t>
      </w:r>
    </w:p>
    <w:p w14:paraId="42DBF298">
      <w:pPr>
        <w:spacing w:line="460" w:lineRule="exact"/>
        <w:ind w:firstLine="480" w:firstLineChars="200"/>
        <w:rPr>
          <w:rFonts w:hint="default" w:ascii="Times New Roman" w:hAnsi="Times New Roman" w:eastAsia="宋体" w:cs="Times New Roman"/>
          <w:color w:val="000000"/>
          <w:spacing w:val="0"/>
          <w:w w:val="100"/>
          <w:kern w:val="21"/>
          <w:position w:val="0"/>
          <w:sz w:val="24"/>
          <w:u w:val="none" w:color="auto"/>
          <w:lang w:val="en-US" w:eastAsia="zh-CN"/>
        </w:rPr>
      </w:pPr>
      <w:r>
        <w:rPr>
          <w:rFonts w:hint="default" w:ascii="Times New Roman" w:hAnsi="Times New Roman" w:eastAsia="宋体" w:cs="Times New Roman"/>
          <w:color w:val="000000"/>
          <w:spacing w:val="0"/>
          <w:w w:val="100"/>
          <w:kern w:val="21"/>
          <w:position w:val="0"/>
          <w:sz w:val="24"/>
          <w:u w:val="none" w:color="auto"/>
          <w:lang w:val="en-US" w:eastAsia="zh-CN"/>
        </w:rPr>
        <w:t>根据《建设项目环境风险评价技术导则》（HJ169-2018），地下水功能敏感性分区和包气带防污性能分级分别见下表。</w:t>
      </w:r>
    </w:p>
    <w:p w14:paraId="7EA99A95">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default" w:ascii="Times New Roman" w:hAnsi="Times New Roman" w:eastAsia="黑体" w:cs="Times New Roman"/>
          <w:color w:val="auto"/>
          <w:spacing w:val="0"/>
          <w:w w:val="100"/>
          <w:kern w:val="21"/>
          <w:position w:val="0"/>
          <w:sz w:val="24"/>
          <w:szCs w:val="24"/>
          <w:u w:val="none" w:color="auto"/>
          <w:lang w:val="en-US" w:eastAsia="zh-CN"/>
        </w:rPr>
        <w:t>地下水功能敏感性分区</w:t>
      </w:r>
    </w:p>
    <w:tbl>
      <w:tblPr>
        <w:tblStyle w:val="32"/>
        <w:tblW w:w="4997" w:type="pct"/>
        <w:jc w:val="center"/>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7550"/>
      </w:tblGrid>
      <w:tr w14:paraId="6446D838">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3" w:type="pct"/>
            <w:noWrap w:val="0"/>
            <w:vAlign w:val="center"/>
          </w:tcPr>
          <w:p w14:paraId="49270B3B">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敏感性</w:t>
            </w:r>
          </w:p>
        </w:tc>
        <w:tc>
          <w:tcPr>
            <w:tcW w:w="4086" w:type="pct"/>
            <w:noWrap w:val="0"/>
            <w:vAlign w:val="center"/>
          </w:tcPr>
          <w:p w14:paraId="47280812">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地下水环境敏感性分区</w:t>
            </w:r>
          </w:p>
        </w:tc>
      </w:tr>
      <w:tr w14:paraId="1FB0A681">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3" w:type="pct"/>
            <w:noWrap w:val="0"/>
            <w:vAlign w:val="center"/>
          </w:tcPr>
          <w:p w14:paraId="7D5D0DCB">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敏感G1</w:t>
            </w:r>
          </w:p>
        </w:tc>
        <w:tc>
          <w:tcPr>
            <w:tcW w:w="4086" w:type="pct"/>
            <w:noWrap w:val="0"/>
            <w:vAlign w:val="center"/>
          </w:tcPr>
          <w:p w14:paraId="0AB3E95A">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p>
        </w:tc>
      </w:tr>
      <w:tr w14:paraId="39CFE931">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3" w:type="pct"/>
            <w:noWrap w:val="0"/>
            <w:vAlign w:val="center"/>
          </w:tcPr>
          <w:p w14:paraId="36302686">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较敏感G2</w:t>
            </w:r>
          </w:p>
        </w:tc>
        <w:tc>
          <w:tcPr>
            <w:tcW w:w="4086" w:type="pct"/>
            <w:noWrap w:val="0"/>
            <w:vAlign w:val="center"/>
          </w:tcPr>
          <w:p w14:paraId="37B2A48B">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集中式饮用水水源（包括已建成的在用、备用、应急水源，在建和规划的饮用水水源）准保护区以外的补给径流区；未划定准保护区的集中式饮用水水源，其保护区以外的补给径流区；分散式饮用水水源地；特殊地下水资源(如热水、矿泉水、温泉等)保护区以外的分布区等其他未列入上述敏感分级的环境敏感区</w:t>
            </w:r>
            <w:r>
              <w:rPr>
                <w:rFonts w:hint="default" w:ascii="Times New Roman" w:hAnsi="Times New Roman" w:eastAsia="宋体" w:cs="Times New Roman"/>
                <w:bCs/>
                <w:color w:val="auto"/>
                <w:spacing w:val="0"/>
                <w:w w:val="100"/>
                <w:kern w:val="21"/>
                <w:position w:val="0"/>
                <w:sz w:val="21"/>
                <w:szCs w:val="21"/>
                <w:u w:val="none" w:color="auto"/>
                <w:shd w:val="clear" w:color="auto" w:fill="FFFFFF"/>
                <w:vertAlign w:val="superscript"/>
                <w:lang w:val="en-US" w:eastAsia="zh-CN" w:bidi="ar-SA"/>
              </w:rPr>
              <w:t>a</w:t>
            </w:r>
          </w:p>
        </w:tc>
      </w:tr>
      <w:tr w14:paraId="1854D1D3">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3" w:type="pct"/>
            <w:noWrap w:val="0"/>
            <w:vAlign w:val="center"/>
          </w:tcPr>
          <w:p w14:paraId="34097F23">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不敏感G3</w:t>
            </w:r>
          </w:p>
        </w:tc>
        <w:tc>
          <w:tcPr>
            <w:tcW w:w="4086" w:type="pct"/>
            <w:noWrap w:val="0"/>
            <w:vAlign w:val="center"/>
          </w:tcPr>
          <w:p w14:paraId="112AE7B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上述地区之外的其他地区</w:t>
            </w:r>
          </w:p>
        </w:tc>
      </w:tr>
      <w:tr w14:paraId="68AD3480">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2"/>
            <w:noWrap w:val="0"/>
            <w:vAlign w:val="center"/>
          </w:tcPr>
          <w:p w14:paraId="6EFAA410">
            <w:pPr>
              <w:keepNext w:val="0"/>
              <w:keepLines w:val="0"/>
              <w:widowControl/>
              <w:suppressLineNumbers w:val="0"/>
              <w:bidi w:val="0"/>
              <w:spacing w:before="0" w:beforeAutospacing="0" w:after="0" w:afterAutospacing="0" w:line="240" w:lineRule="auto"/>
              <w:ind w:left="0" w:right="0" w:firstLine="361" w:firstLineChars="200"/>
              <w:rPr>
                <w:rFonts w:hint="default" w:ascii="Times New Roman" w:hAnsi="Times New Roman" w:eastAsia="宋体" w:cs="Times New Roman"/>
                <w:b/>
                <w:bCs/>
                <w:color w:val="auto"/>
                <w:spacing w:val="0"/>
                <w:w w:val="100"/>
                <w:kern w:val="21"/>
                <w:position w:val="0"/>
                <w:sz w:val="18"/>
                <w:szCs w:val="21"/>
                <w:u w:val="none" w:color="auto"/>
              </w:rPr>
            </w:pPr>
            <w:r>
              <w:rPr>
                <w:rFonts w:hint="default" w:ascii="Times New Roman" w:hAnsi="Times New Roman" w:eastAsia="宋体" w:cs="Times New Roman"/>
                <w:b/>
                <w:bCs/>
                <w:color w:val="auto"/>
                <w:spacing w:val="0"/>
                <w:w w:val="100"/>
                <w:kern w:val="21"/>
                <w:position w:val="0"/>
                <w:sz w:val="18"/>
                <w:szCs w:val="21"/>
                <w:u w:val="none" w:color="auto"/>
              </w:rPr>
              <w:t>a“环境敏感区”是指《建设项目环境影响评价分类管理名录》中所界定的涉及地下水的环境敏感区</w:t>
            </w:r>
          </w:p>
        </w:tc>
      </w:tr>
    </w:tbl>
    <w:p w14:paraId="46FA6EB2">
      <w:pPr>
        <w:bidi w:val="0"/>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color w:val="auto"/>
          <w:spacing w:val="0"/>
          <w:w w:val="100"/>
          <w:kern w:val="21"/>
          <w:position w:val="0"/>
          <w:sz w:val="24"/>
          <w:u w:val="none" w:color="auto"/>
        </w:rPr>
        <w:t>本项目</w:t>
      </w:r>
      <w:r>
        <w:rPr>
          <w:rFonts w:hint="default" w:ascii="Times New Roman" w:hAnsi="Times New Roman" w:eastAsia="宋体" w:cs="Times New Roman"/>
          <w:color w:val="auto"/>
          <w:spacing w:val="0"/>
          <w:w w:val="100"/>
          <w:kern w:val="21"/>
          <w:position w:val="0"/>
          <w:sz w:val="24"/>
          <w:u w:val="none" w:color="auto"/>
          <w:lang w:val="en-US" w:eastAsia="zh-CN"/>
        </w:rPr>
        <w:t>位于</w:t>
      </w:r>
      <w:r>
        <w:rPr>
          <w:rFonts w:hint="default" w:ascii="Times New Roman" w:hAnsi="Times New Roman" w:eastAsia="宋体" w:cs="Times New Roman"/>
          <w:color w:val="auto"/>
          <w:spacing w:val="0"/>
          <w:w w:val="100"/>
          <w:kern w:val="21"/>
          <w:position w:val="0"/>
          <w:sz w:val="24"/>
          <w:u w:val="none" w:color="auto"/>
          <w:lang w:eastAsia="zh-CN"/>
        </w:rPr>
        <w:t>新乡市新乡高新技术产业开发区新中大道与德源路交叉口西南角，</w:t>
      </w:r>
      <w:r>
        <w:rPr>
          <w:rFonts w:hint="default" w:ascii="Times New Roman" w:hAnsi="Times New Roman" w:eastAsia="宋体" w:cs="Times New Roman"/>
          <w:color w:val="auto"/>
          <w:spacing w:val="0"/>
          <w:w w:val="100"/>
          <w:kern w:val="21"/>
          <w:position w:val="0"/>
          <w:sz w:val="24"/>
          <w:u w:val="none" w:color="auto"/>
        </w:rPr>
        <w:t>厂址</w:t>
      </w:r>
      <w:r>
        <w:rPr>
          <w:rFonts w:hint="default" w:ascii="Times New Roman" w:hAnsi="Times New Roman" w:eastAsia="宋体" w:cs="Times New Roman"/>
          <w:color w:val="auto"/>
          <w:spacing w:val="0"/>
          <w:w w:val="100"/>
          <w:kern w:val="21"/>
          <w:position w:val="0"/>
          <w:sz w:val="24"/>
          <w:u w:val="none" w:color="auto"/>
          <w:lang w:val="en-US" w:eastAsia="zh-CN"/>
        </w:rPr>
        <w:t>所在地</w:t>
      </w:r>
      <w:r>
        <w:rPr>
          <w:rFonts w:hint="default" w:ascii="Times New Roman" w:hAnsi="Times New Roman" w:eastAsia="宋体" w:cs="Times New Roman"/>
          <w:color w:val="auto"/>
          <w:spacing w:val="0"/>
          <w:w w:val="100"/>
          <w:kern w:val="21"/>
          <w:position w:val="0"/>
          <w:sz w:val="24"/>
          <w:u w:val="none" w:color="auto"/>
        </w:rPr>
        <w:t>不位于敏感G1</w:t>
      </w:r>
      <w:r>
        <w:rPr>
          <w:rFonts w:hint="default" w:ascii="Times New Roman" w:hAnsi="Times New Roman" w:eastAsia="宋体" w:cs="Times New Roman"/>
          <w:color w:val="auto"/>
          <w:spacing w:val="0"/>
          <w:w w:val="100"/>
          <w:kern w:val="21"/>
          <w:position w:val="0"/>
          <w:sz w:val="24"/>
          <w:u w:val="none" w:color="auto"/>
          <w:lang w:val="en-US" w:eastAsia="zh-CN"/>
        </w:rPr>
        <w:t>和较敏感G2</w:t>
      </w:r>
      <w:r>
        <w:rPr>
          <w:rFonts w:hint="default" w:ascii="Times New Roman" w:hAnsi="Times New Roman" w:eastAsia="宋体" w:cs="Times New Roman"/>
          <w:color w:val="auto"/>
          <w:spacing w:val="0"/>
          <w:w w:val="100"/>
          <w:kern w:val="21"/>
          <w:position w:val="0"/>
          <w:sz w:val="24"/>
          <w:u w:val="none" w:color="auto"/>
          <w:lang w:eastAsia="zh-CN"/>
        </w:rPr>
        <w:t>的</w:t>
      </w:r>
      <w:r>
        <w:rPr>
          <w:rFonts w:hint="default" w:ascii="Times New Roman" w:hAnsi="Times New Roman" w:eastAsia="宋体" w:cs="Times New Roman"/>
          <w:color w:val="auto"/>
          <w:spacing w:val="0"/>
          <w:w w:val="100"/>
          <w:kern w:val="21"/>
          <w:position w:val="0"/>
          <w:sz w:val="24"/>
          <w:u w:val="none" w:color="auto"/>
          <w:lang w:val="en-US" w:eastAsia="zh-CN"/>
        </w:rPr>
        <w:t>地区</w:t>
      </w:r>
      <w:r>
        <w:rPr>
          <w:rFonts w:hint="default" w:ascii="Times New Roman" w:hAnsi="Times New Roman" w:eastAsia="宋体" w:cs="Times New Roman"/>
          <w:color w:val="auto"/>
          <w:spacing w:val="0"/>
          <w:w w:val="100"/>
          <w:kern w:val="21"/>
          <w:position w:val="0"/>
          <w:sz w:val="24"/>
          <w:u w:val="none" w:color="auto"/>
          <w:lang w:eastAsia="zh-CN"/>
        </w:rPr>
        <w:t>，</w:t>
      </w:r>
      <w:r>
        <w:rPr>
          <w:rFonts w:hint="default" w:ascii="Times New Roman" w:hAnsi="Times New Roman" w:eastAsia="宋体" w:cs="Times New Roman"/>
          <w:color w:val="auto"/>
          <w:spacing w:val="0"/>
          <w:w w:val="100"/>
          <w:kern w:val="21"/>
          <w:position w:val="0"/>
          <w:sz w:val="24"/>
          <w:u w:val="none" w:color="auto"/>
          <w:lang w:val="en-US" w:eastAsia="zh-CN"/>
        </w:rPr>
        <w:t>因此</w:t>
      </w:r>
      <w:r>
        <w:rPr>
          <w:rFonts w:hint="default" w:ascii="Times New Roman" w:hAnsi="Times New Roman" w:eastAsia="宋体" w:cs="Times New Roman"/>
          <w:color w:val="auto"/>
          <w:spacing w:val="0"/>
          <w:w w:val="100"/>
          <w:kern w:val="21"/>
          <w:position w:val="0"/>
          <w:sz w:val="24"/>
          <w:u w:val="none" w:color="auto"/>
        </w:rPr>
        <w:t>本项目地下水环境敏感性属于</w:t>
      </w:r>
      <w:r>
        <w:rPr>
          <w:rFonts w:hint="default" w:ascii="Times New Roman" w:hAnsi="Times New Roman" w:eastAsia="宋体" w:cs="Times New Roman"/>
          <w:color w:val="auto"/>
          <w:spacing w:val="0"/>
          <w:w w:val="100"/>
          <w:kern w:val="21"/>
          <w:position w:val="0"/>
          <w:sz w:val="24"/>
          <w:u w:val="none" w:color="auto"/>
          <w:lang w:val="en-US" w:eastAsia="zh-CN"/>
        </w:rPr>
        <w:t>不</w:t>
      </w:r>
      <w:r>
        <w:rPr>
          <w:rFonts w:hint="default" w:ascii="Times New Roman" w:hAnsi="Times New Roman" w:eastAsia="宋体" w:cs="Times New Roman"/>
          <w:color w:val="auto"/>
          <w:spacing w:val="0"/>
          <w:w w:val="100"/>
          <w:kern w:val="21"/>
          <w:position w:val="0"/>
          <w:sz w:val="24"/>
          <w:u w:val="none" w:color="auto"/>
        </w:rPr>
        <w:t>敏感G</w:t>
      </w:r>
      <w:r>
        <w:rPr>
          <w:rFonts w:hint="default" w:ascii="Times New Roman" w:hAnsi="Times New Roman" w:eastAsia="宋体" w:cs="Times New Roman"/>
          <w:color w:val="auto"/>
          <w:spacing w:val="0"/>
          <w:w w:val="100"/>
          <w:kern w:val="21"/>
          <w:position w:val="0"/>
          <w:sz w:val="24"/>
          <w:u w:val="none" w:color="auto"/>
          <w:lang w:val="en-US" w:eastAsia="zh-CN"/>
        </w:rPr>
        <w:t>3</w:t>
      </w:r>
      <w:r>
        <w:rPr>
          <w:rFonts w:hint="default" w:ascii="Times New Roman" w:hAnsi="Times New Roman" w:eastAsia="宋体" w:cs="Times New Roman"/>
          <w:color w:val="auto"/>
          <w:spacing w:val="0"/>
          <w:w w:val="100"/>
          <w:kern w:val="21"/>
          <w:position w:val="0"/>
          <w:sz w:val="24"/>
          <w:u w:val="none" w:color="auto"/>
        </w:rPr>
        <w:t>。</w:t>
      </w:r>
    </w:p>
    <w:p w14:paraId="096F1E0D">
      <w:pPr>
        <w:bidi w:val="0"/>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rPr>
      </w:pPr>
    </w:p>
    <w:p w14:paraId="3ED439E1">
      <w:pPr>
        <w:bidi w:val="0"/>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rPr>
      </w:pPr>
    </w:p>
    <w:p w14:paraId="6AC1D34B">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default" w:ascii="Times New Roman" w:hAnsi="Times New Roman" w:eastAsia="黑体" w:cs="Times New Roman"/>
          <w:color w:val="auto"/>
          <w:spacing w:val="0"/>
          <w:w w:val="100"/>
          <w:kern w:val="21"/>
          <w:position w:val="0"/>
          <w:sz w:val="24"/>
          <w:szCs w:val="24"/>
          <w:u w:val="none" w:color="auto"/>
          <w:lang w:val="en-US" w:eastAsia="zh-CN"/>
        </w:rPr>
        <w:t>包气带防污性能分级</w:t>
      </w:r>
    </w:p>
    <w:tbl>
      <w:tblPr>
        <w:tblStyle w:val="32"/>
        <w:tblW w:w="5001" w:type="pct"/>
        <w:jc w:val="center"/>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7661"/>
      </w:tblGrid>
      <w:tr w14:paraId="0446CE86">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6" w:type="pct"/>
            <w:noWrap w:val="0"/>
            <w:vAlign w:val="center"/>
          </w:tcPr>
          <w:p w14:paraId="69FE527B">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分级</w:t>
            </w:r>
          </w:p>
        </w:tc>
        <w:tc>
          <w:tcPr>
            <w:tcW w:w="4143" w:type="pct"/>
            <w:noWrap w:val="0"/>
            <w:vAlign w:val="center"/>
          </w:tcPr>
          <w:p w14:paraId="74184CD5">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包气带岩土的渗透性能分级</w:t>
            </w:r>
          </w:p>
        </w:tc>
      </w:tr>
      <w:tr w14:paraId="29E60604">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6" w:type="pct"/>
            <w:noWrap w:val="0"/>
            <w:vAlign w:val="center"/>
          </w:tcPr>
          <w:p w14:paraId="7491A180">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D3</w:t>
            </w:r>
          </w:p>
        </w:tc>
        <w:tc>
          <w:tcPr>
            <w:tcW w:w="4143" w:type="pct"/>
            <w:noWrap w:val="0"/>
            <w:vAlign w:val="center"/>
          </w:tcPr>
          <w:p w14:paraId="2B7D7443">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Mb≥1.0m，K≤1.0×10</w:t>
            </w:r>
            <w:r>
              <w:rPr>
                <w:rFonts w:hint="default" w:ascii="Times New Roman" w:hAnsi="Times New Roman" w:eastAsia="宋体" w:cs="Times New Roman"/>
                <w:bCs/>
                <w:snapToGrid/>
                <w:color w:val="auto"/>
                <w:spacing w:val="0"/>
                <w:w w:val="100"/>
                <w:kern w:val="21"/>
                <w:position w:val="0"/>
                <w:sz w:val="21"/>
                <w:szCs w:val="21"/>
                <w:u w:val="none" w:color="auto"/>
                <w:shd w:val="clear" w:color="auto" w:fill="FFFFFF"/>
                <w:vertAlign w:val="superscript"/>
                <w:lang w:val="en-US" w:eastAsia="zh-CN" w:bidi="ar-SA"/>
              </w:rPr>
              <w:t>-6</w:t>
            </w: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cm/s，且分布连续、稳定</w:t>
            </w:r>
          </w:p>
        </w:tc>
      </w:tr>
      <w:tr w14:paraId="4181AD49">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6" w:type="pct"/>
            <w:noWrap w:val="0"/>
            <w:vAlign w:val="center"/>
          </w:tcPr>
          <w:p w14:paraId="3977B980">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D2</w:t>
            </w:r>
          </w:p>
        </w:tc>
        <w:tc>
          <w:tcPr>
            <w:tcW w:w="4143" w:type="pct"/>
            <w:noWrap w:val="0"/>
            <w:vAlign w:val="center"/>
          </w:tcPr>
          <w:p w14:paraId="1B9E8668">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0.5m≤Mb≤1.0m，K≤1.0×10</w:t>
            </w:r>
            <w:r>
              <w:rPr>
                <w:rFonts w:hint="default" w:ascii="Times New Roman" w:hAnsi="Times New Roman" w:eastAsia="宋体" w:cs="Times New Roman"/>
                <w:bCs/>
                <w:snapToGrid/>
                <w:color w:val="auto"/>
                <w:spacing w:val="0"/>
                <w:w w:val="100"/>
                <w:kern w:val="21"/>
                <w:position w:val="0"/>
                <w:sz w:val="21"/>
                <w:szCs w:val="21"/>
                <w:u w:val="none" w:color="auto"/>
                <w:shd w:val="clear" w:color="auto" w:fill="FFFFFF"/>
                <w:vertAlign w:val="superscript"/>
                <w:lang w:val="en-US" w:eastAsia="zh-CN" w:bidi="ar-SA"/>
              </w:rPr>
              <w:t>-6</w:t>
            </w: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cm/s，且分布连续、稳定</w:t>
            </w:r>
          </w:p>
          <w:p w14:paraId="38215916">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Mb≥1.0m，1.0×10</w:t>
            </w:r>
            <w:r>
              <w:rPr>
                <w:rFonts w:hint="default" w:ascii="Times New Roman" w:hAnsi="Times New Roman" w:eastAsia="宋体" w:cs="Times New Roman"/>
                <w:bCs/>
                <w:snapToGrid/>
                <w:color w:val="auto"/>
                <w:spacing w:val="0"/>
                <w:w w:val="100"/>
                <w:kern w:val="21"/>
                <w:position w:val="0"/>
                <w:sz w:val="21"/>
                <w:szCs w:val="21"/>
                <w:u w:val="none" w:color="auto"/>
                <w:shd w:val="clear" w:color="auto" w:fill="FFFFFF"/>
                <w:vertAlign w:val="superscript"/>
                <w:lang w:val="en-US" w:eastAsia="zh-CN" w:bidi="ar-SA"/>
              </w:rPr>
              <w:t>-6</w:t>
            </w: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cm/s≤K≤1.0×10</w:t>
            </w:r>
            <w:r>
              <w:rPr>
                <w:rFonts w:hint="default" w:ascii="Times New Roman" w:hAnsi="Times New Roman" w:eastAsia="宋体" w:cs="Times New Roman"/>
                <w:bCs/>
                <w:snapToGrid/>
                <w:color w:val="auto"/>
                <w:spacing w:val="0"/>
                <w:w w:val="100"/>
                <w:kern w:val="21"/>
                <w:position w:val="0"/>
                <w:sz w:val="21"/>
                <w:szCs w:val="21"/>
                <w:u w:val="none" w:color="auto"/>
                <w:shd w:val="clear" w:color="auto" w:fill="FFFFFF"/>
                <w:vertAlign w:val="superscript"/>
                <w:lang w:val="en-US" w:eastAsia="zh-CN" w:bidi="ar-SA"/>
              </w:rPr>
              <w:t>-4</w:t>
            </w: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cm/s，且分布连续、稳定</w:t>
            </w:r>
          </w:p>
        </w:tc>
      </w:tr>
      <w:tr w14:paraId="546901EF">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6" w:type="pct"/>
            <w:noWrap w:val="0"/>
            <w:vAlign w:val="center"/>
          </w:tcPr>
          <w:p w14:paraId="65CF323A">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D1</w:t>
            </w:r>
          </w:p>
        </w:tc>
        <w:tc>
          <w:tcPr>
            <w:tcW w:w="4143" w:type="pct"/>
            <w:noWrap w:val="0"/>
            <w:vAlign w:val="center"/>
          </w:tcPr>
          <w:p w14:paraId="1A17C2E7">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岩（土）层不满足上述“D2”和“D3”条件</w:t>
            </w:r>
          </w:p>
        </w:tc>
      </w:tr>
      <w:tr w14:paraId="3B65BAB4">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2"/>
            <w:noWrap w:val="0"/>
            <w:vAlign w:val="center"/>
          </w:tcPr>
          <w:p w14:paraId="696DD816">
            <w:pPr>
              <w:keepNext w:val="0"/>
              <w:keepLines w:val="0"/>
              <w:widowControl/>
              <w:suppressLineNumbers w:val="0"/>
              <w:bidi w:val="0"/>
              <w:spacing w:before="0" w:beforeAutospacing="0" w:after="0" w:afterAutospacing="0" w:line="240" w:lineRule="auto"/>
              <w:ind w:left="0" w:right="0" w:firstLine="361" w:firstLineChars="200"/>
              <w:rPr>
                <w:rFonts w:hint="default" w:ascii="Times New Roman" w:hAnsi="Times New Roman" w:eastAsia="宋体" w:cs="Times New Roman"/>
                <w:b/>
                <w:bCs/>
                <w:color w:val="auto"/>
                <w:spacing w:val="0"/>
                <w:w w:val="100"/>
                <w:kern w:val="21"/>
                <w:position w:val="0"/>
                <w:sz w:val="18"/>
                <w:szCs w:val="21"/>
                <w:u w:val="none" w:color="auto"/>
              </w:rPr>
            </w:pPr>
            <w:r>
              <w:rPr>
                <w:rFonts w:hint="default" w:ascii="Times New Roman" w:hAnsi="Times New Roman" w:eastAsia="宋体" w:cs="Times New Roman"/>
                <w:b/>
                <w:bCs/>
                <w:color w:val="auto"/>
                <w:spacing w:val="0"/>
                <w:w w:val="100"/>
                <w:kern w:val="21"/>
                <w:position w:val="0"/>
                <w:sz w:val="18"/>
                <w:szCs w:val="21"/>
                <w:u w:val="none" w:color="auto"/>
              </w:rPr>
              <w:t>Mb：岩土层单层厚度。</w:t>
            </w:r>
          </w:p>
          <w:p w14:paraId="2D6D483E">
            <w:pPr>
              <w:keepNext w:val="0"/>
              <w:keepLines w:val="0"/>
              <w:widowControl/>
              <w:suppressLineNumbers w:val="0"/>
              <w:bidi w:val="0"/>
              <w:spacing w:before="0" w:beforeAutospacing="0" w:after="0" w:afterAutospacing="0" w:line="240" w:lineRule="auto"/>
              <w:ind w:left="0" w:right="0" w:firstLine="361" w:firstLineChars="200"/>
              <w:rPr>
                <w:rFonts w:hint="default" w:ascii="Times New Roman" w:hAnsi="Times New Roman" w:eastAsia="宋体" w:cs="Times New Roman"/>
                <w:b/>
                <w:bCs/>
                <w:color w:val="auto"/>
                <w:spacing w:val="0"/>
                <w:w w:val="100"/>
                <w:kern w:val="21"/>
                <w:position w:val="0"/>
                <w:sz w:val="18"/>
                <w:szCs w:val="21"/>
                <w:u w:val="none" w:color="auto"/>
              </w:rPr>
            </w:pPr>
            <w:r>
              <w:rPr>
                <w:rFonts w:hint="default" w:ascii="Times New Roman" w:hAnsi="Times New Roman" w:eastAsia="宋体" w:cs="Times New Roman"/>
                <w:b/>
                <w:bCs/>
                <w:color w:val="auto"/>
                <w:spacing w:val="0"/>
                <w:w w:val="100"/>
                <w:kern w:val="21"/>
                <w:position w:val="0"/>
                <w:sz w:val="18"/>
                <w:szCs w:val="21"/>
                <w:u w:val="none" w:color="auto"/>
              </w:rPr>
              <w:t>K：渗透系数。</w:t>
            </w:r>
          </w:p>
        </w:tc>
      </w:tr>
    </w:tbl>
    <w:p w14:paraId="2FF57033">
      <w:pPr>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rPr>
      </w:pPr>
      <w:r>
        <w:rPr>
          <w:rFonts w:hint="eastAsia" w:ascii="Times New Roman" w:hAnsi="Times New Roman" w:eastAsia="宋体" w:cs="Times New Roman"/>
          <w:color w:val="000000"/>
          <w:sz w:val="24"/>
          <w:szCs w:val="24"/>
          <w:u w:val="none" w:color="auto"/>
          <w:lang w:val="en-US" w:eastAsia="zh-CN"/>
        </w:rPr>
        <w:t>本项目位于</w:t>
      </w:r>
      <w:r>
        <w:rPr>
          <w:rFonts w:hint="default" w:ascii="Times New Roman" w:hAnsi="Times New Roman" w:eastAsia="宋体" w:cs="Times New Roman"/>
          <w:color w:val="auto"/>
          <w:spacing w:val="0"/>
          <w:w w:val="100"/>
          <w:kern w:val="21"/>
          <w:position w:val="0"/>
          <w:sz w:val="24"/>
          <w:u w:val="none" w:color="auto"/>
          <w:lang w:eastAsia="zh-CN"/>
        </w:rPr>
        <w:t>新乡市新乡高新技术产业开发区新中大道与德源路交叉口西南角</w:t>
      </w:r>
      <w:r>
        <w:rPr>
          <w:rFonts w:hint="eastAsia" w:ascii="Times New Roman" w:hAnsi="Times New Roman" w:eastAsia="宋体" w:cs="Times New Roman"/>
          <w:color w:val="auto"/>
          <w:spacing w:val="0"/>
          <w:w w:val="100"/>
          <w:kern w:val="21"/>
          <w:position w:val="0"/>
          <w:sz w:val="24"/>
          <w:u w:val="none" w:color="auto"/>
          <w:lang w:eastAsia="zh-CN"/>
        </w:rPr>
        <w:t>，</w:t>
      </w:r>
      <w:r>
        <w:rPr>
          <w:rFonts w:hint="eastAsia" w:ascii="Times New Roman" w:hAnsi="Times New Roman" w:eastAsia="宋体" w:cs="Times New Roman"/>
          <w:color w:val="auto"/>
          <w:spacing w:val="0"/>
          <w:w w:val="100"/>
          <w:kern w:val="21"/>
          <w:position w:val="0"/>
          <w:sz w:val="24"/>
          <w:u w:val="none" w:color="auto"/>
          <w:lang w:val="en-US" w:eastAsia="zh-CN"/>
        </w:rPr>
        <w:t>属于新乡高新技术产业集聚区范围内，高新区区域地质勘察报告，区域内主要为粉土、粉质黏土为主，</w:t>
      </w:r>
      <w:r>
        <w:rPr>
          <w:rFonts w:hint="default" w:ascii="Times New Roman" w:hAnsi="Times New Roman" w:eastAsia="宋体" w:cs="Times New Roman"/>
          <w:color w:val="auto"/>
          <w:spacing w:val="0"/>
          <w:w w:val="100"/>
          <w:kern w:val="21"/>
          <w:position w:val="0"/>
          <w:sz w:val="24"/>
          <w:u w:val="none" w:color="auto"/>
        </w:rPr>
        <w:t>自上而下共划分为</w:t>
      </w:r>
      <w:r>
        <w:rPr>
          <w:rFonts w:hint="eastAsia" w:ascii="Times New Roman" w:hAnsi="Times New Roman" w:eastAsia="宋体" w:cs="Times New Roman"/>
          <w:color w:val="auto"/>
          <w:spacing w:val="0"/>
          <w:w w:val="100"/>
          <w:kern w:val="21"/>
          <w:position w:val="0"/>
          <w:sz w:val="24"/>
          <w:u w:val="none" w:color="auto"/>
          <w:lang w:val="en-US" w:eastAsia="zh-CN"/>
        </w:rPr>
        <w:t>7</w:t>
      </w:r>
      <w:r>
        <w:rPr>
          <w:rFonts w:hint="default" w:ascii="Times New Roman" w:hAnsi="Times New Roman" w:eastAsia="宋体" w:cs="Times New Roman"/>
          <w:color w:val="auto"/>
          <w:spacing w:val="0"/>
          <w:w w:val="100"/>
          <w:kern w:val="21"/>
          <w:position w:val="0"/>
          <w:sz w:val="24"/>
          <w:u w:val="none" w:color="auto"/>
        </w:rPr>
        <w:t>层</w:t>
      </w:r>
      <w:r>
        <w:rPr>
          <w:rFonts w:hint="eastAsia" w:ascii="Times New Roman" w:hAnsi="Times New Roman" w:eastAsia="宋体" w:cs="Times New Roman"/>
          <w:color w:val="auto"/>
          <w:spacing w:val="0"/>
          <w:w w:val="100"/>
          <w:kern w:val="21"/>
          <w:position w:val="0"/>
          <w:sz w:val="24"/>
          <w:u w:val="none" w:color="auto"/>
          <w:lang w:eastAsia="zh-CN"/>
        </w:rPr>
        <w:t>，</w:t>
      </w:r>
      <w:r>
        <w:rPr>
          <w:rFonts w:hint="default" w:ascii="Times New Roman" w:hAnsi="Times New Roman" w:eastAsia="宋体" w:cs="Times New Roman"/>
          <w:color w:val="auto"/>
          <w:spacing w:val="0"/>
          <w:w w:val="100"/>
          <w:kern w:val="21"/>
          <w:position w:val="0"/>
          <w:sz w:val="24"/>
          <w:u w:val="none" w:color="auto"/>
        </w:rPr>
        <w:t>粉质粘土</w:t>
      </w:r>
      <w:r>
        <w:rPr>
          <w:rFonts w:hint="default" w:ascii="Times New Roman" w:hAnsi="Times New Roman" w:eastAsia="宋体" w:cs="Times New Roman"/>
          <w:color w:val="auto"/>
          <w:spacing w:val="0"/>
          <w:w w:val="100"/>
          <w:kern w:val="21"/>
          <w:position w:val="0"/>
          <w:sz w:val="24"/>
          <w:u w:val="none" w:color="auto"/>
          <w:lang w:eastAsia="zh-CN"/>
        </w:rPr>
        <w:t>渗透系数一般在1.2×10</w:t>
      </w:r>
      <w:r>
        <w:rPr>
          <w:rFonts w:hint="default" w:ascii="Times New Roman" w:hAnsi="Times New Roman" w:eastAsia="宋体" w:cs="Times New Roman"/>
          <w:snapToGrid/>
          <w:color w:val="auto"/>
          <w:spacing w:val="0"/>
          <w:w w:val="100"/>
          <w:kern w:val="21"/>
          <w:position w:val="0"/>
          <w:sz w:val="24"/>
          <w:u w:val="none" w:color="auto"/>
          <w:vertAlign w:val="superscript"/>
          <w:lang w:eastAsia="zh-CN"/>
        </w:rPr>
        <w:t>-6</w:t>
      </w:r>
      <w:r>
        <w:rPr>
          <w:rFonts w:hint="default" w:ascii="Times New Roman" w:hAnsi="Times New Roman" w:eastAsia="宋体" w:cs="Times New Roman"/>
          <w:color w:val="auto"/>
          <w:spacing w:val="0"/>
          <w:w w:val="100"/>
          <w:kern w:val="21"/>
          <w:position w:val="0"/>
          <w:sz w:val="24"/>
          <w:u w:val="none" w:color="auto"/>
          <w:lang w:eastAsia="zh-CN"/>
        </w:rPr>
        <w:t>至6.0×10</w:t>
      </w:r>
      <w:r>
        <w:rPr>
          <w:rFonts w:hint="default" w:ascii="Times New Roman" w:hAnsi="Times New Roman" w:eastAsia="宋体" w:cs="Times New Roman"/>
          <w:snapToGrid/>
          <w:color w:val="auto"/>
          <w:spacing w:val="0"/>
          <w:w w:val="100"/>
          <w:kern w:val="21"/>
          <w:position w:val="0"/>
          <w:sz w:val="24"/>
          <w:u w:val="none" w:color="auto"/>
          <w:vertAlign w:val="superscript"/>
          <w:lang w:eastAsia="zh-CN"/>
        </w:rPr>
        <w:t>-</w:t>
      </w:r>
      <w:r>
        <w:rPr>
          <w:rFonts w:hint="default" w:ascii="Times New Roman" w:hAnsi="Times New Roman" w:eastAsia="宋体" w:cs="Times New Roman"/>
          <w:snapToGrid/>
          <w:color w:val="auto"/>
          <w:spacing w:val="0"/>
          <w:w w:val="100"/>
          <w:kern w:val="21"/>
          <w:position w:val="0"/>
          <w:sz w:val="24"/>
          <w:u w:val="none" w:color="auto"/>
          <w:vertAlign w:val="superscript"/>
          <w:lang w:val="en-US" w:eastAsia="zh-CN"/>
        </w:rPr>
        <w:t>5</w:t>
      </w:r>
      <w:r>
        <w:rPr>
          <w:rFonts w:hint="default" w:ascii="Times New Roman" w:hAnsi="Times New Roman" w:eastAsia="宋体" w:cs="Times New Roman"/>
          <w:color w:val="auto"/>
          <w:spacing w:val="0"/>
          <w:w w:val="100"/>
          <w:kern w:val="21"/>
          <w:position w:val="0"/>
          <w:sz w:val="24"/>
          <w:u w:val="none" w:color="auto"/>
          <w:lang w:eastAsia="zh-CN"/>
        </w:rPr>
        <w:t>cm/s之间，</w:t>
      </w:r>
      <w:r>
        <w:rPr>
          <w:rFonts w:hint="default" w:ascii="Times New Roman" w:hAnsi="Times New Roman" w:eastAsia="宋体" w:cs="Times New Roman"/>
          <w:color w:val="auto"/>
          <w:spacing w:val="0"/>
          <w:w w:val="100"/>
          <w:kern w:val="21"/>
          <w:position w:val="0"/>
          <w:sz w:val="24"/>
          <w:u w:val="none" w:color="auto"/>
          <w:lang w:val="en-US" w:eastAsia="zh-CN"/>
        </w:rPr>
        <w:t>本次按不利影响考虑，</w:t>
      </w:r>
      <w:r>
        <w:rPr>
          <w:rFonts w:hint="default" w:ascii="Times New Roman" w:hAnsi="Times New Roman" w:eastAsia="宋体" w:cs="Times New Roman"/>
          <w:color w:val="auto"/>
          <w:spacing w:val="0"/>
          <w:w w:val="100"/>
          <w:kern w:val="21"/>
          <w:position w:val="0"/>
          <w:sz w:val="24"/>
          <w:u w:val="none" w:color="auto"/>
          <w:lang w:eastAsia="zh-CN"/>
        </w:rPr>
        <w:t>渗透系数</w:t>
      </w:r>
      <w:r>
        <w:rPr>
          <w:rFonts w:hint="default" w:ascii="Times New Roman" w:hAnsi="Times New Roman" w:eastAsia="宋体" w:cs="Times New Roman"/>
          <w:color w:val="auto"/>
          <w:spacing w:val="0"/>
          <w:w w:val="100"/>
          <w:kern w:val="21"/>
          <w:position w:val="0"/>
          <w:sz w:val="24"/>
          <w:u w:val="none" w:color="auto"/>
          <w:lang w:val="en-US" w:eastAsia="zh-CN"/>
        </w:rPr>
        <w:t>取</w:t>
      </w:r>
      <w:r>
        <w:rPr>
          <w:rFonts w:hint="default" w:ascii="Times New Roman" w:hAnsi="Times New Roman" w:eastAsia="宋体" w:cs="Times New Roman"/>
          <w:color w:val="auto"/>
          <w:spacing w:val="0"/>
          <w:w w:val="100"/>
          <w:kern w:val="21"/>
          <w:position w:val="0"/>
          <w:sz w:val="24"/>
          <w:u w:val="none" w:color="auto"/>
          <w:lang w:eastAsia="zh-CN"/>
        </w:rPr>
        <w:t>6.0×10</w:t>
      </w:r>
      <w:r>
        <w:rPr>
          <w:rFonts w:hint="default" w:ascii="Times New Roman" w:hAnsi="Times New Roman" w:eastAsia="宋体" w:cs="Times New Roman"/>
          <w:snapToGrid/>
          <w:color w:val="auto"/>
          <w:spacing w:val="0"/>
          <w:w w:val="100"/>
          <w:kern w:val="21"/>
          <w:position w:val="0"/>
          <w:sz w:val="24"/>
          <w:u w:val="none" w:color="auto"/>
          <w:vertAlign w:val="superscript"/>
          <w:lang w:eastAsia="zh-CN"/>
        </w:rPr>
        <w:t>-</w:t>
      </w:r>
      <w:r>
        <w:rPr>
          <w:rFonts w:hint="default" w:ascii="Times New Roman" w:hAnsi="Times New Roman" w:eastAsia="宋体" w:cs="Times New Roman"/>
          <w:snapToGrid/>
          <w:color w:val="auto"/>
          <w:spacing w:val="0"/>
          <w:w w:val="100"/>
          <w:kern w:val="21"/>
          <w:position w:val="0"/>
          <w:sz w:val="24"/>
          <w:u w:val="none" w:color="auto"/>
          <w:vertAlign w:val="superscript"/>
          <w:lang w:val="en-US" w:eastAsia="zh-CN"/>
        </w:rPr>
        <w:t>5</w:t>
      </w:r>
      <w:r>
        <w:rPr>
          <w:rFonts w:hint="default" w:ascii="Times New Roman" w:hAnsi="Times New Roman" w:eastAsia="宋体" w:cs="Times New Roman"/>
          <w:color w:val="auto"/>
          <w:spacing w:val="0"/>
          <w:w w:val="100"/>
          <w:kern w:val="21"/>
          <w:position w:val="0"/>
          <w:sz w:val="24"/>
          <w:u w:val="none" w:color="auto"/>
          <w:lang w:eastAsia="zh-CN"/>
        </w:rPr>
        <w:t>cm/s</w:t>
      </w:r>
      <w:r>
        <w:rPr>
          <w:rFonts w:hint="eastAsia" w:ascii="Times New Roman" w:hAnsi="Times New Roman" w:eastAsia="宋体" w:cs="Times New Roman"/>
          <w:color w:val="auto"/>
          <w:spacing w:val="0"/>
          <w:w w:val="100"/>
          <w:kern w:val="21"/>
          <w:position w:val="0"/>
          <w:sz w:val="24"/>
          <w:u w:val="none" w:color="auto"/>
          <w:lang w:eastAsia="zh-CN"/>
        </w:rPr>
        <w:t>，</w:t>
      </w:r>
      <w:r>
        <w:rPr>
          <w:rFonts w:hint="default" w:ascii="Times New Roman" w:hAnsi="Times New Roman" w:eastAsia="宋体" w:cs="Times New Roman"/>
          <w:color w:val="auto"/>
          <w:spacing w:val="0"/>
          <w:w w:val="100"/>
          <w:kern w:val="21"/>
          <w:position w:val="0"/>
          <w:sz w:val="24"/>
          <w:u w:val="none" w:color="auto"/>
          <w:lang w:val="en-US" w:eastAsia="zh-CN"/>
        </w:rPr>
        <w:t>则</w:t>
      </w:r>
      <w:r>
        <w:rPr>
          <w:rFonts w:hint="default" w:ascii="Times New Roman" w:hAnsi="Times New Roman" w:eastAsia="宋体" w:cs="Times New Roman"/>
          <w:color w:val="auto"/>
          <w:spacing w:val="0"/>
          <w:w w:val="100"/>
          <w:kern w:val="21"/>
          <w:position w:val="0"/>
          <w:sz w:val="24"/>
          <w:u w:val="none" w:color="auto"/>
        </w:rPr>
        <w:t>本项目包气带防污性能分级为D</w:t>
      </w:r>
      <w:r>
        <w:rPr>
          <w:rFonts w:hint="default" w:ascii="Times New Roman" w:hAnsi="Times New Roman" w:eastAsia="宋体" w:cs="Times New Roman"/>
          <w:color w:val="auto"/>
          <w:spacing w:val="0"/>
          <w:w w:val="100"/>
          <w:kern w:val="21"/>
          <w:position w:val="0"/>
          <w:sz w:val="24"/>
          <w:u w:val="none" w:color="auto"/>
          <w:lang w:val="en-US" w:eastAsia="zh-CN"/>
        </w:rPr>
        <w:t>2</w:t>
      </w:r>
      <w:r>
        <w:rPr>
          <w:rFonts w:hint="default" w:ascii="Times New Roman" w:hAnsi="Times New Roman" w:eastAsia="宋体" w:cs="Times New Roman"/>
          <w:color w:val="auto"/>
          <w:spacing w:val="0"/>
          <w:w w:val="100"/>
          <w:kern w:val="21"/>
          <w:position w:val="0"/>
          <w:sz w:val="24"/>
          <w:u w:val="none" w:color="auto"/>
        </w:rPr>
        <w:t>。</w:t>
      </w:r>
    </w:p>
    <w:p w14:paraId="74A99687">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default" w:ascii="Times New Roman" w:hAnsi="Times New Roman" w:eastAsia="黑体" w:cs="Times New Roman"/>
          <w:color w:val="auto"/>
          <w:spacing w:val="0"/>
          <w:w w:val="100"/>
          <w:kern w:val="21"/>
          <w:position w:val="0"/>
          <w:sz w:val="24"/>
          <w:szCs w:val="24"/>
          <w:u w:val="none" w:color="auto"/>
          <w:lang w:val="en-US" w:eastAsia="zh-CN"/>
        </w:rPr>
        <w:t>地下水环境敏感程度分级</w:t>
      </w:r>
    </w:p>
    <w:tbl>
      <w:tblPr>
        <w:tblStyle w:val="32"/>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741"/>
        <w:gridCol w:w="2164"/>
        <w:gridCol w:w="2164"/>
        <w:gridCol w:w="2173"/>
      </w:tblGrid>
      <w:tr w14:paraId="1E0B2D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3" w:type="pct"/>
            <w:vMerge w:val="restart"/>
            <w:noWrap w:val="0"/>
            <w:vAlign w:val="center"/>
          </w:tcPr>
          <w:p w14:paraId="58A0AD85">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t>包气带防污性能</w:t>
            </w:r>
          </w:p>
        </w:tc>
        <w:tc>
          <w:tcPr>
            <w:tcW w:w="3517" w:type="pct"/>
            <w:gridSpan w:val="3"/>
            <w:noWrap w:val="0"/>
            <w:vAlign w:val="center"/>
          </w:tcPr>
          <w:p w14:paraId="1D57ED02">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t>地下水功能敏感性</w:t>
            </w:r>
          </w:p>
        </w:tc>
      </w:tr>
      <w:tr w14:paraId="65DB45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noWrap w:val="0"/>
            <w:vAlign w:val="center"/>
          </w:tcPr>
          <w:p w14:paraId="5C143886">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pPr>
          </w:p>
        </w:tc>
        <w:tc>
          <w:tcPr>
            <w:tcW w:w="1171" w:type="pct"/>
            <w:noWrap w:val="0"/>
            <w:vAlign w:val="center"/>
          </w:tcPr>
          <w:p w14:paraId="6AE651ED">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t>G1</w:t>
            </w:r>
          </w:p>
        </w:tc>
        <w:tc>
          <w:tcPr>
            <w:tcW w:w="1171" w:type="pct"/>
            <w:noWrap w:val="0"/>
            <w:vAlign w:val="center"/>
          </w:tcPr>
          <w:p w14:paraId="1FA4815C">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t>G2</w:t>
            </w:r>
          </w:p>
        </w:tc>
        <w:tc>
          <w:tcPr>
            <w:tcW w:w="1174" w:type="pct"/>
            <w:noWrap w:val="0"/>
            <w:vAlign w:val="center"/>
          </w:tcPr>
          <w:p w14:paraId="684EC982">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val="0"/>
                <w:color w:val="auto"/>
                <w:spacing w:val="0"/>
                <w:w w:val="100"/>
                <w:kern w:val="21"/>
                <w:position w:val="0"/>
                <w:sz w:val="21"/>
                <w:szCs w:val="21"/>
                <w:u w:val="none" w:color="auto"/>
                <w:shd w:val="clear" w:color="auto" w:fill="FFFFFF"/>
                <w:lang w:val="en-US" w:eastAsia="zh-CN" w:bidi="ar-SA"/>
              </w:rPr>
              <w:t>G3</w:t>
            </w:r>
          </w:p>
        </w:tc>
      </w:tr>
      <w:tr w14:paraId="08A960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3" w:type="pct"/>
            <w:noWrap w:val="0"/>
            <w:vAlign w:val="center"/>
          </w:tcPr>
          <w:p w14:paraId="0E1E6942">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D1</w:t>
            </w:r>
          </w:p>
        </w:tc>
        <w:tc>
          <w:tcPr>
            <w:tcW w:w="1171" w:type="pct"/>
            <w:noWrap w:val="0"/>
            <w:vAlign w:val="center"/>
          </w:tcPr>
          <w:p w14:paraId="7067A533">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E1</w:t>
            </w:r>
          </w:p>
        </w:tc>
        <w:tc>
          <w:tcPr>
            <w:tcW w:w="1171" w:type="pct"/>
            <w:noWrap w:val="0"/>
            <w:vAlign w:val="center"/>
          </w:tcPr>
          <w:p w14:paraId="4D2F394C">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E1</w:t>
            </w:r>
          </w:p>
        </w:tc>
        <w:tc>
          <w:tcPr>
            <w:tcW w:w="1174" w:type="pct"/>
            <w:noWrap w:val="0"/>
            <w:vAlign w:val="center"/>
          </w:tcPr>
          <w:p w14:paraId="2DD481AB">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E2</w:t>
            </w:r>
          </w:p>
        </w:tc>
      </w:tr>
      <w:tr w14:paraId="52F5C3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3" w:type="pct"/>
            <w:shd w:val="clear" w:color="auto" w:fill="auto"/>
            <w:noWrap w:val="0"/>
            <w:vAlign w:val="center"/>
          </w:tcPr>
          <w:p w14:paraId="24143533">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D2</w:t>
            </w:r>
          </w:p>
        </w:tc>
        <w:tc>
          <w:tcPr>
            <w:tcW w:w="1171" w:type="pct"/>
            <w:shd w:val="clear" w:color="auto" w:fill="auto"/>
            <w:noWrap w:val="0"/>
            <w:vAlign w:val="center"/>
          </w:tcPr>
          <w:p w14:paraId="5645654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E1</w:t>
            </w:r>
          </w:p>
        </w:tc>
        <w:tc>
          <w:tcPr>
            <w:tcW w:w="1171" w:type="pct"/>
            <w:shd w:val="clear" w:color="auto" w:fill="auto"/>
            <w:noWrap w:val="0"/>
            <w:vAlign w:val="center"/>
          </w:tcPr>
          <w:p w14:paraId="32CD30B5">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E2</w:t>
            </w:r>
          </w:p>
        </w:tc>
        <w:tc>
          <w:tcPr>
            <w:tcW w:w="1174" w:type="pct"/>
            <w:shd w:val="clear" w:color="auto" w:fill="7E7E7E"/>
            <w:noWrap w:val="0"/>
            <w:vAlign w:val="center"/>
          </w:tcPr>
          <w:p w14:paraId="26654EE8">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7E7E7E"/>
                <w:lang w:val="en-US" w:eastAsia="zh-CN" w:bidi="ar-SA"/>
              </w:rPr>
              <w:t>E3</w:t>
            </w:r>
          </w:p>
        </w:tc>
      </w:tr>
      <w:tr w14:paraId="179699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3" w:type="pct"/>
            <w:noWrap w:val="0"/>
            <w:vAlign w:val="center"/>
          </w:tcPr>
          <w:p w14:paraId="7A736797">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D3</w:t>
            </w:r>
          </w:p>
        </w:tc>
        <w:tc>
          <w:tcPr>
            <w:tcW w:w="1171" w:type="pct"/>
            <w:noWrap w:val="0"/>
            <w:vAlign w:val="center"/>
          </w:tcPr>
          <w:p w14:paraId="7FF3D553">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E2</w:t>
            </w:r>
          </w:p>
        </w:tc>
        <w:tc>
          <w:tcPr>
            <w:tcW w:w="1171" w:type="pct"/>
            <w:noWrap w:val="0"/>
            <w:vAlign w:val="center"/>
          </w:tcPr>
          <w:p w14:paraId="64B0A8A6">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E2</w:t>
            </w:r>
          </w:p>
        </w:tc>
        <w:tc>
          <w:tcPr>
            <w:tcW w:w="1174" w:type="pct"/>
            <w:noWrap w:val="0"/>
            <w:vAlign w:val="center"/>
          </w:tcPr>
          <w:p w14:paraId="08AE1428">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E3</w:t>
            </w:r>
          </w:p>
        </w:tc>
      </w:tr>
    </w:tbl>
    <w:p w14:paraId="0F13C4E9">
      <w:pPr>
        <w:bidi w:val="0"/>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color w:val="auto"/>
          <w:spacing w:val="0"/>
          <w:w w:val="100"/>
          <w:kern w:val="21"/>
          <w:position w:val="0"/>
          <w:sz w:val="24"/>
          <w:u w:val="none" w:color="auto"/>
          <w:lang w:val="en-US" w:eastAsia="zh-CN"/>
        </w:rPr>
        <w:t>由上表可知，本项目</w:t>
      </w:r>
      <w:r>
        <w:rPr>
          <w:rFonts w:hint="default" w:ascii="Times New Roman" w:hAnsi="Times New Roman" w:eastAsia="宋体" w:cs="Times New Roman"/>
          <w:color w:val="auto"/>
          <w:spacing w:val="0"/>
          <w:w w:val="100"/>
          <w:kern w:val="21"/>
          <w:position w:val="0"/>
          <w:sz w:val="24"/>
          <w:u w:val="none" w:color="auto"/>
        </w:rPr>
        <w:t>包气带防污性能分级为D</w:t>
      </w:r>
      <w:r>
        <w:rPr>
          <w:rFonts w:hint="default" w:ascii="Times New Roman" w:hAnsi="Times New Roman" w:eastAsia="宋体" w:cs="Times New Roman"/>
          <w:color w:val="auto"/>
          <w:spacing w:val="0"/>
          <w:w w:val="100"/>
          <w:kern w:val="21"/>
          <w:position w:val="0"/>
          <w:sz w:val="24"/>
          <w:u w:val="none" w:color="auto"/>
          <w:lang w:val="en-US" w:eastAsia="zh-CN"/>
        </w:rPr>
        <w:t>2</w:t>
      </w:r>
      <w:r>
        <w:rPr>
          <w:rFonts w:hint="default" w:ascii="Times New Roman" w:hAnsi="Times New Roman" w:eastAsia="宋体" w:cs="Times New Roman"/>
          <w:color w:val="auto"/>
          <w:spacing w:val="0"/>
          <w:w w:val="100"/>
          <w:kern w:val="21"/>
          <w:position w:val="0"/>
          <w:sz w:val="24"/>
          <w:u w:val="none" w:color="auto"/>
          <w:lang w:eastAsia="zh-CN"/>
        </w:rPr>
        <w:t>、地下水功能敏感性</w:t>
      </w:r>
      <w:r>
        <w:rPr>
          <w:rFonts w:hint="default" w:ascii="Times New Roman" w:hAnsi="Times New Roman" w:eastAsia="宋体" w:cs="Times New Roman"/>
          <w:color w:val="auto"/>
          <w:spacing w:val="0"/>
          <w:w w:val="100"/>
          <w:kern w:val="21"/>
          <w:position w:val="0"/>
          <w:sz w:val="24"/>
          <w:u w:val="none" w:color="auto"/>
          <w:lang w:val="en-US" w:eastAsia="zh-CN"/>
        </w:rPr>
        <w:t>为G3，故地下水环境敏感程度为E3。</w:t>
      </w:r>
    </w:p>
    <w:p w14:paraId="628EE74E">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default" w:ascii="Times New Roman" w:hAnsi="Times New Roman" w:eastAsia="黑体" w:cs="Times New Roman"/>
          <w:color w:val="auto"/>
          <w:spacing w:val="0"/>
          <w:w w:val="100"/>
          <w:kern w:val="21"/>
          <w:position w:val="0"/>
          <w:sz w:val="24"/>
          <w:szCs w:val="24"/>
          <w:u w:val="none" w:color="auto"/>
          <w:lang w:val="en-US" w:eastAsia="zh-CN"/>
        </w:rPr>
        <w:t>建设项目环境风险潜势划分</w:t>
      </w:r>
    </w:p>
    <w:tbl>
      <w:tblPr>
        <w:tblStyle w:val="32"/>
        <w:tblW w:w="8939" w:type="dxa"/>
        <w:tblInd w:w="93"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209"/>
        <w:gridCol w:w="2096"/>
        <w:gridCol w:w="1694"/>
        <w:gridCol w:w="1469"/>
        <w:gridCol w:w="1471"/>
      </w:tblGrid>
      <w:tr w14:paraId="2F3E946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6" w:hRule="atLeast"/>
        </w:trPr>
        <w:tc>
          <w:tcPr>
            <w:tcW w:w="2209" w:type="dxa"/>
            <w:vMerge w:val="restart"/>
            <w:tcBorders>
              <w:tl2br w:val="nil"/>
              <w:tr2bl w:val="nil"/>
            </w:tcBorders>
            <w:shd w:val="clear" w:color="auto" w:fill="auto"/>
            <w:vAlign w:val="center"/>
          </w:tcPr>
          <w:p w14:paraId="24B200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环境敏感程度（</w:t>
            </w:r>
            <w:r>
              <w:rPr>
                <w:rFonts w:hint="default" w:ascii="Times New Roman" w:hAnsi="Times New Roman" w:eastAsia="宋体" w:cs="Times New Roman"/>
                <w:b/>
                <w:bCs/>
                <w:i w:val="0"/>
                <w:iCs w:val="0"/>
                <w:color w:val="000000"/>
                <w:kern w:val="0"/>
                <w:sz w:val="21"/>
                <w:szCs w:val="21"/>
                <w:u w:val="none" w:color="auto"/>
                <w:lang w:val="en-US" w:eastAsia="zh-CN" w:bidi="ar"/>
              </w:rPr>
              <w:t>E</w:t>
            </w:r>
            <w:r>
              <w:rPr>
                <w:rFonts w:hint="eastAsia" w:ascii="宋体" w:hAnsi="宋体" w:eastAsia="宋体" w:cs="宋体"/>
                <w:b/>
                <w:bCs/>
                <w:i w:val="0"/>
                <w:iCs w:val="0"/>
                <w:color w:val="000000"/>
                <w:kern w:val="0"/>
                <w:sz w:val="21"/>
                <w:szCs w:val="21"/>
                <w:u w:val="none" w:color="auto"/>
                <w:lang w:val="en-US" w:eastAsia="zh-CN" w:bidi="ar"/>
              </w:rPr>
              <w:t>）</w:t>
            </w:r>
          </w:p>
        </w:tc>
        <w:tc>
          <w:tcPr>
            <w:tcW w:w="6730" w:type="dxa"/>
            <w:gridSpan w:val="4"/>
            <w:tcBorders>
              <w:tl2br w:val="nil"/>
              <w:tr2bl w:val="nil"/>
            </w:tcBorders>
            <w:shd w:val="clear" w:color="auto" w:fill="auto"/>
            <w:vAlign w:val="center"/>
          </w:tcPr>
          <w:p w14:paraId="4ADDBA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危险物质及工艺系统危险性（</w:t>
            </w:r>
            <w:r>
              <w:rPr>
                <w:rFonts w:hint="default" w:ascii="Times New Roman" w:hAnsi="Times New Roman" w:eastAsia="宋体" w:cs="Times New Roman"/>
                <w:b/>
                <w:bCs/>
                <w:i w:val="0"/>
                <w:iCs w:val="0"/>
                <w:color w:val="000000"/>
                <w:kern w:val="0"/>
                <w:sz w:val="21"/>
                <w:szCs w:val="21"/>
                <w:u w:val="none" w:color="auto"/>
                <w:lang w:val="en-US" w:eastAsia="zh-CN" w:bidi="ar"/>
              </w:rPr>
              <w:t>P</w:t>
            </w:r>
            <w:r>
              <w:rPr>
                <w:rFonts w:hint="eastAsia" w:ascii="宋体" w:hAnsi="宋体" w:eastAsia="宋体" w:cs="宋体"/>
                <w:b/>
                <w:bCs/>
                <w:i w:val="0"/>
                <w:iCs w:val="0"/>
                <w:color w:val="000000"/>
                <w:kern w:val="0"/>
                <w:sz w:val="21"/>
                <w:szCs w:val="21"/>
                <w:u w:val="none" w:color="auto"/>
                <w:lang w:val="en-US" w:eastAsia="zh-CN" w:bidi="ar"/>
              </w:rPr>
              <w:t>）</w:t>
            </w:r>
          </w:p>
        </w:tc>
      </w:tr>
      <w:tr w14:paraId="6237C2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0" w:hRule="atLeast"/>
        </w:trPr>
        <w:tc>
          <w:tcPr>
            <w:tcW w:w="2209" w:type="dxa"/>
            <w:vMerge w:val="continue"/>
            <w:tcBorders>
              <w:tl2br w:val="nil"/>
              <w:tr2bl w:val="nil"/>
            </w:tcBorders>
            <w:shd w:val="clear" w:color="auto" w:fill="auto"/>
            <w:vAlign w:val="center"/>
          </w:tcPr>
          <w:p w14:paraId="1204EF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color="auto"/>
              </w:rPr>
            </w:pPr>
          </w:p>
        </w:tc>
        <w:tc>
          <w:tcPr>
            <w:tcW w:w="2096" w:type="dxa"/>
            <w:tcBorders>
              <w:tl2br w:val="nil"/>
              <w:tr2bl w:val="nil"/>
            </w:tcBorders>
            <w:shd w:val="clear" w:color="auto" w:fill="auto"/>
            <w:vAlign w:val="center"/>
          </w:tcPr>
          <w:p w14:paraId="72F2F4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极高危害（</w:t>
            </w:r>
            <w:r>
              <w:rPr>
                <w:rFonts w:hint="default" w:ascii="Times New Roman" w:hAnsi="Times New Roman" w:eastAsia="宋体" w:cs="Times New Roman"/>
                <w:b/>
                <w:bCs/>
                <w:i w:val="0"/>
                <w:iCs w:val="0"/>
                <w:color w:val="000000"/>
                <w:kern w:val="0"/>
                <w:sz w:val="21"/>
                <w:szCs w:val="21"/>
                <w:u w:val="none" w:color="auto"/>
                <w:lang w:val="en-US" w:eastAsia="zh-CN" w:bidi="ar"/>
              </w:rPr>
              <w:t>P1</w:t>
            </w:r>
            <w:r>
              <w:rPr>
                <w:rFonts w:hint="eastAsia" w:ascii="宋体" w:hAnsi="宋体" w:eastAsia="宋体" w:cs="宋体"/>
                <w:b/>
                <w:bCs/>
                <w:i w:val="0"/>
                <w:iCs w:val="0"/>
                <w:color w:val="000000"/>
                <w:kern w:val="0"/>
                <w:sz w:val="21"/>
                <w:szCs w:val="21"/>
                <w:u w:val="none" w:color="auto"/>
                <w:lang w:val="en-US" w:eastAsia="zh-CN" w:bidi="ar"/>
              </w:rPr>
              <w:t>）</w:t>
            </w:r>
          </w:p>
        </w:tc>
        <w:tc>
          <w:tcPr>
            <w:tcW w:w="1694" w:type="dxa"/>
            <w:tcBorders>
              <w:tl2br w:val="nil"/>
              <w:tr2bl w:val="nil"/>
            </w:tcBorders>
            <w:shd w:val="clear" w:color="auto" w:fill="auto"/>
            <w:vAlign w:val="center"/>
          </w:tcPr>
          <w:p w14:paraId="0AA83A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高度危害（</w:t>
            </w:r>
            <w:r>
              <w:rPr>
                <w:rFonts w:hint="default" w:ascii="Times New Roman" w:hAnsi="Times New Roman" w:eastAsia="宋体" w:cs="Times New Roman"/>
                <w:b/>
                <w:bCs/>
                <w:i w:val="0"/>
                <w:iCs w:val="0"/>
                <w:color w:val="000000"/>
                <w:kern w:val="0"/>
                <w:sz w:val="21"/>
                <w:szCs w:val="21"/>
                <w:u w:val="none" w:color="auto"/>
                <w:lang w:val="en-US" w:eastAsia="zh-CN" w:bidi="ar"/>
              </w:rPr>
              <w:t>P2</w:t>
            </w:r>
            <w:r>
              <w:rPr>
                <w:rFonts w:hint="eastAsia" w:ascii="宋体" w:hAnsi="宋体" w:eastAsia="宋体" w:cs="宋体"/>
                <w:b/>
                <w:bCs/>
                <w:i w:val="0"/>
                <w:iCs w:val="0"/>
                <w:color w:val="000000"/>
                <w:kern w:val="0"/>
                <w:sz w:val="21"/>
                <w:szCs w:val="21"/>
                <w:u w:val="none" w:color="auto"/>
                <w:lang w:val="en-US" w:eastAsia="zh-CN" w:bidi="ar"/>
              </w:rPr>
              <w:t>）</w:t>
            </w:r>
          </w:p>
        </w:tc>
        <w:tc>
          <w:tcPr>
            <w:tcW w:w="1469" w:type="dxa"/>
            <w:tcBorders>
              <w:tl2br w:val="nil"/>
              <w:tr2bl w:val="nil"/>
            </w:tcBorders>
            <w:shd w:val="clear" w:color="auto" w:fill="auto"/>
            <w:vAlign w:val="center"/>
          </w:tcPr>
          <w:p w14:paraId="567716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中度危害（</w:t>
            </w:r>
            <w:r>
              <w:rPr>
                <w:rFonts w:hint="default" w:ascii="Times New Roman" w:hAnsi="Times New Roman" w:eastAsia="宋体" w:cs="Times New Roman"/>
                <w:b/>
                <w:bCs/>
                <w:i w:val="0"/>
                <w:iCs w:val="0"/>
                <w:color w:val="000000"/>
                <w:kern w:val="0"/>
                <w:sz w:val="21"/>
                <w:szCs w:val="21"/>
                <w:u w:val="none" w:color="auto"/>
                <w:lang w:val="en-US" w:eastAsia="zh-CN" w:bidi="ar"/>
              </w:rPr>
              <w:t>P3</w:t>
            </w:r>
            <w:r>
              <w:rPr>
                <w:rFonts w:hint="eastAsia" w:ascii="宋体" w:hAnsi="宋体" w:eastAsia="宋体" w:cs="宋体"/>
                <w:b/>
                <w:bCs/>
                <w:i w:val="0"/>
                <w:iCs w:val="0"/>
                <w:color w:val="000000"/>
                <w:kern w:val="0"/>
                <w:sz w:val="21"/>
                <w:szCs w:val="21"/>
                <w:u w:val="none" w:color="auto"/>
                <w:lang w:val="en-US" w:eastAsia="zh-CN" w:bidi="ar"/>
              </w:rPr>
              <w:t>）</w:t>
            </w:r>
          </w:p>
        </w:tc>
        <w:tc>
          <w:tcPr>
            <w:tcW w:w="1471" w:type="dxa"/>
            <w:tcBorders>
              <w:tl2br w:val="nil"/>
              <w:tr2bl w:val="nil"/>
            </w:tcBorders>
            <w:shd w:val="clear" w:color="auto" w:fill="auto"/>
            <w:vAlign w:val="center"/>
          </w:tcPr>
          <w:p w14:paraId="56CB52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轻度危害（</w:t>
            </w:r>
            <w:r>
              <w:rPr>
                <w:rFonts w:hint="default" w:ascii="Times New Roman" w:hAnsi="Times New Roman" w:eastAsia="宋体" w:cs="Times New Roman"/>
                <w:b/>
                <w:bCs/>
                <w:i w:val="0"/>
                <w:iCs w:val="0"/>
                <w:color w:val="000000"/>
                <w:kern w:val="0"/>
                <w:sz w:val="21"/>
                <w:szCs w:val="21"/>
                <w:u w:val="none" w:color="auto"/>
                <w:lang w:val="en-US" w:eastAsia="zh-CN" w:bidi="ar"/>
              </w:rPr>
              <w:t>P4</w:t>
            </w:r>
            <w:r>
              <w:rPr>
                <w:rFonts w:hint="eastAsia" w:ascii="宋体" w:hAnsi="宋体" w:eastAsia="宋体" w:cs="宋体"/>
                <w:b/>
                <w:bCs/>
                <w:i w:val="0"/>
                <w:iCs w:val="0"/>
                <w:color w:val="000000"/>
                <w:kern w:val="0"/>
                <w:sz w:val="21"/>
                <w:szCs w:val="21"/>
                <w:u w:val="none" w:color="auto"/>
                <w:lang w:val="en-US" w:eastAsia="zh-CN" w:bidi="ar"/>
              </w:rPr>
              <w:t>）</w:t>
            </w:r>
          </w:p>
        </w:tc>
      </w:tr>
      <w:tr w14:paraId="5DDA7E9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3" w:hRule="atLeast"/>
        </w:trPr>
        <w:tc>
          <w:tcPr>
            <w:tcW w:w="2209" w:type="dxa"/>
            <w:tcBorders>
              <w:tl2br w:val="nil"/>
              <w:tr2bl w:val="nil"/>
            </w:tcBorders>
            <w:shd w:val="clear" w:color="auto" w:fill="auto"/>
            <w:vAlign w:val="center"/>
          </w:tcPr>
          <w:p w14:paraId="29031F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环境高度敏感区（</w:t>
            </w:r>
            <w:r>
              <w:rPr>
                <w:rFonts w:hint="default" w:ascii="Times New Roman" w:hAnsi="Times New Roman" w:eastAsia="宋体" w:cs="Times New Roman"/>
                <w:i w:val="0"/>
                <w:iCs w:val="0"/>
                <w:color w:val="000000"/>
                <w:kern w:val="0"/>
                <w:sz w:val="21"/>
                <w:szCs w:val="21"/>
                <w:u w:val="none" w:color="auto"/>
                <w:lang w:val="en-US" w:eastAsia="zh-CN" w:bidi="ar"/>
              </w:rPr>
              <w:t>E1</w:t>
            </w:r>
            <w:r>
              <w:rPr>
                <w:rFonts w:hint="eastAsia" w:ascii="宋体" w:hAnsi="宋体" w:eastAsia="宋体" w:cs="宋体"/>
                <w:i w:val="0"/>
                <w:iCs w:val="0"/>
                <w:color w:val="000000"/>
                <w:kern w:val="0"/>
                <w:sz w:val="21"/>
                <w:szCs w:val="21"/>
                <w:u w:val="none" w:color="auto"/>
                <w:lang w:val="en-US" w:eastAsia="zh-CN" w:bidi="ar"/>
              </w:rPr>
              <w:t>）</w:t>
            </w:r>
          </w:p>
        </w:tc>
        <w:tc>
          <w:tcPr>
            <w:tcW w:w="2096" w:type="dxa"/>
            <w:tcBorders>
              <w:tl2br w:val="nil"/>
              <w:tr2bl w:val="nil"/>
            </w:tcBorders>
            <w:shd w:val="clear" w:color="auto" w:fill="auto"/>
            <w:vAlign w:val="center"/>
          </w:tcPr>
          <w:p w14:paraId="69C125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694" w:type="dxa"/>
            <w:tcBorders>
              <w:tl2br w:val="nil"/>
              <w:tr2bl w:val="nil"/>
            </w:tcBorders>
            <w:shd w:val="clear" w:color="auto" w:fill="auto"/>
            <w:vAlign w:val="center"/>
          </w:tcPr>
          <w:p w14:paraId="0FAF09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469" w:type="dxa"/>
            <w:tcBorders>
              <w:tl2br w:val="nil"/>
              <w:tr2bl w:val="nil"/>
            </w:tcBorders>
            <w:shd w:val="clear" w:color="auto" w:fill="auto"/>
            <w:vAlign w:val="center"/>
          </w:tcPr>
          <w:p w14:paraId="1EA0DF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471" w:type="dxa"/>
            <w:tcBorders>
              <w:tl2br w:val="nil"/>
              <w:tr2bl w:val="nil"/>
            </w:tcBorders>
            <w:shd w:val="clear" w:color="auto" w:fill="auto"/>
            <w:vAlign w:val="center"/>
          </w:tcPr>
          <w:p w14:paraId="37967C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r>
      <w:tr w14:paraId="390E05D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8" w:hRule="atLeast"/>
        </w:trPr>
        <w:tc>
          <w:tcPr>
            <w:tcW w:w="2209" w:type="dxa"/>
            <w:tcBorders>
              <w:tl2br w:val="nil"/>
              <w:tr2bl w:val="nil"/>
            </w:tcBorders>
            <w:shd w:val="clear" w:color="auto" w:fill="auto"/>
            <w:vAlign w:val="center"/>
          </w:tcPr>
          <w:p w14:paraId="79741A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环境中度敏感区（</w:t>
            </w:r>
            <w:r>
              <w:rPr>
                <w:rFonts w:hint="default" w:ascii="Times New Roman" w:hAnsi="Times New Roman" w:eastAsia="宋体" w:cs="Times New Roman"/>
                <w:i w:val="0"/>
                <w:iCs w:val="0"/>
                <w:color w:val="000000"/>
                <w:kern w:val="0"/>
                <w:sz w:val="21"/>
                <w:szCs w:val="21"/>
                <w:u w:val="none" w:color="auto"/>
                <w:lang w:val="en-US" w:eastAsia="zh-CN" w:bidi="ar"/>
              </w:rPr>
              <w:t>E2</w:t>
            </w:r>
            <w:r>
              <w:rPr>
                <w:rFonts w:hint="eastAsia" w:ascii="宋体" w:hAnsi="宋体" w:eastAsia="宋体" w:cs="宋体"/>
                <w:i w:val="0"/>
                <w:iCs w:val="0"/>
                <w:color w:val="000000"/>
                <w:kern w:val="0"/>
                <w:sz w:val="21"/>
                <w:szCs w:val="21"/>
                <w:u w:val="none" w:color="auto"/>
                <w:lang w:val="en-US" w:eastAsia="zh-CN" w:bidi="ar"/>
              </w:rPr>
              <w:t>）</w:t>
            </w:r>
          </w:p>
        </w:tc>
        <w:tc>
          <w:tcPr>
            <w:tcW w:w="2096" w:type="dxa"/>
            <w:tcBorders>
              <w:tl2br w:val="nil"/>
              <w:tr2bl w:val="nil"/>
            </w:tcBorders>
            <w:shd w:val="clear" w:color="auto" w:fill="auto"/>
            <w:vAlign w:val="center"/>
          </w:tcPr>
          <w:p w14:paraId="708080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694" w:type="dxa"/>
            <w:tcBorders>
              <w:tl2br w:val="nil"/>
              <w:tr2bl w:val="nil"/>
            </w:tcBorders>
            <w:shd w:val="clear" w:color="auto" w:fill="auto"/>
            <w:vAlign w:val="center"/>
          </w:tcPr>
          <w:p w14:paraId="69B2F0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469" w:type="dxa"/>
            <w:tcBorders>
              <w:tl2br w:val="nil"/>
              <w:tr2bl w:val="nil"/>
            </w:tcBorders>
            <w:shd w:val="clear" w:color="auto" w:fill="auto"/>
            <w:vAlign w:val="center"/>
          </w:tcPr>
          <w:p w14:paraId="43FE3D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471" w:type="dxa"/>
            <w:tcBorders>
              <w:tl2br w:val="nil"/>
              <w:tr2bl w:val="nil"/>
            </w:tcBorders>
            <w:shd w:val="clear" w:color="auto" w:fill="auto"/>
            <w:vAlign w:val="center"/>
          </w:tcPr>
          <w:p w14:paraId="3AB2E0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Ⅱ</w:t>
            </w:r>
          </w:p>
        </w:tc>
      </w:tr>
      <w:tr w14:paraId="21D7DDD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5" w:hRule="atLeast"/>
        </w:trPr>
        <w:tc>
          <w:tcPr>
            <w:tcW w:w="2209" w:type="dxa"/>
            <w:tcBorders>
              <w:tl2br w:val="nil"/>
              <w:tr2bl w:val="nil"/>
            </w:tcBorders>
            <w:shd w:val="clear" w:color="auto" w:fill="auto"/>
            <w:vAlign w:val="center"/>
          </w:tcPr>
          <w:p w14:paraId="393FFC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环境低度敏感区（</w:t>
            </w:r>
            <w:r>
              <w:rPr>
                <w:rFonts w:hint="default" w:ascii="Times New Roman" w:hAnsi="Times New Roman" w:eastAsia="宋体" w:cs="Times New Roman"/>
                <w:i w:val="0"/>
                <w:iCs w:val="0"/>
                <w:color w:val="000000"/>
                <w:kern w:val="0"/>
                <w:sz w:val="21"/>
                <w:szCs w:val="21"/>
                <w:u w:val="none" w:color="auto"/>
                <w:lang w:val="en-US" w:eastAsia="zh-CN" w:bidi="ar"/>
              </w:rPr>
              <w:t>E3</w:t>
            </w:r>
            <w:r>
              <w:rPr>
                <w:rFonts w:hint="eastAsia" w:ascii="宋体" w:hAnsi="宋体" w:eastAsia="宋体" w:cs="宋体"/>
                <w:i w:val="0"/>
                <w:iCs w:val="0"/>
                <w:color w:val="000000"/>
                <w:kern w:val="0"/>
                <w:sz w:val="21"/>
                <w:szCs w:val="21"/>
                <w:u w:val="none" w:color="auto"/>
                <w:lang w:val="en-US" w:eastAsia="zh-CN" w:bidi="ar"/>
              </w:rPr>
              <w:t>）</w:t>
            </w:r>
          </w:p>
        </w:tc>
        <w:tc>
          <w:tcPr>
            <w:tcW w:w="2096" w:type="dxa"/>
            <w:tcBorders>
              <w:tl2br w:val="nil"/>
              <w:tr2bl w:val="nil"/>
            </w:tcBorders>
            <w:shd w:val="clear" w:color="auto" w:fill="auto"/>
            <w:vAlign w:val="center"/>
          </w:tcPr>
          <w:p w14:paraId="60D770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694" w:type="dxa"/>
            <w:tcBorders>
              <w:tl2br w:val="nil"/>
              <w:tr2bl w:val="nil"/>
            </w:tcBorders>
            <w:shd w:val="clear" w:color="auto" w:fill="auto"/>
            <w:vAlign w:val="center"/>
          </w:tcPr>
          <w:p w14:paraId="467D9E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469" w:type="dxa"/>
            <w:tcBorders>
              <w:tl2br w:val="nil"/>
              <w:tr2bl w:val="nil"/>
            </w:tcBorders>
            <w:shd w:val="clear" w:color="auto" w:fill="7E7E7E"/>
            <w:vAlign w:val="center"/>
          </w:tcPr>
          <w:p w14:paraId="0DD1D0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Ⅱ</w:t>
            </w:r>
          </w:p>
        </w:tc>
        <w:tc>
          <w:tcPr>
            <w:tcW w:w="1471" w:type="dxa"/>
            <w:tcBorders>
              <w:tl2br w:val="nil"/>
              <w:tr2bl w:val="nil"/>
            </w:tcBorders>
            <w:shd w:val="clear" w:color="auto" w:fill="auto"/>
            <w:vAlign w:val="center"/>
          </w:tcPr>
          <w:p w14:paraId="0B38E3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Ⅰ</w:t>
            </w:r>
          </w:p>
        </w:tc>
      </w:tr>
      <w:tr w14:paraId="6E1E172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0" w:hRule="atLeast"/>
        </w:trPr>
        <w:tc>
          <w:tcPr>
            <w:tcW w:w="8939" w:type="dxa"/>
            <w:gridSpan w:val="5"/>
            <w:tcBorders>
              <w:tl2br w:val="nil"/>
              <w:tr2bl w:val="nil"/>
            </w:tcBorders>
            <w:shd w:val="clear" w:color="auto" w:fill="auto"/>
            <w:vAlign w:val="center"/>
          </w:tcPr>
          <w:p w14:paraId="5CD3E1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注：</w:t>
            </w:r>
            <w:r>
              <w:rPr>
                <w:rFonts w:hint="default" w:ascii="Times New Roman" w:hAnsi="Times New Roman" w:eastAsia="宋体" w:cs="Times New Roman"/>
                <w:b/>
                <w:bCs/>
                <w:i w:val="0"/>
                <w:iCs w:val="0"/>
                <w:color w:val="000000"/>
                <w:kern w:val="0"/>
                <w:sz w:val="21"/>
                <w:szCs w:val="21"/>
                <w:u w:val="none" w:color="auto"/>
                <w:lang w:val="en-US" w:eastAsia="zh-CN" w:bidi="ar"/>
              </w:rPr>
              <w:t>Ⅳ</w:t>
            </w:r>
            <w:r>
              <w:rPr>
                <w:rFonts w:hint="default" w:ascii="Times New Roman" w:hAnsi="Times New Roman" w:eastAsia="宋体" w:cs="Times New Roman"/>
                <w:b/>
                <w:bCs/>
                <w:color w:val="000000"/>
                <w:szCs w:val="21"/>
                <w:u w:val="none" w:color="auto"/>
                <w:vertAlign w:val="superscript"/>
                <w:lang w:val="en-US" w:eastAsia="zh-CN" w:bidi="ar"/>
              </w:rPr>
              <w:t>+</w:t>
            </w:r>
            <w:r>
              <w:rPr>
                <w:rFonts w:hint="eastAsia" w:ascii="宋体" w:hAnsi="宋体" w:eastAsia="宋体" w:cs="宋体"/>
                <w:b/>
                <w:bCs/>
                <w:i w:val="0"/>
                <w:iCs w:val="0"/>
                <w:color w:val="000000"/>
                <w:kern w:val="0"/>
                <w:sz w:val="21"/>
                <w:szCs w:val="21"/>
                <w:u w:val="none" w:color="auto"/>
                <w:lang w:val="en-US" w:eastAsia="zh-CN" w:bidi="ar"/>
              </w:rPr>
              <w:t>为极高环境风险。</w:t>
            </w:r>
          </w:p>
        </w:tc>
      </w:tr>
    </w:tbl>
    <w:p w14:paraId="62AD0610">
      <w:pPr>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color w:val="auto"/>
          <w:spacing w:val="0"/>
          <w:w w:val="100"/>
          <w:kern w:val="21"/>
          <w:position w:val="0"/>
          <w:sz w:val="24"/>
          <w:u w:val="none" w:color="auto"/>
          <w:lang w:val="en-US" w:eastAsia="zh-CN"/>
        </w:rPr>
        <w:t>由上表可知，本项目</w:t>
      </w:r>
      <w:r>
        <w:rPr>
          <w:rFonts w:hint="default" w:ascii="Times New Roman" w:hAnsi="Times New Roman" w:eastAsia="宋体" w:cs="Times New Roman"/>
          <w:color w:val="auto"/>
          <w:spacing w:val="0"/>
          <w:w w:val="100"/>
          <w:kern w:val="21"/>
          <w:position w:val="0"/>
          <w:sz w:val="24"/>
          <w:u w:val="none" w:color="auto"/>
        </w:rPr>
        <w:t>危险物质及工艺系统危险性为</w:t>
      </w:r>
      <w:r>
        <w:rPr>
          <w:rFonts w:hint="default" w:ascii="Times New Roman" w:hAnsi="Times New Roman" w:eastAsia="宋体" w:cs="Times New Roman"/>
          <w:color w:val="auto"/>
          <w:spacing w:val="0"/>
          <w:w w:val="100"/>
          <w:kern w:val="21"/>
          <w:position w:val="0"/>
          <w:sz w:val="24"/>
          <w:u w:val="none" w:color="auto"/>
          <w:lang w:val="en-US" w:eastAsia="zh-CN"/>
        </w:rPr>
        <w:t>P</w:t>
      </w:r>
      <w:r>
        <w:rPr>
          <w:rFonts w:hint="eastAsia" w:ascii="Times New Roman" w:hAnsi="Times New Roman" w:eastAsia="宋体" w:cs="Times New Roman"/>
          <w:color w:val="auto"/>
          <w:spacing w:val="0"/>
          <w:w w:val="100"/>
          <w:kern w:val="21"/>
          <w:position w:val="0"/>
          <w:sz w:val="24"/>
          <w:u w:val="none" w:color="auto"/>
          <w:lang w:val="en-US" w:eastAsia="zh-CN"/>
        </w:rPr>
        <w:t>3</w:t>
      </w:r>
      <w:r>
        <w:rPr>
          <w:rFonts w:hint="default" w:ascii="Times New Roman" w:hAnsi="Times New Roman" w:eastAsia="宋体" w:cs="Times New Roman"/>
          <w:color w:val="auto"/>
          <w:spacing w:val="0"/>
          <w:w w:val="100"/>
          <w:kern w:val="21"/>
          <w:position w:val="0"/>
          <w:sz w:val="24"/>
          <w:u w:val="none" w:color="auto"/>
          <w:lang w:eastAsia="zh-CN"/>
        </w:rPr>
        <w:t>、</w:t>
      </w:r>
      <w:r>
        <w:rPr>
          <w:rFonts w:hint="default" w:ascii="Times New Roman" w:hAnsi="Times New Roman" w:eastAsia="宋体" w:cs="Times New Roman"/>
          <w:color w:val="auto"/>
          <w:spacing w:val="0"/>
          <w:w w:val="100"/>
          <w:kern w:val="21"/>
          <w:position w:val="0"/>
          <w:sz w:val="24"/>
          <w:u w:val="none" w:color="auto"/>
          <w:lang w:val="en-US" w:eastAsia="zh-CN"/>
        </w:rPr>
        <w:t>地下水环境敏感程度为E3，故建设项目环境风险潜势为Ⅱ，地</w:t>
      </w:r>
      <w:r>
        <w:rPr>
          <w:rFonts w:hint="default" w:ascii="Times New Roman" w:hAnsi="Times New Roman" w:eastAsia="宋体" w:cs="Times New Roman"/>
          <w:color w:val="auto"/>
          <w:spacing w:val="0"/>
          <w:w w:val="100"/>
          <w:kern w:val="21"/>
          <w:position w:val="0"/>
          <w:sz w:val="24"/>
          <w:u w:val="none" w:color="auto"/>
        </w:rPr>
        <w:t>下水环境风险评价工作等级为</w:t>
      </w:r>
      <w:r>
        <w:rPr>
          <w:rFonts w:hint="eastAsia" w:ascii="Times New Roman" w:hAnsi="Times New Roman" w:eastAsia="宋体" w:cs="Times New Roman"/>
          <w:color w:val="auto"/>
          <w:spacing w:val="0"/>
          <w:w w:val="100"/>
          <w:kern w:val="21"/>
          <w:position w:val="0"/>
          <w:sz w:val="24"/>
          <w:u w:val="none" w:color="auto"/>
          <w:lang w:val="en-US" w:eastAsia="zh-CN"/>
        </w:rPr>
        <w:t>三级评价</w:t>
      </w:r>
      <w:r>
        <w:rPr>
          <w:rFonts w:hint="default" w:ascii="Times New Roman" w:hAnsi="Times New Roman" w:eastAsia="宋体" w:cs="Times New Roman"/>
          <w:color w:val="auto"/>
          <w:spacing w:val="0"/>
          <w:w w:val="100"/>
          <w:kern w:val="21"/>
          <w:position w:val="0"/>
          <w:sz w:val="24"/>
          <w:u w:val="none" w:color="auto"/>
        </w:rPr>
        <w:t>。</w:t>
      </w:r>
    </w:p>
    <w:p w14:paraId="1D210870">
      <w:pPr>
        <w:spacing w:line="460" w:lineRule="exact"/>
        <w:ind w:firstLine="480" w:firstLineChars="200"/>
        <w:rPr>
          <w:rFonts w:hint="default" w:ascii="Times New Roman" w:hAnsi="Times New Roman" w:eastAsia="宋体" w:cs="Times New Roman"/>
          <w:color w:val="000000"/>
          <w:spacing w:val="0"/>
          <w:w w:val="100"/>
          <w:kern w:val="21"/>
          <w:position w:val="0"/>
          <w:sz w:val="24"/>
          <w:u w:val="none" w:color="auto"/>
          <w:lang w:val="en-US" w:eastAsia="zh-CN"/>
        </w:rPr>
      </w:pPr>
      <w:r>
        <w:rPr>
          <w:rFonts w:hint="default" w:ascii="Times New Roman" w:hAnsi="Times New Roman" w:eastAsia="宋体" w:cs="Times New Roman"/>
          <w:color w:val="000000"/>
          <w:spacing w:val="0"/>
          <w:w w:val="100"/>
          <w:kern w:val="21"/>
          <w:position w:val="0"/>
          <w:sz w:val="24"/>
          <w:u w:val="none" w:color="auto"/>
          <w:lang w:val="en-US" w:eastAsia="zh-CN"/>
        </w:rPr>
        <w:t>拟建项目环境敏感特征分析汇总见</w:t>
      </w:r>
      <w:r>
        <w:rPr>
          <w:rFonts w:hint="eastAsia" w:ascii="Times New Roman" w:hAnsi="Times New Roman" w:eastAsia="宋体" w:cs="Times New Roman"/>
          <w:color w:val="000000"/>
          <w:spacing w:val="0"/>
          <w:w w:val="100"/>
          <w:kern w:val="21"/>
          <w:position w:val="0"/>
          <w:sz w:val="24"/>
          <w:u w:val="none" w:color="auto"/>
          <w:lang w:val="en-US" w:eastAsia="zh-CN"/>
        </w:rPr>
        <w:t>下表</w:t>
      </w:r>
      <w:r>
        <w:rPr>
          <w:rFonts w:hint="default" w:ascii="Times New Roman" w:hAnsi="Times New Roman" w:eastAsia="宋体" w:cs="Times New Roman"/>
          <w:color w:val="000000"/>
          <w:spacing w:val="0"/>
          <w:w w:val="100"/>
          <w:kern w:val="21"/>
          <w:position w:val="0"/>
          <w:sz w:val="24"/>
          <w:u w:val="none" w:color="auto"/>
          <w:lang w:val="en-US" w:eastAsia="zh-CN"/>
        </w:rPr>
        <w:t>。</w:t>
      </w:r>
    </w:p>
    <w:p w14:paraId="672F5C09">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建设项目环境敏感特征表</w:t>
      </w:r>
    </w:p>
    <w:tbl>
      <w:tblPr>
        <w:tblStyle w:val="32"/>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1137"/>
        <w:gridCol w:w="684"/>
        <w:gridCol w:w="1673"/>
        <w:gridCol w:w="551"/>
        <w:gridCol w:w="516"/>
        <w:gridCol w:w="520"/>
        <w:gridCol w:w="440"/>
        <w:gridCol w:w="923"/>
        <w:gridCol w:w="153"/>
        <w:gridCol w:w="1244"/>
        <w:gridCol w:w="1401"/>
      </w:tblGrid>
      <w:tr w14:paraId="1943CE9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noWrap/>
            <w:vAlign w:val="center"/>
          </w:tcPr>
          <w:p w14:paraId="43F7A87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类别</w:t>
            </w:r>
          </w:p>
        </w:tc>
        <w:tc>
          <w:tcPr>
            <w:tcW w:w="4384" w:type="pct"/>
            <w:gridSpan w:val="10"/>
            <w:noWrap w:val="0"/>
            <w:vAlign w:val="center"/>
          </w:tcPr>
          <w:p w14:paraId="286F2F8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环境敏感特征</w:t>
            </w:r>
          </w:p>
        </w:tc>
      </w:tr>
      <w:tr w14:paraId="02B843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restart"/>
            <w:noWrap/>
            <w:vAlign w:val="center"/>
          </w:tcPr>
          <w:p w14:paraId="0E149D4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环境空气</w:t>
            </w:r>
          </w:p>
        </w:tc>
        <w:tc>
          <w:tcPr>
            <w:tcW w:w="4384" w:type="pct"/>
            <w:gridSpan w:val="10"/>
            <w:noWrap w:val="0"/>
            <w:vAlign w:val="center"/>
          </w:tcPr>
          <w:p w14:paraId="7C1C2EE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厂址周边5km范围内</w:t>
            </w:r>
          </w:p>
        </w:tc>
      </w:tr>
      <w:tr w14:paraId="4AC3A5B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1" w:hRule="atLeast"/>
          <w:jc w:val="center"/>
        </w:trPr>
        <w:tc>
          <w:tcPr>
            <w:tcW w:w="615" w:type="pct"/>
            <w:vMerge w:val="continue"/>
            <w:noWrap/>
            <w:vAlign w:val="center"/>
          </w:tcPr>
          <w:p w14:paraId="1D51BFD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73CBEBA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序号</w:t>
            </w:r>
          </w:p>
        </w:tc>
        <w:tc>
          <w:tcPr>
            <w:tcW w:w="1203" w:type="pct"/>
            <w:gridSpan w:val="2"/>
            <w:noWrap w:val="0"/>
            <w:vAlign w:val="center"/>
          </w:tcPr>
          <w:p w14:paraId="2F4F40B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敏感目标名称</w:t>
            </w:r>
          </w:p>
        </w:tc>
        <w:tc>
          <w:tcPr>
            <w:tcW w:w="560" w:type="pct"/>
            <w:gridSpan w:val="2"/>
            <w:noWrap w:val="0"/>
            <w:vAlign w:val="center"/>
          </w:tcPr>
          <w:p w14:paraId="18FCF0E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相对方位</w:t>
            </w:r>
          </w:p>
        </w:tc>
        <w:tc>
          <w:tcPr>
            <w:tcW w:w="737" w:type="pct"/>
            <w:gridSpan w:val="2"/>
            <w:noWrap w:val="0"/>
            <w:vAlign w:val="center"/>
          </w:tcPr>
          <w:p w14:paraId="4D3162C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距离/m</w:t>
            </w:r>
          </w:p>
        </w:tc>
        <w:tc>
          <w:tcPr>
            <w:tcW w:w="755" w:type="pct"/>
            <w:gridSpan w:val="2"/>
            <w:noWrap w:val="0"/>
            <w:vAlign w:val="center"/>
          </w:tcPr>
          <w:p w14:paraId="1250F5B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属性</w:t>
            </w:r>
          </w:p>
        </w:tc>
        <w:tc>
          <w:tcPr>
            <w:tcW w:w="757" w:type="pct"/>
            <w:noWrap w:val="0"/>
            <w:vAlign w:val="center"/>
          </w:tcPr>
          <w:p w14:paraId="4587BCB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人口数</w:t>
            </w:r>
          </w:p>
        </w:tc>
      </w:tr>
      <w:tr w14:paraId="5C953C3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6128308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037F9A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w:t>
            </w:r>
          </w:p>
        </w:tc>
        <w:tc>
          <w:tcPr>
            <w:tcW w:w="1203" w:type="pct"/>
            <w:gridSpan w:val="2"/>
            <w:noWrap w:val="0"/>
            <w:vAlign w:val="center"/>
          </w:tcPr>
          <w:p w14:paraId="1710F0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马堤村</w:t>
            </w:r>
          </w:p>
        </w:tc>
        <w:tc>
          <w:tcPr>
            <w:tcW w:w="560" w:type="pct"/>
            <w:gridSpan w:val="2"/>
            <w:noWrap w:val="0"/>
            <w:vAlign w:val="center"/>
          </w:tcPr>
          <w:p w14:paraId="610118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rPr>
            </w:pPr>
            <w:r>
              <w:rPr>
                <w:rFonts w:hint="eastAsia" w:ascii="宋体" w:hAnsi="宋体" w:eastAsia="宋体" w:cs="宋体"/>
                <w:i w:val="0"/>
                <w:iCs w:val="0"/>
                <w:color w:val="000000"/>
                <w:kern w:val="0"/>
                <w:sz w:val="21"/>
                <w:szCs w:val="21"/>
                <w:u w:val="none" w:color="auto"/>
                <w:lang w:val="en-US" w:eastAsia="zh-CN" w:bidi="ar"/>
              </w:rPr>
              <w:t>东南</w:t>
            </w:r>
          </w:p>
        </w:tc>
        <w:tc>
          <w:tcPr>
            <w:tcW w:w="737" w:type="pct"/>
            <w:gridSpan w:val="2"/>
            <w:noWrap w:val="0"/>
            <w:vAlign w:val="center"/>
          </w:tcPr>
          <w:p w14:paraId="65A229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594</w:t>
            </w:r>
          </w:p>
        </w:tc>
        <w:tc>
          <w:tcPr>
            <w:tcW w:w="755" w:type="pct"/>
            <w:gridSpan w:val="2"/>
            <w:noWrap w:val="0"/>
            <w:vAlign w:val="center"/>
          </w:tcPr>
          <w:p w14:paraId="3C1982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22519A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2500</w:t>
            </w:r>
          </w:p>
        </w:tc>
      </w:tr>
      <w:tr w14:paraId="6E2BB67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3331F29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704F89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2</w:t>
            </w:r>
          </w:p>
        </w:tc>
        <w:tc>
          <w:tcPr>
            <w:tcW w:w="1203" w:type="pct"/>
            <w:gridSpan w:val="2"/>
            <w:noWrap w:val="0"/>
            <w:vAlign w:val="center"/>
          </w:tcPr>
          <w:p w14:paraId="1BB1A3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刘堤村</w:t>
            </w:r>
          </w:p>
        </w:tc>
        <w:tc>
          <w:tcPr>
            <w:tcW w:w="560" w:type="pct"/>
            <w:gridSpan w:val="2"/>
            <w:noWrap w:val="0"/>
            <w:vAlign w:val="center"/>
          </w:tcPr>
          <w:p w14:paraId="795BD3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cs="宋体"/>
                <w:i w:val="0"/>
                <w:iCs w:val="0"/>
                <w:color w:val="000000"/>
                <w:kern w:val="0"/>
                <w:sz w:val="21"/>
                <w:szCs w:val="21"/>
                <w:u w:val="none" w:color="auto"/>
                <w:lang w:val="en-US" w:eastAsia="zh-CN" w:bidi="ar"/>
              </w:rPr>
              <w:t>东</w:t>
            </w:r>
            <w:r>
              <w:rPr>
                <w:rFonts w:hint="eastAsia" w:ascii="宋体" w:hAnsi="宋体" w:eastAsia="宋体" w:cs="宋体"/>
                <w:i w:val="0"/>
                <w:iCs w:val="0"/>
                <w:color w:val="000000"/>
                <w:kern w:val="0"/>
                <w:sz w:val="21"/>
                <w:szCs w:val="21"/>
                <w:u w:val="none" w:color="auto"/>
                <w:lang w:val="en-US" w:eastAsia="zh-CN" w:bidi="ar"/>
              </w:rPr>
              <w:t>南</w:t>
            </w:r>
          </w:p>
        </w:tc>
        <w:tc>
          <w:tcPr>
            <w:tcW w:w="737" w:type="pct"/>
            <w:gridSpan w:val="2"/>
            <w:noWrap w:val="0"/>
            <w:vAlign w:val="center"/>
          </w:tcPr>
          <w:p w14:paraId="397BF2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280</w:t>
            </w:r>
          </w:p>
        </w:tc>
        <w:tc>
          <w:tcPr>
            <w:tcW w:w="755" w:type="pct"/>
            <w:gridSpan w:val="2"/>
            <w:noWrap w:val="0"/>
            <w:vAlign w:val="center"/>
          </w:tcPr>
          <w:p w14:paraId="5DDEBA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15BAD2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2000</w:t>
            </w:r>
          </w:p>
        </w:tc>
      </w:tr>
      <w:tr w14:paraId="469170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1800940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384A15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3</w:t>
            </w:r>
          </w:p>
        </w:tc>
        <w:tc>
          <w:tcPr>
            <w:tcW w:w="1203" w:type="pct"/>
            <w:gridSpan w:val="2"/>
            <w:noWrap w:val="0"/>
            <w:vAlign w:val="center"/>
          </w:tcPr>
          <w:p w14:paraId="2FCB02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塔小庄村</w:t>
            </w:r>
          </w:p>
        </w:tc>
        <w:tc>
          <w:tcPr>
            <w:tcW w:w="560" w:type="pct"/>
            <w:gridSpan w:val="2"/>
            <w:noWrap w:val="0"/>
            <w:vAlign w:val="center"/>
          </w:tcPr>
          <w:p w14:paraId="521EF4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w:t>
            </w:r>
          </w:p>
        </w:tc>
        <w:tc>
          <w:tcPr>
            <w:tcW w:w="737" w:type="pct"/>
            <w:gridSpan w:val="2"/>
            <w:noWrap w:val="0"/>
            <w:vAlign w:val="center"/>
          </w:tcPr>
          <w:p w14:paraId="2B4637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780</w:t>
            </w:r>
          </w:p>
        </w:tc>
        <w:tc>
          <w:tcPr>
            <w:tcW w:w="755" w:type="pct"/>
            <w:gridSpan w:val="2"/>
            <w:noWrap w:val="0"/>
            <w:vAlign w:val="center"/>
          </w:tcPr>
          <w:p w14:paraId="6F8238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65F6E8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2183</w:t>
            </w:r>
          </w:p>
        </w:tc>
      </w:tr>
      <w:tr w14:paraId="295DE89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749E86A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486B66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4</w:t>
            </w:r>
          </w:p>
        </w:tc>
        <w:tc>
          <w:tcPr>
            <w:tcW w:w="1203" w:type="pct"/>
            <w:gridSpan w:val="2"/>
            <w:noWrap w:val="0"/>
            <w:vAlign w:val="center"/>
          </w:tcPr>
          <w:p w14:paraId="76B178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白马村</w:t>
            </w:r>
          </w:p>
        </w:tc>
        <w:tc>
          <w:tcPr>
            <w:tcW w:w="560" w:type="pct"/>
            <w:gridSpan w:val="2"/>
            <w:noWrap w:val="0"/>
            <w:vAlign w:val="center"/>
          </w:tcPr>
          <w:p w14:paraId="5E682C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东</w:t>
            </w:r>
          </w:p>
        </w:tc>
        <w:tc>
          <w:tcPr>
            <w:tcW w:w="737" w:type="pct"/>
            <w:gridSpan w:val="2"/>
            <w:noWrap w:val="0"/>
            <w:vAlign w:val="center"/>
          </w:tcPr>
          <w:p w14:paraId="3AC845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1300</w:t>
            </w:r>
          </w:p>
        </w:tc>
        <w:tc>
          <w:tcPr>
            <w:tcW w:w="755" w:type="pct"/>
            <w:gridSpan w:val="2"/>
            <w:noWrap w:val="0"/>
            <w:vAlign w:val="center"/>
          </w:tcPr>
          <w:p w14:paraId="6D7E9A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6D5ABF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3000</w:t>
            </w:r>
          </w:p>
        </w:tc>
      </w:tr>
      <w:tr w14:paraId="77A95F2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770BDC3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6C1FC9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5</w:t>
            </w:r>
          </w:p>
        </w:tc>
        <w:tc>
          <w:tcPr>
            <w:tcW w:w="1203" w:type="pct"/>
            <w:gridSpan w:val="2"/>
            <w:noWrap w:val="0"/>
            <w:vAlign w:val="center"/>
          </w:tcPr>
          <w:p w14:paraId="6F92C8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郭小庄村</w:t>
            </w:r>
          </w:p>
        </w:tc>
        <w:tc>
          <w:tcPr>
            <w:tcW w:w="560" w:type="pct"/>
            <w:gridSpan w:val="2"/>
            <w:noWrap w:val="0"/>
            <w:vAlign w:val="center"/>
          </w:tcPr>
          <w:p w14:paraId="0092B1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东南</w:t>
            </w:r>
          </w:p>
        </w:tc>
        <w:tc>
          <w:tcPr>
            <w:tcW w:w="737" w:type="pct"/>
            <w:gridSpan w:val="2"/>
            <w:noWrap w:val="0"/>
            <w:vAlign w:val="center"/>
          </w:tcPr>
          <w:p w14:paraId="18ADF5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1130</w:t>
            </w:r>
          </w:p>
        </w:tc>
        <w:tc>
          <w:tcPr>
            <w:tcW w:w="755" w:type="pct"/>
            <w:gridSpan w:val="2"/>
            <w:noWrap w:val="0"/>
            <w:vAlign w:val="center"/>
          </w:tcPr>
          <w:p w14:paraId="6D8EDC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3D55FE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1500</w:t>
            </w:r>
          </w:p>
        </w:tc>
      </w:tr>
      <w:tr w14:paraId="15F531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6106560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699D6D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6</w:t>
            </w:r>
          </w:p>
        </w:tc>
        <w:tc>
          <w:tcPr>
            <w:tcW w:w="1203" w:type="pct"/>
            <w:gridSpan w:val="2"/>
            <w:noWrap w:val="0"/>
            <w:vAlign w:val="center"/>
          </w:tcPr>
          <w:p w14:paraId="525460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庄岩村</w:t>
            </w:r>
          </w:p>
        </w:tc>
        <w:tc>
          <w:tcPr>
            <w:tcW w:w="560" w:type="pct"/>
            <w:gridSpan w:val="2"/>
            <w:noWrap w:val="0"/>
            <w:vAlign w:val="center"/>
          </w:tcPr>
          <w:p w14:paraId="75A2CB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东南</w:t>
            </w:r>
          </w:p>
        </w:tc>
        <w:tc>
          <w:tcPr>
            <w:tcW w:w="737" w:type="pct"/>
            <w:gridSpan w:val="2"/>
            <w:noWrap w:val="0"/>
            <w:vAlign w:val="center"/>
          </w:tcPr>
          <w:p w14:paraId="4B0BEC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2075</w:t>
            </w:r>
          </w:p>
        </w:tc>
        <w:tc>
          <w:tcPr>
            <w:tcW w:w="755" w:type="pct"/>
            <w:gridSpan w:val="2"/>
            <w:noWrap w:val="0"/>
            <w:vAlign w:val="center"/>
          </w:tcPr>
          <w:p w14:paraId="711DC9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0E9344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5959</w:t>
            </w:r>
          </w:p>
        </w:tc>
      </w:tr>
      <w:tr w14:paraId="7AC170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55D0834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033973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7</w:t>
            </w:r>
          </w:p>
        </w:tc>
        <w:tc>
          <w:tcPr>
            <w:tcW w:w="1203" w:type="pct"/>
            <w:gridSpan w:val="2"/>
            <w:noWrap w:val="0"/>
            <w:vAlign w:val="center"/>
          </w:tcPr>
          <w:p w14:paraId="583B4C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刘庄村</w:t>
            </w:r>
          </w:p>
        </w:tc>
        <w:tc>
          <w:tcPr>
            <w:tcW w:w="560" w:type="pct"/>
            <w:gridSpan w:val="2"/>
            <w:noWrap w:val="0"/>
            <w:vAlign w:val="center"/>
          </w:tcPr>
          <w:p w14:paraId="48CE88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东南</w:t>
            </w:r>
          </w:p>
        </w:tc>
        <w:tc>
          <w:tcPr>
            <w:tcW w:w="737" w:type="pct"/>
            <w:gridSpan w:val="2"/>
            <w:noWrap w:val="0"/>
            <w:vAlign w:val="center"/>
          </w:tcPr>
          <w:p w14:paraId="6A3CA1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1403</w:t>
            </w:r>
          </w:p>
        </w:tc>
        <w:tc>
          <w:tcPr>
            <w:tcW w:w="755" w:type="pct"/>
            <w:gridSpan w:val="2"/>
            <w:noWrap w:val="0"/>
            <w:vAlign w:val="center"/>
          </w:tcPr>
          <w:p w14:paraId="4AA47D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4D2788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2200</w:t>
            </w:r>
          </w:p>
        </w:tc>
      </w:tr>
      <w:tr w14:paraId="216327E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35F2593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698432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8</w:t>
            </w:r>
          </w:p>
        </w:tc>
        <w:tc>
          <w:tcPr>
            <w:tcW w:w="1203" w:type="pct"/>
            <w:gridSpan w:val="2"/>
            <w:noWrap w:val="0"/>
            <w:vAlign w:val="center"/>
          </w:tcPr>
          <w:p w14:paraId="30BFDD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司马村</w:t>
            </w:r>
          </w:p>
        </w:tc>
        <w:tc>
          <w:tcPr>
            <w:tcW w:w="560" w:type="pct"/>
            <w:gridSpan w:val="2"/>
            <w:noWrap w:val="0"/>
            <w:vAlign w:val="center"/>
          </w:tcPr>
          <w:p w14:paraId="474388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东南</w:t>
            </w:r>
          </w:p>
        </w:tc>
        <w:tc>
          <w:tcPr>
            <w:tcW w:w="737" w:type="pct"/>
            <w:gridSpan w:val="2"/>
            <w:noWrap w:val="0"/>
            <w:vAlign w:val="center"/>
          </w:tcPr>
          <w:p w14:paraId="3AA138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1700</w:t>
            </w:r>
          </w:p>
        </w:tc>
        <w:tc>
          <w:tcPr>
            <w:tcW w:w="755" w:type="pct"/>
            <w:gridSpan w:val="2"/>
            <w:noWrap w:val="0"/>
            <w:vAlign w:val="center"/>
          </w:tcPr>
          <w:p w14:paraId="3F6755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2803D0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2250</w:t>
            </w:r>
          </w:p>
        </w:tc>
      </w:tr>
      <w:tr w14:paraId="36BCD16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17A63DB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51A791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9</w:t>
            </w:r>
          </w:p>
        </w:tc>
        <w:tc>
          <w:tcPr>
            <w:tcW w:w="1203" w:type="pct"/>
            <w:gridSpan w:val="2"/>
            <w:noWrap w:val="0"/>
            <w:vAlign w:val="center"/>
          </w:tcPr>
          <w:p w14:paraId="7775E0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王庄</w:t>
            </w:r>
          </w:p>
        </w:tc>
        <w:tc>
          <w:tcPr>
            <w:tcW w:w="560" w:type="pct"/>
            <w:gridSpan w:val="2"/>
            <w:noWrap w:val="0"/>
            <w:vAlign w:val="center"/>
          </w:tcPr>
          <w:p w14:paraId="50737B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东南</w:t>
            </w:r>
          </w:p>
        </w:tc>
        <w:tc>
          <w:tcPr>
            <w:tcW w:w="737" w:type="pct"/>
            <w:gridSpan w:val="2"/>
            <w:noWrap w:val="0"/>
            <w:vAlign w:val="center"/>
          </w:tcPr>
          <w:p w14:paraId="2DE92B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1960</w:t>
            </w:r>
          </w:p>
        </w:tc>
        <w:tc>
          <w:tcPr>
            <w:tcW w:w="755" w:type="pct"/>
            <w:gridSpan w:val="2"/>
            <w:noWrap w:val="0"/>
            <w:vAlign w:val="center"/>
          </w:tcPr>
          <w:p w14:paraId="16F57D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09534A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1500</w:t>
            </w:r>
          </w:p>
        </w:tc>
      </w:tr>
      <w:tr w14:paraId="6D0F22B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168BEBE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25C1DA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10</w:t>
            </w:r>
          </w:p>
        </w:tc>
        <w:tc>
          <w:tcPr>
            <w:tcW w:w="1203" w:type="pct"/>
            <w:gridSpan w:val="2"/>
            <w:noWrap w:val="0"/>
            <w:vAlign w:val="center"/>
          </w:tcPr>
          <w:p w14:paraId="33898C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南于店村</w:t>
            </w:r>
          </w:p>
        </w:tc>
        <w:tc>
          <w:tcPr>
            <w:tcW w:w="560" w:type="pct"/>
            <w:gridSpan w:val="2"/>
            <w:noWrap w:val="0"/>
            <w:vAlign w:val="center"/>
          </w:tcPr>
          <w:p w14:paraId="130D3C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东南</w:t>
            </w:r>
          </w:p>
        </w:tc>
        <w:tc>
          <w:tcPr>
            <w:tcW w:w="737" w:type="pct"/>
            <w:gridSpan w:val="2"/>
            <w:noWrap w:val="0"/>
            <w:vAlign w:val="center"/>
          </w:tcPr>
          <w:p w14:paraId="5D666A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3030</w:t>
            </w:r>
          </w:p>
        </w:tc>
        <w:tc>
          <w:tcPr>
            <w:tcW w:w="755" w:type="pct"/>
            <w:gridSpan w:val="2"/>
            <w:noWrap w:val="0"/>
            <w:vAlign w:val="center"/>
          </w:tcPr>
          <w:p w14:paraId="6BC042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3A89F6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3800</w:t>
            </w:r>
          </w:p>
        </w:tc>
      </w:tr>
      <w:tr w14:paraId="35D7673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09345DD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0FBA49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11</w:t>
            </w:r>
          </w:p>
        </w:tc>
        <w:tc>
          <w:tcPr>
            <w:tcW w:w="1203" w:type="pct"/>
            <w:gridSpan w:val="2"/>
            <w:noWrap w:val="0"/>
            <w:vAlign w:val="center"/>
          </w:tcPr>
          <w:p w14:paraId="547619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北于店村</w:t>
            </w:r>
          </w:p>
        </w:tc>
        <w:tc>
          <w:tcPr>
            <w:tcW w:w="560" w:type="pct"/>
            <w:gridSpan w:val="2"/>
            <w:noWrap w:val="0"/>
            <w:vAlign w:val="center"/>
          </w:tcPr>
          <w:p w14:paraId="4BD661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东南</w:t>
            </w:r>
          </w:p>
        </w:tc>
        <w:tc>
          <w:tcPr>
            <w:tcW w:w="737" w:type="pct"/>
            <w:gridSpan w:val="2"/>
            <w:noWrap w:val="0"/>
            <w:vAlign w:val="center"/>
          </w:tcPr>
          <w:p w14:paraId="6FE8FE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3680</w:t>
            </w:r>
          </w:p>
        </w:tc>
        <w:tc>
          <w:tcPr>
            <w:tcW w:w="755" w:type="pct"/>
            <w:gridSpan w:val="2"/>
            <w:noWrap w:val="0"/>
            <w:vAlign w:val="center"/>
          </w:tcPr>
          <w:p w14:paraId="7186AD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4F342B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3050</w:t>
            </w:r>
          </w:p>
        </w:tc>
      </w:tr>
      <w:tr w14:paraId="0DA572D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0F87470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07D75F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12</w:t>
            </w:r>
          </w:p>
        </w:tc>
        <w:tc>
          <w:tcPr>
            <w:tcW w:w="1203" w:type="pct"/>
            <w:gridSpan w:val="2"/>
            <w:noWrap w:val="0"/>
            <w:vAlign w:val="center"/>
          </w:tcPr>
          <w:p w14:paraId="05424C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永安村</w:t>
            </w:r>
          </w:p>
        </w:tc>
        <w:tc>
          <w:tcPr>
            <w:tcW w:w="560" w:type="pct"/>
            <w:gridSpan w:val="2"/>
            <w:noWrap w:val="0"/>
            <w:vAlign w:val="center"/>
          </w:tcPr>
          <w:p w14:paraId="75E6FC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南</w:t>
            </w:r>
          </w:p>
        </w:tc>
        <w:tc>
          <w:tcPr>
            <w:tcW w:w="737" w:type="pct"/>
            <w:gridSpan w:val="2"/>
            <w:noWrap w:val="0"/>
            <w:vAlign w:val="center"/>
          </w:tcPr>
          <w:p w14:paraId="3EC0C9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3610</w:t>
            </w:r>
          </w:p>
        </w:tc>
        <w:tc>
          <w:tcPr>
            <w:tcW w:w="755" w:type="pct"/>
            <w:gridSpan w:val="2"/>
            <w:noWrap w:val="0"/>
            <w:vAlign w:val="center"/>
          </w:tcPr>
          <w:p w14:paraId="7C05D2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79C4B3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3000</w:t>
            </w:r>
          </w:p>
        </w:tc>
      </w:tr>
      <w:tr w14:paraId="11BA247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35A5D76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378412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13</w:t>
            </w:r>
          </w:p>
        </w:tc>
        <w:tc>
          <w:tcPr>
            <w:tcW w:w="1203" w:type="pct"/>
            <w:gridSpan w:val="2"/>
            <w:noWrap w:val="0"/>
            <w:vAlign w:val="center"/>
          </w:tcPr>
          <w:p w14:paraId="5D01AE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朗南街村</w:t>
            </w:r>
          </w:p>
        </w:tc>
        <w:tc>
          <w:tcPr>
            <w:tcW w:w="560" w:type="pct"/>
            <w:gridSpan w:val="2"/>
            <w:noWrap w:val="0"/>
            <w:vAlign w:val="center"/>
          </w:tcPr>
          <w:p w14:paraId="6D2B6E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27E768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3200</w:t>
            </w:r>
          </w:p>
        </w:tc>
        <w:tc>
          <w:tcPr>
            <w:tcW w:w="755" w:type="pct"/>
            <w:gridSpan w:val="2"/>
            <w:noWrap w:val="0"/>
            <w:vAlign w:val="center"/>
          </w:tcPr>
          <w:p w14:paraId="1E3715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6974C6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2180</w:t>
            </w:r>
          </w:p>
        </w:tc>
      </w:tr>
      <w:tr w14:paraId="166DC9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692F858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19CF1E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14</w:t>
            </w:r>
          </w:p>
        </w:tc>
        <w:tc>
          <w:tcPr>
            <w:tcW w:w="1203" w:type="pct"/>
            <w:gridSpan w:val="2"/>
            <w:noWrap w:val="0"/>
            <w:vAlign w:val="center"/>
          </w:tcPr>
          <w:p w14:paraId="5EEAAF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朗北街村</w:t>
            </w:r>
          </w:p>
        </w:tc>
        <w:tc>
          <w:tcPr>
            <w:tcW w:w="560" w:type="pct"/>
            <w:gridSpan w:val="2"/>
            <w:noWrap w:val="0"/>
            <w:vAlign w:val="center"/>
          </w:tcPr>
          <w:p w14:paraId="1C3504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6B30CA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2640</w:t>
            </w:r>
          </w:p>
        </w:tc>
        <w:tc>
          <w:tcPr>
            <w:tcW w:w="755" w:type="pct"/>
            <w:gridSpan w:val="2"/>
            <w:noWrap w:val="0"/>
            <w:vAlign w:val="center"/>
          </w:tcPr>
          <w:p w14:paraId="3BA644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492FEE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2500</w:t>
            </w:r>
          </w:p>
        </w:tc>
      </w:tr>
      <w:tr w14:paraId="08BC72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1FA79FB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14CE38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15</w:t>
            </w:r>
          </w:p>
        </w:tc>
        <w:tc>
          <w:tcPr>
            <w:tcW w:w="1203" w:type="pct"/>
            <w:gridSpan w:val="2"/>
            <w:noWrap w:val="0"/>
            <w:vAlign w:val="center"/>
          </w:tcPr>
          <w:p w14:paraId="5164BC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朗公庙中学</w:t>
            </w:r>
          </w:p>
        </w:tc>
        <w:tc>
          <w:tcPr>
            <w:tcW w:w="560" w:type="pct"/>
            <w:gridSpan w:val="2"/>
            <w:noWrap w:val="0"/>
            <w:vAlign w:val="center"/>
          </w:tcPr>
          <w:p w14:paraId="7A5E99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7C4C26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3430</w:t>
            </w:r>
          </w:p>
        </w:tc>
        <w:tc>
          <w:tcPr>
            <w:tcW w:w="755" w:type="pct"/>
            <w:gridSpan w:val="2"/>
            <w:noWrap w:val="0"/>
            <w:vAlign w:val="center"/>
          </w:tcPr>
          <w:p w14:paraId="30379A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学校</w:t>
            </w:r>
          </w:p>
        </w:tc>
        <w:tc>
          <w:tcPr>
            <w:tcW w:w="757" w:type="pct"/>
            <w:noWrap w:val="0"/>
            <w:vAlign w:val="center"/>
          </w:tcPr>
          <w:p w14:paraId="069783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698</w:t>
            </w:r>
          </w:p>
        </w:tc>
      </w:tr>
      <w:tr w14:paraId="4A8E44D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00A5285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3F0F77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16</w:t>
            </w:r>
          </w:p>
        </w:tc>
        <w:tc>
          <w:tcPr>
            <w:tcW w:w="1203" w:type="pct"/>
            <w:gridSpan w:val="2"/>
            <w:noWrap w:val="0"/>
            <w:vAlign w:val="center"/>
          </w:tcPr>
          <w:p w14:paraId="20F19E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新乡工程学院</w:t>
            </w:r>
          </w:p>
        </w:tc>
        <w:tc>
          <w:tcPr>
            <w:tcW w:w="560" w:type="pct"/>
            <w:gridSpan w:val="2"/>
            <w:noWrap w:val="0"/>
            <w:vAlign w:val="center"/>
          </w:tcPr>
          <w:p w14:paraId="06C990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68D9A1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3640</w:t>
            </w:r>
          </w:p>
        </w:tc>
        <w:tc>
          <w:tcPr>
            <w:tcW w:w="755" w:type="pct"/>
            <w:gridSpan w:val="2"/>
            <w:noWrap w:val="0"/>
            <w:vAlign w:val="center"/>
          </w:tcPr>
          <w:p w14:paraId="2327BC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学校</w:t>
            </w:r>
          </w:p>
        </w:tc>
        <w:tc>
          <w:tcPr>
            <w:tcW w:w="757" w:type="pct"/>
            <w:noWrap w:val="0"/>
            <w:vAlign w:val="center"/>
          </w:tcPr>
          <w:p w14:paraId="7BFEB6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23036</w:t>
            </w:r>
          </w:p>
        </w:tc>
      </w:tr>
      <w:tr w14:paraId="0CDF2A4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2A320BD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1089B0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i w:val="0"/>
                <w:iCs w:val="0"/>
                <w:color w:val="000000"/>
                <w:kern w:val="0"/>
                <w:sz w:val="21"/>
                <w:szCs w:val="21"/>
                <w:u w:val="none" w:color="auto"/>
                <w:lang w:val="en-US" w:eastAsia="zh-CN" w:bidi="ar"/>
              </w:rPr>
              <w:t>17</w:t>
            </w:r>
          </w:p>
        </w:tc>
        <w:tc>
          <w:tcPr>
            <w:tcW w:w="1203" w:type="pct"/>
            <w:gridSpan w:val="2"/>
            <w:noWrap w:val="0"/>
            <w:vAlign w:val="center"/>
          </w:tcPr>
          <w:p w14:paraId="2496A2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南固村</w:t>
            </w:r>
          </w:p>
        </w:tc>
        <w:tc>
          <w:tcPr>
            <w:tcW w:w="560" w:type="pct"/>
            <w:gridSpan w:val="2"/>
            <w:noWrap w:val="0"/>
            <w:vAlign w:val="center"/>
          </w:tcPr>
          <w:p w14:paraId="50C033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552E52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4830</w:t>
            </w:r>
          </w:p>
        </w:tc>
        <w:tc>
          <w:tcPr>
            <w:tcW w:w="755" w:type="pct"/>
            <w:gridSpan w:val="2"/>
            <w:noWrap w:val="0"/>
            <w:vAlign w:val="center"/>
          </w:tcPr>
          <w:p w14:paraId="6AACF0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3F1FAD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1950</w:t>
            </w:r>
          </w:p>
        </w:tc>
      </w:tr>
      <w:tr w14:paraId="47F10FC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2045410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0777FF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i w:val="0"/>
                <w:iCs w:val="0"/>
                <w:color w:val="000000"/>
                <w:kern w:val="0"/>
                <w:sz w:val="21"/>
                <w:szCs w:val="21"/>
                <w:u w:val="none" w:color="auto"/>
                <w:lang w:val="en-US" w:eastAsia="zh-CN" w:bidi="ar"/>
              </w:rPr>
              <w:t>18</w:t>
            </w:r>
          </w:p>
        </w:tc>
        <w:tc>
          <w:tcPr>
            <w:tcW w:w="1203" w:type="pct"/>
            <w:gridSpan w:val="2"/>
            <w:noWrap w:val="0"/>
            <w:vAlign w:val="center"/>
          </w:tcPr>
          <w:p w14:paraId="25E36F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朱堤村</w:t>
            </w:r>
          </w:p>
        </w:tc>
        <w:tc>
          <w:tcPr>
            <w:tcW w:w="560" w:type="pct"/>
            <w:gridSpan w:val="2"/>
            <w:noWrap w:val="0"/>
            <w:vAlign w:val="center"/>
          </w:tcPr>
          <w:p w14:paraId="0C28B0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67EE1B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3420</w:t>
            </w:r>
          </w:p>
        </w:tc>
        <w:tc>
          <w:tcPr>
            <w:tcW w:w="755" w:type="pct"/>
            <w:gridSpan w:val="2"/>
            <w:noWrap w:val="0"/>
            <w:vAlign w:val="center"/>
          </w:tcPr>
          <w:p w14:paraId="47E34E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749A5E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2500</w:t>
            </w:r>
          </w:p>
        </w:tc>
      </w:tr>
      <w:tr w14:paraId="6657263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6564194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424641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i w:val="0"/>
                <w:iCs w:val="0"/>
                <w:color w:val="000000"/>
                <w:kern w:val="0"/>
                <w:sz w:val="21"/>
                <w:szCs w:val="21"/>
                <w:u w:val="none" w:color="auto"/>
                <w:lang w:val="en-US" w:eastAsia="zh-CN" w:bidi="ar"/>
              </w:rPr>
              <w:t>19</w:t>
            </w:r>
          </w:p>
        </w:tc>
        <w:tc>
          <w:tcPr>
            <w:tcW w:w="1203" w:type="pct"/>
            <w:gridSpan w:val="2"/>
            <w:noWrap w:val="0"/>
            <w:vAlign w:val="center"/>
          </w:tcPr>
          <w:p w14:paraId="341160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eastAsia" w:ascii="宋体" w:hAnsi="宋体" w:eastAsia="宋体" w:cs="宋体"/>
                <w:i w:val="0"/>
                <w:iCs w:val="0"/>
                <w:color w:val="000000"/>
                <w:kern w:val="0"/>
                <w:sz w:val="21"/>
                <w:szCs w:val="21"/>
                <w:u w:val="none" w:color="auto"/>
                <w:lang w:val="en-US" w:eastAsia="zh-CN" w:bidi="ar"/>
              </w:rPr>
              <w:t>贺堤村</w:t>
            </w:r>
          </w:p>
        </w:tc>
        <w:tc>
          <w:tcPr>
            <w:tcW w:w="560" w:type="pct"/>
            <w:gridSpan w:val="2"/>
            <w:noWrap w:val="0"/>
            <w:vAlign w:val="center"/>
          </w:tcPr>
          <w:p w14:paraId="28DE31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480646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2410</w:t>
            </w:r>
          </w:p>
        </w:tc>
        <w:tc>
          <w:tcPr>
            <w:tcW w:w="755" w:type="pct"/>
            <w:gridSpan w:val="2"/>
            <w:noWrap w:val="0"/>
            <w:vAlign w:val="center"/>
          </w:tcPr>
          <w:p w14:paraId="57C485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6BF081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2750</w:t>
            </w:r>
          </w:p>
        </w:tc>
      </w:tr>
      <w:tr w14:paraId="1E759CD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33A74B9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210F35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i w:val="0"/>
                <w:iCs w:val="0"/>
                <w:color w:val="000000"/>
                <w:kern w:val="0"/>
                <w:sz w:val="21"/>
                <w:szCs w:val="21"/>
                <w:u w:val="none" w:color="auto"/>
                <w:lang w:val="en-US" w:eastAsia="zh-CN" w:bidi="ar"/>
              </w:rPr>
              <w:t>20</w:t>
            </w:r>
          </w:p>
        </w:tc>
        <w:tc>
          <w:tcPr>
            <w:tcW w:w="1203" w:type="pct"/>
            <w:gridSpan w:val="2"/>
            <w:noWrap w:val="0"/>
            <w:vAlign w:val="center"/>
          </w:tcPr>
          <w:p w14:paraId="5AFC6D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eastAsia" w:ascii="宋体" w:hAnsi="宋体" w:eastAsia="宋体" w:cs="宋体"/>
                <w:i w:val="0"/>
                <w:iCs w:val="0"/>
                <w:color w:val="000000"/>
                <w:kern w:val="0"/>
                <w:sz w:val="21"/>
                <w:szCs w:val="21"/>
                <w:u w:val="none" w:color="auto"/>
                <w:lang w:val="en-US" w:eastAsia="zh-CN" w:bidi="ar"/>
              </w:rPr>
              <w:t>油房堤村</w:t>
            </w:r>
          </w:p>
        </w:tc>
        <w:tc>
          <w:tcPr>
            <w:tcW w:w="560" w:type="pct"/>
            <w:gridSpan w:val="2"/>
            <w:noWrap w:val="0"/>
            <w:vAlign w:val="center"/>
          </w:tcPr>
          <w:p w14:paraId="40EE18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46D62A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1770</w:t>
            </w:r>
          </w:p>
        </w:tc>
        <w:tc>
          <w:tcPr>
            <w:tcW w:w="755" w:type="pct"/>
            <w:gridSpan w:val="2"/>
            <w:noWrap w:val="0"/>
            <w:vAlign w:val="center"/>
          </w:tcPr>
          <w:p w14:paraId="2B39BB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3A4822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3050</w:t>
            </w:r>
          </w:p>
        </w:tc>
      </w:tr>
      <w:tr w14:paraId="5A4B4FF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36C17B6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00EEC8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i w:val="0"/>
                <w:iCs w:val="0"/>
                <w:color w:val="000000"/>
                <w:kern w:val="0"/>
                <w:sz w:val="21"/>
                <w:szCs w:val="21"/>
                <w:u w:val="none" w:color="auto"/>
                <w:lang w:val="en-US" w:eastAsia="zh-CN" w:bidi="ar"/>
              </w:rPr>
              <w:t>21</w:t>
            </w:r>
          </w:p>
        </w:tc>
        <w:tc>
          <w:tcPr>
            <w:tcW w:w="1203" w:type="pct"/>
            <w:gridSpan w:val="2"/>
            <w:noWrap w:val="0"/>
            <w:vAlign w:val="center"/>
          </w:tcPr>
          <w:p w14:paraId="1CFF54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eastAsia" w:ascii="宋体" w:hAnsi="宋体" w:eastAsia="宋体" w:cs="宋体"/>
                <w:i w:val="0"/>
                <w:iCs w:val="0"/>
                <w:color w:val="000000"/>
                <w:kern w:val="0"/>
                <w:sz w:val="21"/>
                <w:szCs w:val="21"/>
                <w:u w:val="none" w:color="auto"/>
                <w:lang w:val="en-US" w:eastAsia="zh-CN" w:bidi="ar"/>
              </w:rPr>
              <w:t>建业花园里</w:t>
            </w:r>
          </w:p>
        </w:tc>
        <w:tc>
          <w:tcPr>
            <w:tcW w:w="560" w:type="pct"/>
            <w:gridSpan w:val="2"/>
            <w:noWrap w:val="0"/>
            <w:vAlign w:val="center"/>
          </w:tcPr>
          <w:p w14:paraId="691ACE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49B8DD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2300</w:t>
            </w:r>
          </w:p>
        </w:tc>
        <w:tc>
          <w:tcPr>
            <w:tcW w:w="755" w:type="pct"/>
            <w:gridSpan w:val="2"/>
            <w:noWrap w:val="0"/>
            <w:vAlign w:val="center"/>
          </w:tcPr>
          <w:p w14:paraId="44CD0B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62A45A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1800</w:t>
            </w:r>
          </w:p>
        </w:tc>
      </w:tr>
      <w:tr w14:paraId="639B1E6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46072B6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442B1C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i w:val="0"/>
                <w:iCs w:val="0"/>
                <w:color w:val="000000"/>
                <w:kern w:val="0"/>
                <w:sz w:val="21"/>
                <w:szCs w:val="21"/>
                <w:u w:val="none" w:color="auto"/>
                <w:lang w:val="en-US" w:eastAsia="zh-CN" w:bidi="ar"/>
              </w:rPr>
              <w:t>22</w:t>
            </w:r>
          </w:p>
        </w:tc>
        <w:tc>
          <w:tcPr>
            <w:tcW w:w="1203" w:type="pct"/>
            <w:gridSpan w:val="2"/>
            <w:noWrap w:val="0"/>
            <w:vAlign w:val="center"/>
          </w:tcPr>
          <w:p w14:paraId="4B1D9D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eastAsia" w:ascii="宋体" w:hAnsi="宋体" w:eastAsia="宋体" w:cs="宋体"/>
                <w:i w:val="0"/>
                <w:iCs w:val="0"/>
                <w:color w:val="000000"/>
                <w:kern w:val="0"/>
                <w:sz w:val="21"/>
                <w:szCs w:val="21"/>
                <w:u w:val="none" w:color="auto"/>
                <w:lang w:val="en-US" w:eastAsia="zh-CN" w:bidi="ar"/>
              </w:rPr>
              <w:t>张湾村</w:t>
            </w:r>
          </w:p>
        </w:tc>
        <w:tc>
          <w:tcPr>
            <w:tcW w:w="560" w:type="pct"/>
            <w:gridSpan w:val="2"/>
            <w:noWrap w:val="0"/>
            <w:vAlign w:val="center"/>
          </w:tcPr>
          <w:p w14:paraId="24DA19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61AB02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4480</w:t>
            </w:r>
          </w:p>
        </w:tc>
        <w:tc>
          <w:tcPr>
            <w:tcW w:w="755" w:type="pct"/>
            <w:gridSpan w:val="2"/>
            <w:noWrap w:val="0"/>
            <w:vAlign w:val="center"/>
          </w:tcPr>
          <w:p w14:paraId="0A9EB7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0CA595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2680</w:t>
            </w:r>
          </w:p>
        </w:tc>
      </w:tr>
      <w:tr w14:paraId="585B450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72AD25E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7C91AF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i w:val="0"/>
                <w:iCs w:val="0"/>
                <w:color w:val="000000"/>
                <w:kern w:val="0"/>
                <w:sz w:val="21"/>
                <w:szCs w:val="21"/>
                <w:u w:val="none" w:color="auto"/>
                <w:lang w:val="en-US" w:eastAsia="zh-CN" w:bidi="ar"/>
              </w:rPr>
              <w:t>23</w:t>
            </w:r>
          </w:p>
        </w:tc>
        <w:tc>
          <w:tcPr>
            <w:tcW w:w="1203" w:type="pct"/>
            <w:gridSpan w:val="2"/>
            <w:noWrap w:val="0"/>
            <w:vAlign w:val="center"/>
          </w:tcPr>
          <w:p w14:paraId="20C30B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新乡县新中实验学校</w:t>
            </w:r>
          </w:p>
        </w:tc>
        <w:tc>
          <w:tcPr>
            <w:tcW w:w="560" w:type="pct"/>
            <w:gridSpan w:val="2"/>
            <w:noWrap w:val="0"/>
            <w:vAlign w:val="center"/>
          </w:tcPr>
          <w:p w14:paraId="3673C7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12B3E8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3170</w:t>
            </w:r>
          </w:p>
        </w:tc>
        <w:tc>
          <w:tcPr>
            <w:tcW w:w="755" w:type="pct"/>
            <w:gridSpan w:val="2"/>
            <w:noWrap w:val="0"/>
            <w:vAlign w:val="center"/>
          </w:tcPr>
          <w:p w14:paraId="5DB971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学校</w:t>
            </w:r>
          </w:p>
        </w:tc>
        <w:tc>
          <w:tcPr>
            <w:tcW w:w="757" w:type="pct"/>
            <w:noWrap w:val="0"/>
            <w:vAlign w:val="center"/>
          </w:tcPr>
          <w:p w14:paraId="091E52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5450</w:t>
            </w:r>
          </w:p>
        </w:tc>
      </w:tr>
      <w:tr w14:paraId="754BF25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53F576B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6A70AB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i w:val="0"/>
                <w:iCs w:val="0"/>
                <w:color w:val="000000"/>
                <w:kern w:val="0"/>
                <w:sz w:val="21"/>
                <w:szCs w:val="21"/>
                <w:u w:val="none" w:color="auto"/>
                <w:lang w:val="en-US" w:eastAsia="zh-CN" w:bidi="ar"/>
              </w:rPr>
              <w:t>24</w:t>
            </w:r>
          </w:p>
        </w:tc>
        <w:tc>
          <w:tcPr>
            <w:tcW w:w="1203" w:type="pct"/>
            <w:gridSpan w:val="2"/>
            <w:noWrap w:val="0"/>
            <w:vAlign w:val="center"/>
          </w:tcPr>
          <w:p w14:paraId="0852E3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橡树湾</w:t>
            </w:r>
          </w:p>
        </w:tc>
        <w:tc>
          <w:tcPr>
            <w:tcW w:w="560" w:type="pct"/>
            <w:gridSpan w:val="2"/>
            <w:noWrap w:val="0"/>
            <w:vAlign w:val="center"/>
          </w:tcPr>
          <w:p w14:paraId="4A5168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7D429E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2600</w:t>
            </w:r>
          </w:p>
        </w:tc>
        <w:tc>
          <w:tcPr>
            <w:tcW w:w="755" w:type="pct"/>
            <w:gridSpan w:val="2"/>
            <w:noWrap w:val="0"/>
            <w:vAlign w:val="center"/>
          </w:tcPr>
          <w:p w14:paraId="636F63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57336A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2500</w:t>
            </w:r>
          </w:p>
        </w:tc>
      </w:tr>
      <w:tr w14:paraId="06048D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3D7DF96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166F22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i w:val="0"/>
                <w:iCs w:val="0"/>
                <w:color w:val="000000"/>
                <w:kern w:val="0"/>
                <w:sz w:val="21"/>
                <w:szCs w:val="21"/>
                <w:u w:val="none" w:color="auto"/>
                <w:lang w:val="en-US" w:eastAsia="zh-CN" w:bidi="ar"/>
              </w:rPr>
              <w:t>25</w:t>
            </w:r>
          </w:p>
        </w:tc>
        <w:tc>
          <w:tcPr>
            <w:tcW w:w="1203" w:type="pct"/>
            <w:gridSpan w:val="2"/>
            <w:noWrap w:val="0"/>
            <w:vAlign w:val="center"/>
          </w:tcPr>
          <w:p w14:paraId="302FAE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融通</w:t>
            </w:r>
            <w:r>
              <w:rPr>
                <w:rFonts w:hint="default" w:ascii="Times New Roman" w:hAnsi="Times New Roman" w:eastAsia="宋体" w:cs="Times New Roman"/>
                <w:i w:val="0"/>
                <w:iCs w:val="0"/>
                <w:color w:val="000000"/>
                <w:kern w:val="0"/>
                <w:sz w:val="21"/>
                <w:szCs w:val="21"/>
                <w:u w:val="none" w:color="auto"/>
                <w:lang w:val="en-US" w:eastAsia="zh-CN" w:bidi="ar"/>
              </w:rPr>
              <w:t xml:space="preserve"> </w:t>
            </w:r>
            <w:r>
              <w:rPr>
                <w:rFonts w:hint="eastAsia" w:ascii="宋体" w:hAnsi="宋体" w:eastAsia="宋体" w:cs="宋体"/>
                <w:i w:val="0"/>
                <w:iCs w:val="0"/>
                <w:color w:val="000000"/>
                <w:kern w:val="0"/>
                <w:sz w:val="21"/>
                <w:szCs w:val="21"/>
                <w:u w:val="none" w:color="auto"/>
                <w:lang w:val="en-US" w:eastAsia="zh-CN" w:bidi="ar"/>
              </w:rPr>
              <w:t>香槟小镇</w:t>
            </w:r>
          </w:p>
        </w:tc>
        <w:tc>
          <w:tcPr>
            <w:tcW w:w="560" w:type="pct"/>
            <w:gridSpan w:val="2"/>
            <w:noWrap w:val="0"/>
            <w:vAlign w:val="center"/>
          </w:tcPr>
          <w:p w14:paraId="2B7967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西南</w:t>
            </w:r>
          </w:p>
        </w:tc>
        <w:tc>
          <w:tcPr>
            <w:tcW w:w="737" w:type="pct"/>
            <w:gridSpan w:val="2"/>
            <w:noWrap w:val="0"/>
            <w:vAlign w:val="center"/>
          </w:tcPr>
          <w:p w14:paraId="1E1B43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2400</w:t>
            </w:r>
          </w:p>
        </w:tc>
        <w:tc>
          <w:tcPr>
            <w:tcW w:w="755" w:type="pct"/>
            <w:gridSpan w:val="2"/>
            <w:noWrap w:val="0"/>
            <w:vAlign w:val="center"/>
          </w:tcPr>
          <w:p w14:paraId="67823B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6C0211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4050</w:t>
            </w:r>
          </w:p>
        </w:tc>
      </w:tr>
      <w:tr w14:paraId="3E3AB70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50E7431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703941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i w:val="0"/>
                <w:iCs w:val="0"/>
                <w:color w:val="000000"/>
                <w:kern w:val="0"/>
                <w:sz w:val="21"/>
                <w:szCs w:val="21"/>
                <w:u w:val="none" w:color="auto"/>
                <w:lang w:val="en-US" w:eastAsia="zh-CN" w:bidi="ar"/>
              </w:rPr>
              <w:t>26</w:t>
            </w:r>
          </w:p>
        </w:tc>
        <w:tc>
          <w:tcPr>
            <w:tcW w:w="1203" w:type="pct"/>
            <w:gridSpan w:val="2"/>
            <w:noWrap w:val="0"/>
            <w:vAlign w:val="center"/>
          </w:tcPr>
          <w:p w14:paraId="1ADADC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贾屯村</w:t>
            </w:r>
          </w:p>
        </w:tc>
        <w:tc>
          <w:tcPr>
            <w:tcW w:w="560" w:type="pct"/>
            <w:gridSpan w:val="2"/>
            <w:noWrap w:val="0"/>
            <w:vAlign w:val="center"/>
          </w:tcPr>
          <w:p w14:paraId="42F8C6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西</w:t>
            </w:r>
          </w:p>
        </w:tc>
        <w:tc>
          <w:tcPr>
            <w:tcW w:w="737" w:type="pct"/>
            <w:gridSpan w:val="2"/>
            <w:noWrap w:val="0"/>
            <w:vAlign w:val="center"/>
          </w:tcPr>
          <w:p w14:paraId="636B95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4260</w:t>
            </w:r>
          </w:p>
        </w:tc>
        <w:tc>
          <w:tcPr>
            <w:tcW w:w="755" w:type="pct"/>
            <w:gridSpan w:val="2"/>
            <w:noWrap w:val="0"/>
            <w:vAlign w:val="center"/>
          </w:tcPr>
          <w:p w14:paraId="187C17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426AEC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1702</w:t>
            </w:r>
          </w:p>
        </w:tc>
      </w:tr>
      <w:tr w14:paraId="2A63C9D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745B61D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14B33B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27</w:t>
            </w:r>
          </w:p>
        </w:tc>
        <w:tc>
          <w:tcPr>
            <w:tcW w:w="1203" w:type="pct"/>
            <w:gridSpan w:val="2"/>
            <w:noWrap w:val="0"/>
            <w:vAlign w:val="center"/>
          </w:tcPr>
          <w:p w14:paraId="6B0729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张八寨村</w:t>
            </w:r>
          </w:p>
        </w:tc>
        <w:tc>
          <w:tcPr>
            <w:tcW w:w="560" w:type="pct"/>
            <w:gridSpan w:val="2"/>
            <w:noWrap w:val="0"/>
            <w:vAlign w:val="center"/>
          </w:tcPr>
          <w:p w14:paraId="7D889B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东北</w:t>
            </w:r>
          </w:p>
        </w:tc>
        <w:tc>
          <w:tcPr>
            <w:tcW w:w="737" w:type="pct"/>
            <w:gridSpan w:val="2"/>
            <w:noWrap w:val="0"/>
            <w:vAlign w:val="center"/>
          </w:tcPr>
          <w:p w14:paraId="055EE5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2470</w:t>
            </w:r>
          </w:p>
        </w:tc>
        <w:tc>
          <w:tcPr>
            <w:tcW w:w="755" w:type="pct"/>
            <w:gridSpan w:val="2"/>
            <w:noWrap w:val="0"/>
            <w:vAlign w:val="center"/>
          </w:tcPr>
          <w:p w14:paraId="799627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769C0E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3000</w:t>
            </w:r>
          </w:p>
        </w:tc>
      </w:tr>
      <w:tr w14:paraId="6733309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2113D99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74B682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i w:val="0"/>
                <w:iCs w:val="0"/>
                <w:color w:val="000000"/>
                <w:kern w:val="0"/>
                <w:sz w:val="21"/>
                <w:szCs w:val="21"/>
                <w:u w:val="none" w:color="auto"/>
                <w:lang w:val="en-US" w:eastAsia="zh-CN" w:bidi="ar"/>
              </w:rPr>
              <w:t>28</w:t>
            </w:r>
          </w:p>
        </w:tc>
        <w:tc>
          <w:tcPr>
            <w:tcW w:w="1203" w:type="pct"/>
            <w:gridSpan w:val="2"/>
            <w:noWrap w:val="0"/>
            <w:vAlign w:val="center"/>
          </w:tcPr>
          <w:p w14:paraId="2744AC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任庄村</w:t>
            </w:r>
          </w:p>
        </w:tc>
        <w:tc>
          <w:tcPr>
            <w:tcW w:w="560" w:type="pct"/>
            <w:gridSpan w:val="2"/>
            <w:noWrap w:val="0"/>
            <w:vAlign w:val="center"/>
          </w:tcPr>
          <w:p w14:paraId="0F21FB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东北</w:t>
            </w:r>
          </w:p>
        </w:tc>
        <w:tc>
          <w:tcPr>
            <w:tcW w:w="737" w:type="pct"/>
            <w:gridSpan w:val="2"/>
            <w:noWrap w:val="0"/>
            <w:vAlign w:val="center"/>
          </w:tcPr>
          <w:p w14:paraId="1DE3D1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3710</w:t>
            </w:r>
          </w:p>
        </w:tc>
        <w:tc>
          <w:tcPr>
            <w:tcW w:w="755" w:type="pct"/>
            <w:gridSpan w:val="2"/>
            <w:noWrap w:val="0"/>
            <w:vAlign w:val="center"/>
          </w:tcPr>
          <w:p w14:paraId="20F723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68E141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2250</w:t>
            </w:r>
          </w:p>
        </w:tc>
      </w:tr>
      <w:tr w14:paraId="4477948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386EE95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3D4B3F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29</w:t>
            </w:r>
          </w:p>
        </w:tc>
        <w:tc>
          <w:tcPr>
            <w:tcW w:w="1203" w:type="pct"/>
            <w:gridSpan w:val="2"/>
            <w:noWrap w:val="0"/>
            <w:vAlign w:val="center"/>
          </w:tcPr>
          <w:p w14:paraId="5AD44D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陈庄村</w:t>
            </w:r>
          </w:p>
        </w:tc>
        <w:tc>
          <w:tcPr>
            <w:tcW w:w="560" w:type="pct"/>
            <w:gridSpan w:val="2"/>
            <w:noWrap w:val="0"/>
            <w:vAlign w:val="center"/>
          </w:tcPr>
          <w:p w14:paraId="502CC0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东北</w:t>
            </w:r>
          </w:p>
        </w:tc>
        <w:tc>
          <w:tcPr>
            <w:tcW w:w="737" w:type="pct"/>
            <w:gridSpan w:val="2"/>
            <w:noWrap w:val="0"/>
            <w:vAlign w:val="center"/>
          </w:tcPr>
          <w:p w14:paraId="331955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4100</w:t>
            </w:r>
          </w:p>
        </w:tc>
        <w:tc>
          <w:tcPr>
            <w:tcW w:w="755" w:type="pct"/>
            <w:gridSpan w:val="2"/>
            <w:noWrap w:val="0"/>
            <w:vAlign w:val="center"/>
          </w:tcPr>
          <w:p w14:paraId="7E506A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78B4E4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1750</w:t>
            </w:r>
          </w:p>
        </w:tc>
      </w:tr>
      <w:tr w14:paraId="0B702C7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1E59403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5D2F80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30</w:t>
            </w:r>
          </w:p>
        </w:tc>
        <w:tc>
          <w:tcPr>
            <w:tcW w:w="1203" w:type="pct"/>
            <w:gridSpan w:val="2"/>
            <w:noWrap w:val="0"/>
            <w:vAlign w:val="center"/>
          </w:tcPr>
          <w:p w14:paraId="0E82A4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大介山村</w:t>
            </w:r>
          </w:p>
        </w:tc>
        <w:tc>
          <w:tcPr>
            <w:tcW w:w="560" w:type="pct"/>
            <w:gridSpan w:val="2"/>
            <w:noWrap w:val="0"/>
            <w:vAlign w:val="center"/>
          </w:tcPr>
          <w:p w14:paraId="46A9D7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w:t>
            </w:r>
          </w:p>
        </w:tc>
        <w:tc>
          <w:tcPr>
            <w:tcW w:w="737" w:type="pct"/>
            <w:gridSpan w:val="2"/>
            <w:noWrap w:val="0"/>
            <w:vAlign w:val="center"/>
          </w:tcPr>
          <w:p w14:paraId="02DBC4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3270</w:t>
            </w:r>
          </w:p>
        </w:tc>
        <w:tc>
          <w:tcPr>
            <w:tcW w:w="755" w:type="pct"/>
            <w:gridSpan w:val="2"/>
            <w:noWrap w:val="0"/>
            <w:vAlign w:val="center"/>
          </w:tcPr>
          <w:p w14:paraId="1AF884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0B7F9E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2000</w:t>
            </w:r>
          </w:p>
        </w:tc>
      </w:tr>
      <w:tr w14:paraId="7DE5FF8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48C07BF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685DA2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31</w:t>
            </w:r>
          </w:p>
        </w:tc>
        <w:tc>
          <w:tcPr>
            <w:tcW w:w="1203" w:type="pct"/>
            <w:gridSpan w:val="2"/>
            <w:noWrap w:val="0"/>
            <w:vAlign w:val="center"/>
          </w:tcPr>
          <w:p w14:paraId="16D8AD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小介山村</w:t>
            </w:r>
          </w:p>
        </w:tc>
        <w:tc>
          <w:tcPr>
            <w:tcW w:w="560" w:type="pct"/>
            <w:gridSpan w:val="2"/>
            <w:noWrap w:val="0"/>
            <w:vAlign w:val="center"/>
          </w:tcPr>
          <w:p w14:paraId="16E2B5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w:t>
            </w:r>
          </w:p>
        </w:tc>
        <w:tc>
          <w:tcPr>
            <w:tcW w:w="737" w:type="pct"/>
            <w:gridSpan w:val="2"/>
            <w:noWrap w:val="0"/>
            <w:vAlign w:val="center"/>
          </w:tcPr>
          <w:p w14:paraId="646D9D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4240</w:t>
            </w:r>
          </w:p>
        </w:tc>
        <w:tc>
          <w:tcPr>
            <w:tcW w:w="755" w:type="pct"/>
            <w:gridSpan w:val="2"/>
            <w:noWrap w:val="0"/>
            <w:vAlign w:val="center"/>
          </w:tcPr>
          <w:p w14:paraId="73BE11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4E63B6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1750</w:t>
            </w:r>
          </w:p>
        </w:tc>
      </w:tr>
      <w:tr w14:paraId="6CFC2F3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468D4A7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319A2C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32</w:t>
            </w:r>
          </w:p>
        </w:tc>
        <w:tc>
          <w:tcPr>
            <w:tcW w:w="1203" w:type="pct"/>
            <w:gridSpan w:val="2"/>
            <w:noWrap w:val="0"/>
            <w:vAlign w:val="center"/>
          </w:tcPr>
          <w:p w14:paraId="5172A7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申店村</w:t>
            </w:r>
          </w:p>
        </w:tc>
        <w:tc>
          <w:tcPr>
            <w:tcW w:w="560" w:type="pct"/>
            <w:gridSpan w:val="2"/>
            <w:noWrap w:val="0"/>
            <w:vAlign w:val="center"/>
          </w:tcPr>
          <w:p w14:paraId="6DBE18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东北</w:t>
            </w:r>
          </w:p>
        </w:tc>
        <w:tc>
          <w:tcPr>
            <w:tcW w:w="737" w:type="pct"/>
            <w:gridSpan w:val="2"/>
            <w:noWrap w:val="0"/>
            <w:vAlign w:val="center"/>
          </w:tcPr>
          <w:p w14:paraId="3549DD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4985</w:t>
            </w:r>
          </w:p>
        </w:tc>
        <w:tc>
          <w:tcPr>
            <w:tcW w:w="755" w:type="pct"/>
            <w:gridSpan w:val="2"/>
            <w:noWrap w:val="0"/>
            <w:vAlign w:val="center"/>
          </w:tcPr>
          <w:p w14:paraId="4B2779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57EE09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2000</w:t>
            </w:r>
          </w:p>
        </w:tc>
      </w:tr>
      <w:tr w14:paraId="69B7F34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3809D2C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73ACF0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33</w:t>
            </w:r>
          </w:p>
        </w:tc>
        <w:tc>
          <w:tcPr>
            <w:tcW w:w="1203" w:type="pct"/>
            <w:gridSpan w:val="2"/>
            <w:noWrap w:val="0"/>
            <w:vAlign w:val="center"/>
          </w:tcPr>
          <w:p w14:paraId="480E98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关堤村</w:t>
            </w:r>
          </w:p>
        </w:tc>
        <w:tc>
          <w:tcPr>
            <w:tcW w:w="560" w:type="pct"/>
            <w:gridSpan w:val="2"/>
            <w:noWrap w:val="0"/>
            <w:vAlign w:val="center"/>
          </w:tcPr>
          <w:p w14:paraId="1C3719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东北</w:t>
            </w:r>
          </w:p>
        </w:tc>
        <w:tc>
          <w:tcPr>
            <w:tcW w:w="737" w:type="pct"/>
            <w:gridSpan w:val="2"/>
            <w:noWrap w:val="0"/>
            <w:vAlign w:val="center"/>
          </w:tcPr>
          <w:p w14:paraId="30CFC7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3050</w:t>
            </w:r>
          </w:p>
        </w:tc>
        <w:tc>
          <w:tcPr>
            <w:tcW w:w="755" w:type="pct"/>
            <w:gridSpan w:val="2"/>
            <w:noWrap w:val="0"/>
            <w:vAlign w:val="center"/>
          </w:tcPr>
          <w:p w14:paraId="596D74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6E8E3A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3000</w:t>
            </w:r>
          </w:p>
        </w:tc>
      </w:tr>
      <w:tr w14:paraId="6801F5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6B4A174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20B6AA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34</w:t>
            </w:r>
          </w:p>
        </w:tc>
        <w:tc>
          <w:tcPr>
            <w:tcW w:w="1203" w:type="pct"/>
            <w:gridSpan w:val="2"/>
            <w:noWrap w:val="0"/>
            <w:vAlign w:val="center"/>
          </w:tcPr>
          <w:p w14:paraId="1D6E12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原堤村</w:t>
            </w:r>
          </w:p>
        </w:tc>
        <w:tc>
          <w:tcPr>
            <w:tcW w:w="560" w:type="pct"/>
            <w:gridSpan w:val="2"/>
            <w:noWrap w:val="0"/>
            <w:vAlign w:val="center"/>
          </w:tcPr>
          <w:p w14:paraId="7903D3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东北</w:t>
            </w:r>
          </w:p>
        </w:tc>
        <w:tc>
          <w:tcPr>
            <w:tcW w:w="737" w:type="pct"/>
            <w:gridSpan w:val="2"/>
            <w:noWrap w:val="0"/>
            <w:vAlign w:val="center"/>
          </w:tcPr>
          <w:p w14:paraId="4E3665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4099</w:t>
            </w:r>
          </w:p>
        </w:tc>
        <w:tc>
          <w:tcPr>
            <w:tcW w:w="755" w:type="pct"/>
            <w:gridSpan w:val="2"/>
            <w:noWrap w:val="0"/>
            <w:vAlign w:val="center"/>
          </w:tcPr>
          <w:p w14:paraId="135BE1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176569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3750</w:t>
            </w:r>
          </w:p>
        </w:tc>
      </w:tr>
      <w:tr w14:paraId="6B7B865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4403EB0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6950F6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35</w:t>
            </w:r>
          </w:p>
        </w:tc>
        <w:tc>
          <w:tcPr>
            <w:tcW w:w="1203" w:type="pct"/>
            <w:gridSpan w:val="2"/>
            <w:noWrap w:val="0"/>
            <w:vAlign w:val="center"/>
          </w:tcPr>
          <w:p w14:paraId="2DE06E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保安堤村</w:t>
            </w:r>
          </w:p>
        </w:tc>
        <w:tc>
          <w:tcPr>
            <w:tcW w:w="560" w:type="pct"/>
            <w:gridSpan w:val="2"/>
            <w:noWrap w:val="0"/>
            <w:vAlign w:val="center"/>
          </w:tcPr>
          <w:p w14:paraId="484EE8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东北</w:t>
            </w:r>
          </w:p>
        </w:tc>
        <w:tc>
          <w:tcPr>
            <w:tcW w:w="737" w:type="pct"/>
            <w:gridSpan w:val="2"/>
            <w:noWrap w:val="0"/>
            <w:vAlign w:val="center"/>
          </w:tcPr>
          <w:p w14:paraId="4A17CE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4935</w:t>
            </w:r>
          </w:p>
        </w:tc>
        <w:tc>
          <w:tcPr>
            <w:tcW w:w="755" w:type="pct"/>
            <w:gridSpan w:val="2"/>
            <w:noWrap w:val="0"/>
            <w:vAlign w:val="center"/>
          </w:tcPr>
          <w:p w14:paraId="397C72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43B5DB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1380</w:t>
            </w:r>
          </w:p>
        </w:tc>
      </w:tr>
      <w:tr w14:paraId="6EF6C7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5CD33F5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110483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36</w:t>
            </w:r>
          </w:p>
        </w:tc>
        <w:tc>
          <w:tcPr>
            <w:tcW w:w="1203" w:type="pct"/>
            <w:gridSpan w:val="2"/>
            <w:noWrap w:val="0"/>
            <w:vAlign w:val="center"/>
          </w:tcPr>
          <w:p w14:paraId="0568D7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新乡市市区（部分）</w:t>
            </w:r>
          </w:p>
        </w:tc>
        <w:tc>
          <w:tcPr>
            <w:tcW w:w="560" w:type="pct"/>
            <w:gridSpan w:val="2"/>
            <w:noWrap w:val="0"/>
            <w:vAlign w:val="center"/>
          </w:tcPr>
          <w:p w14:paraId="24AD05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rPr>
            </w:pPr>
            <w:r>
              <w:rPr>
                <w:rFonts w:hint="eastAsia" w:ascii="宋体" w:hAnsi="宋体" w:eastAsia="宋体" w:cs="宋体"/>
                <w:i w:val="0"/>
                <w:iCs w:val="0"/>
                <w:color w:val="000000"/>
                <w:kern w:val="0"/>
                <w:sz w:val="21"/>
                <w:szCs w:val="21"/>
                <w:u w:val="none" w:color="auto"/>
                <w:lang w:val="en-US" w:eastAsia="zh-CN" w:bidi="ar"/>
              </w:rPr>
              <w:t>北</w:t>
            </w:r>
          </w:p>
        </w:tc>
        <w:tc>
          <w:tcPr>
            <w:tcW w:w="737" w:type="pct"/>
            <w:gridSpan w:val="2"/>
            <w:noWrap w:val="0"/>
            <w:vAlign w:val="center"/>
          </w:tcPr>
          <w:p w14:paraId="0FB49F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1060</w:t>
            </w:r>
          </w:p>
        </w:tc>
        <w:tc>
          <w:tcPr>
            <w:tcW w:w="755" w:type="pct"/>
            <w:gridSpan w:val="2"/>
            <w:noWrap w:val="0"/>
            <w:vAlign w:val="center"/>
          </w:tcPr>
          <w:p w14:paraId="7BBF9F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宋体" w:hAnsi="宋体" w:eastAsia="宋体" w:cs="宋体"/>
                <w:i w:val="0"/>
                <w:iCs w:val="0"/>
                <w:color w:val="000000"/>
                <w:kern w:val="0"/>
                <w:sz w:val="21"/>
                <w:szCs w:val="21"/>
                <w:u w:val="none" w:color="auto"/>
                <w:lang w:val="en-US" w:eastAsia="zh-CN" w:bidi="ar"/>
              </w:rPr>
              <w:t>居民区</w:t>
            </w:r>
          </w:p>
        </w:tc>
        <w:tc>
          <w:tcPr>
            <w:tcW w:w="757" w:type="pct"/>
            <w:noWrap w:val="0"/>
            <w:vAlign w:val="center"/>
          </w:tcPr>
          <w:p w14:paraId="496A78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15000</w:t>
            </w:r>
          </w:p>
        </w:tc>
      </w:tr>
      <w:tr w14:paraId="53E2E7F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0EE51F9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626" w:type="pct"/>
            <w:gridSpan w:val="9"/>
            <w:noWrap w:val="0"/>
            <w:vAlign w:val="center"/>
          </w:tcPr>
          <w:p w14:paraId="6D3F3D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eastAsia" w:ascii="宋体" w:hAnsi="宋体" w:eastAsia="宋体" w:cs="宋体"/>
                <w:i w:val="0"/>
                <w:iCs w:val="0"/>
                <w:color w:val="000000"/>
                <w:kern w:val="0"/>
                <w:sz w:val="21"/>
                <w:szCs w:val="21"/>
                <w:u w:val="none" w:color="auto"/>
                <w:lang w:val="en-US" w:eastAsia="zh-CN" w:bidi="ar"/>
              </w:rPr>
              <w:t>厂址周边</w:t>
            </w:r>
            <w:r>
              <w:rPr>
                <w:rFonts w:hint="default" w:ascii="Times New Roman" w:hAnsi="Times New Roman" w:eastAsia="宋体" w:cs="Times New Roman"/>
                <w:i w:val="0"/>
                <w:iCs w:val="0"/>
                <w:color w:val="000000"/>
                <w:kern w:val="0"/>
                <w:sz w:val="21"/>
                <w:szCs w:val="21"/>
                <w:u w:val="none" w:color="auto"/>
                <w:lang w:val="en-US" w:eastAsia="zh-CN" w:bidi="ar"/>
              </w:rPr>
              <w:t>500m</w:t>
            </w:r>
            <w:r>
              <w:rPr>
                <w:rFonts w:hint="eastAsia" w:ascii="宋体" w:hAnsi="宋体" w:eastAsia="宋体" w:cs="宋体"/>
                <w:i w:val="0"/>
                <w:iCs w:val="0"/>
                <w:color w:val="000000"/>
                <w:kern w:val="0"/>
                <w:sz w:val="21"/>
                <w:szCs w:val="21"/>
                <w:u w:val="none" w:color="auto"/>
                <w:lang w:val="en-US" w:eastAsia="zh-CN" w:bidi="ar"/>
              </w:rPr>
              <w:t>范围内人口数小计</w:t>
            </w:r>
          </w:p>
        </w:tc>
        <w:tc>
          <w:tcPr>
            <w:tcW w:w="757" w:type="pct"/>
            <w:noWrap w:val="0"/>
            <w:vAlign w:val="center"/>
          </w:tcPr>
          <w:p w14:paraId="010861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2000</w:t>
            </w:r>
          </w:p>
        </w:tc>
      </w:tr>
      <w:tr w14:paraId="2F9228B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41565BB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626" w:type="pct"/>
            <w:gridSpan w:val="9"/>
            <w:noWrap w:val="0"/>
            <w:vAlign w:val="center"/>
          </w:tcPr>
          <w:p w14:paraId="39D703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eastAsia" w:ascii="宋体" w:hAnsi="宋体" w:eastAsia="宋体" w:cs="宋体"/>
                <w:i w:val="0"/>
                <w:iCs w:val="0"/>
                <w:color w:val="000000"/>
                <w:kern w:val="0"/>
                <w:sz w:val="21"/>
                <w:szCs w:val="21"/>
                <w:u w:val="none" w:color="auto"/>
                <w:lang w:val="en-US" w:eastAsia="zh-CN" w:bidi="ar"/>
              </w:rPr>
              <w:t>厂址周边</w:t>
            </w:r>
            <w:r>
              <w:rPr>
                <w:rFonts w:hint="default" w:ascii="Times New Roman" w:hAnsi="Times New Roman" w:eastAsia="宋体" w:cs="Times New Roman"/>
                <w:i w:val="0"/>
                <w:iCs w:val="0"/>
                <w:color w:val="000000"/>
                <w:kern w:val="0"/>
                <w:sz w:val="21"/>
                <w:szCs w:val="21"/>
                <w:u w:val="none" w:color="auto"/>
                <w:lang w:val="en-US" w:eastAsia="zh-CN" w:bidi="ar"/>
              </w:rPr>
              <w:t>5km</w:t>
            </w:r>
            <w:r>
              <w:rPr>
                <w:rFonts w:hint="eastAsia" w:ascii="宋体" w:hAnsi="宋体" w:eastAsia="宋体" w:cs="宋体"/>
                <w:i w:val="0"/>
                <w:iCs w:val="0"/>
                <w:color w:val="000000"/>
                <w:kern w:val="0"/>
                <w:sz w:val="21"/>
                <w:szCs w:val="21"/>
                <w:u w:val="none" w:color="auto"/>
                <w:lang w:val="en-US" w:eastAsia="zh-CN" w:bidi="ar"/>
              </w:rPr>
              <w:t>范围内人口数小计</w:t>
            </w:r>
          </w:p>
        </w:tc>
        <w:tc>
          <w:tcPr>
            <w:tcW w:w="757" w:type="pct"/>
            <w:noWrap w:val="0"/>
            <w:vAlign w:val="center"/>
          </w:tcPr>
          <w:p w14:paraId="4E10E3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125668</w:t>
            </w:r>
          </w:p>
        </w:tc>
      </w:tr>
      <w:tr w14:paraId="332285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19BFA92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626" w:type="pct"/>
            <w:gridSpan w:val="9"/>
            <w:noWrap w:val="0"/>
            <w:vAlign w:val="center"/>
          </w:tcPr>
          <w:p w14:paraId="1FBC6AA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大气环境敏感程度E值</w:t>
            </w:r>
          </w:p>
        </w:tc>
        <w:tc>
          <w:tcPr>
            <w:tcW w:w="757" w:type="pct"/>
            <w:noWrap w:val="0"/>
            <w:vAlign w:val="center"/>
          </w:tcPr>
          <w:p w14:paraId="236976E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E1</w:t>
            </w:r>
          </w:p>
        </w:tc>
      </w:tr>
      <w:tr w14:paraId="2FACA5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restart"/>
            <w:noWrap/>
            <w:vAlign w:val="center"/>
          </w:tcPr>
          <w:p w14:paraId="1EB6020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地表水</w:t>
            </w:r>
          </w:p>
        </w:tc>
        <w:tc>
          <w:tcPr>
            <w:tcW w:w="370" w:type="pct"/>
            <w:noWrap w:val="0"/>
            <w:vAlign w:val="center"/>
          </w:tcPr>
          <w:p w14:paraId="234E21D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序号</w:t>
            </w:r>
          </w:p>
        </w:tc>
        <w:tc>
          <w:tcPr>
            <w:tcW w:w="1203" w:type="pct"/>
            <w:gridSpan w:val="2"/>
            <w:noWrap w:val="0"/>
            <w:vAlign w:val="center"/>
          </w:tcPr>
          <w:p w14:paraId="40565E9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受纳水体名称</w:t>
            </w:r>
          </w:p>
        </w:tc>
        <w:tc>
          <w:tcPr>
            <w:tcW w:w="560" w:type="pct"/>
            <w:gridSpan w:val="2"/>
            <w:noWrap w:val="0"/>
            <w:vAlign w:val="center"/>
          </w:tcPr>
          <w:p w14:paraId="3895F0B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相对方位</w:t>
            </w:r>
          </w:p>
        </w:tc>
        <w:tc>
          <w:tcPr>
            <w:tcW w:w="737" w:type="pct"/>
            <w:gridSpan w:val="2"/>
            <w:noWrap w:val="0"/>
            <w:vAlign w:val="center"/>
          </w:tcPr>
          <w:p w14:paraId="09B7B2C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 xml:space="preserve">距离/m </w:t>
            </w:r>
          </w:p>
        </w:tc>
        <w:tc>
          <w:tcPr>
            <w:tcW w:w="755" w:type="pct"/>
            <w:gridSpan w:val="2"/>
            <w:noWrap w:val="0"/>
            <w:vAlign w:val="center"/>
          </w:tcPr>
          <w:p w14:paraId="7575B18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排放点水域环境功能</w:t>
            </w:r>
          </w:p>
        </w:tc>
        <w:tc>
          <w:tcPr>
            <w:tcW w:w="757" w:type="pct"/>
            <w:noWrap w:val="0"/>
            <w:vAlign w:val="center"/>
          </w:tcPr>
          <w:p w14:paraId="10CAD6D4">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24h内流经范围/km</w:t>
            </w:r>
          </w:p>
        </w:tc>
      </w:tr>
      <w:tr w14:paraId="1C5319B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97" w:hRule="atLeast"/>
          <w:jc w:val="center"/>
        </w:trPr>
        <w:tc>
          <w:tcPr>
            <w:tcW w:w="615" w:type="pct"/>
            <w:vMerge w:val="continue"/>
            <w:noWrap/>
            <w:vAlign w:val="center"/>
          </w:tcPr>
          <w:p w14:paraId="1B17242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01615078">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1</w:t>
            </w:r>
          </w:p>
        </w:tc>
        <w:tc>
          <w:tcPr>
            <w:tcW w:w="1203" w:type="pct"/>
            <w:gridSpan w:val="2"/>
            <w:noWrap w:val="0"/>
            <w:vAlign w:val="center"/>
          </w:tcPr>
          <w:p w14:paraId="773EFF1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eastAsia"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东孟姜女河</w:t>
            </w:r>
          </w:p>
        </w:tc>
        <w:tc>
          <w:tcPr>
            <w:tcW w:w="560" w:type="pct"/>
            <w:gridSpan w:val="2"/>
            <w:noWrap w:val="0"/>
            <w:vAlign w:val="center"/>
          </w:tcPr>
          <w:p w14:paraId="74F1BBD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eastAsia"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东北</w:t>
            </w:r>
          </w:p>
        </w:tc>
        <w:tc>
          <w:tcPr>
            <w:tcW w:w="737" w:type="pct"/>
            <w:gridSpan w:val="2"/>
            <w:noWrap w:val="0"/>
            <w:vAlign w:val="center"/>
          </w:tcPr>
          <w:p w14:paraId="1432135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eastAsia"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520</w:t>
            </w:r>
          </w:p>
        </w:tc>
        <w:tc>
          <w:tcPr>
            <w:tcW w:w="755" w:type="pct"/>
            <w:gridSpan w:val="2"/>
            <w:noWrap w:val="0"/>
            <w:vAlign w:val="center"/>
          </w:tcPr>
          <w:p w14:paraId="66F2651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i w:val="0"/>
                <w:iCs w:val="0"/>
                <w:color w:val="000000"/>
                <w:kern w:val="0"/>
                <w:sz w:val="21"/>
                <w:szCs w:val="21"/>
                <w:u w:val="none" w:color="auto"/>
                <w:shd w:val="clear" w:color="auto" w:fill="FFFFFF"/>
                <w:lang w:val="en-US" w:eastAsia="zh-CN" w:bidi="ar"/>
              </w:rPr>
              <w:t>Ⅲ</w:t>
            </w:r>
          </w:p>
        </w:tc>
        <w:tc>
          <w:tcPr>
            <w:tcW w:w="757" w:type="pct"/>
            <w:noWrap w:val="0"/>
            <w:vAlign w:val="center"/>
          </w:tcPr>
          <w:p w14:paraId="32DDA419">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其他</w:t>
            </w:r>
          </w:p>
        </w:tc>
      </w:tr>
      <w:tr w14:paraId="07C4351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276BE0B3">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626" w:type="pct"/>
            <w:gridSpan w:val="9"/>
            <w:noWrap w:val="0"/>
            <w:vAlign w:val="center"/>
          </w:tcPr>
          <w:p w14:paraId="41EF069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地表水环境敏感程度E值</w:t>
            </w:r>
          </w:p>
        </w:tc>
        <w:tc>
          <w:tcPr>
            <w:tcW w:w="757" w:type="pct"/>
            <w:noWrap w:val="0"/>
            <w:vAlign w:val="center"/>
          </w:tcPr>
          <w:p w14:paraId="4A28DA8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E3</w:t>
            </w:r>
          </w:p>
        </w:tc>
      </w:tr>
      <w:tr w14:paraId="1E3784E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restart"/>
            <w:noWrap/>
            <w:vAlign w:val="center"/>
          </w:tcPr>
          <w:p w14:paraId="619FE3B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地下水</w:t>
            </w:r>
          </w:p>
        </w:tc>
        <w:tc>
          <w:tcPr>
            <w:tcW w:w="370" w:type="pct"/>
            <w:noWrap w:val="0"/>
            <w:vAlign w:val="center"/>
          </w:tcPr>
          <w:p w14:paraId="044BC70F">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序号</w:t>
            </w:r>
          </w:p>
        </w:tc>
        <w:tc>
          <w:tcPr>
            <w:tcW w:w="905" w:type="pct"/>
            <w:noWrap w:val="0"/>
            <w:vAlign w:val="center"/>
          </w:tcPr>
          <w:p w14:paraId="7D2062C1">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环境敏感区名称</w:t>
            </w:r>
          </w:p>
        </w:tc>
        <w:tc>
          <w:tcPr>
            <w:tcW w:w="577" w:type="pct"/>
            <w:gridSpan w:val="2"/>
            <w:noWrap w:val="0"/>
            <w:vAlign w:val="center"/>
          </w:tcPr>
          <w:p w14:paraId="34B896F7">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相对方位</w:t>
            </w:r>
          </w:p>
        </w:tc>
        <w:tc>
          <w:tcPr>
            <w:tcW w:w="519" w:type="pct"/>
            <w:gridSpan w:val="2"/>
            <w:noWrap w:val="0"/>
            <w:vAlign w:val="center"/>
          </w:tcPr>
          <w:p w14:paraId="2044DD0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距离/m</w:t>
            </w:r>
          </w:p>
        </w:tc>
        <w:tc>
          <w:tcPr>
            <w:tcW w:w="582" w:type="pct"/>
            <w:gridSpan w:val="2"/>
            <w:noWrap w:val="0"/>
            <w:vAlign w:val="center"/>
          </w:tcPr>
          <w:p w14:paraId="42165AD5">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环境敏感特征</w:t>
            </w:r>
          </w:p>
        </w:tc>
        <w:tc>
          <w:tcPr>
            <w:tcW w:w="673" w:type="pct"/>
            <w:noWrap w:val="0"/>
            <w:vAlign w:val="center"/>
          </w:tcPr>
          <w:p w14:paraId="34B99B9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水质目标</w:t>
            </w:r>
          </w:p>
        </w:tc>
        <w:tc>
          <w:tcPr>
            <w:tcW w:w="757" w:type="pct"/>
            <w:noWrap w:val="0"/>
            <w:vAlign w:val="center"/>
          </w:tcPr>
          <w:p w14:paraId="7AE1701E">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包气带防污性能</w:t>
            </w:r>
          </w:p>
        </w:tc>
      </w:tr>
      <w:tr w14:paraId="4765B9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4E2979A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70" w:type="pct"/>
            <w:noWrap w:val="0"/>
            <w:vAlign w:val="center"/>
          </w:tcPr>
          <w:p w14:paraId="526DF29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1</w:t>
            </w:r>
          </w:p>
        </w:tc>
        <w:tc>
          <w:tcPr>
            <w:tcW w:w="905" w:type="pct"/>
            <w:noWrap w:val="0"/>
            <w:vAlign w:val="center"/>
          </w:tcPr>
          <w:p w14:paraId="7255ABF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朗公庙镇水厂地下水井群</w:t>
            </w:r>
          </w:p>
        </w:tc>
        <w:tc>
          <w:tcPr>
            <w:tcW w:w="577" w:type="pct"/>
            <w:gridSpan w:val="2"/>
            <w:noWrap w:val="0"/>
            <w:vAlign w:val="center"/>
          </w:tcPr>
          <w:p w14:paraId="3FD8A55B">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eastAsia"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南</w:t>
            </w:r>
          </w:p>
        </w:tc>
        <w:tc>
          <w:tcPr>
            <w:tcW w:w="519" w:type="pct"/>
            <w:gridSpan w:val="2"/>
            <w:noWrap w:val="0"/>
            <w:vAlign w:val="center"/>
          </w:tcPr>
          <w:p w14:paraId="24792AA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eastAsia"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3600</w:t>
            </w:r>
          </w:p>
        </w:tc>
        <w:tc>
          <w:tcPr>
            <w:tcW w:w="582" w:type="pct"/>
            <w:gridSpan w:val="2"/>
            <w:noWrap w:val="0"/>
            <w:vAlign w:val="center"/>
          </w:tcPr>
          <w:p w14:paraId="116D286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集中式饮用水水源</w:t>
            </w:r>
          </w:p>
        </w:tc>
        <w:tc>
          <w:tcPr>
            <w:tcW w:w="673" w:type="pct"/>
            <w:noWrap w:val="0"/>
            <w:vAlign w:val="center"/>
          </w:tcPr>
          <w:p w14:paraId="5D307A8D">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i w:val="0"/>
                <w:iCs w:val="0"/>
                <w:color w:val="000000"/>
                <w:kern w:val="0"/>
                <w:sz w:val="21"/>
                <w:szCs w:val="21"/>
                <w:u w:val="none" w:color="auto"/>
                <w:shd w:val="clear" w:color="auto" w:fill="FFFFFF"/>
                <w:lang w:val="en-US" w:eastAsia="zh-CN" w:bidi="ar"/>
              </w:rPr>
              <w:t>Ⅲ</w:t>
            </w:r>
          </w:p>
        </w:tc>
        <w:tc>
          <w:tcPr>
            <w:tcW w:w="757" w:type="pct"/>
            <w:noWrap w:val="0"/>
            <w:vAlign w:val="center"/>
          </w:tcPr>
          <w:p w14:paraId="7570C830">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D2</w:t>
            </w:r>
          </w:p>
        </w:tc>
      </w:tr>
      <w:tr w14:paraId="0061141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15" w:type="pct"/>
            <w:vMerge w:val="continue"/>
            <w:noWrap/>
            <w:vAlign w:val="center"/>
          </w:tcPr>
          <w:p w14:paraId="4E81B276">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p>
        </w:tc>
        <w:tc>
          <w:tcPr>
            <w:tcW w:w="3626" w:type="pct"/>
            <w:gridSpan w:val="9"/>
            <w:noWrap w:val="0"/>
            <w:vAlign w:val="center"/>
          </w:tcPr>
          <w:p w14:paraId="3541C02C">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地下水环境敏感程度E值</w:t>
            </w:r>
          </w:p>
        </w:tc>
        <w:tc>
          <w:tcPr>
            <w:tcW w:w="757" w:type="pct"/>
            <w:noWrap w:val="0"/>
            <w:vAlign w:val="center"/>
          </w:tcPr>
          <w:p w14:paraId="18136E5A">
            <w:pPr>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E3</w:t>
            </w:r>
          </w:p>
        </w:tc>
      </w:tr>
    </w:tbl>
    <w:p w14:paraId="0E164890">
      <w:pPr>
        <w:numPr>
          <w:ilvl w:val="0"/>
          <w:numId w:val="0"/>
        </w:numPr>
        <w:spacing w:line="360" w:lineRule="auto"/>
        <w:ind w:firstLine="480" w:firstLineChars="200"/>
        <w:rPr>
          <w:rFonts w:ascii="Times New Roman" w:hAnsi="Times New Roman" w:eastAsia="宋体" w:cs="Times New Roman"/>
          <w:color w:val="000000"/>
          <w:sz w:val="24"/>
          <w:u w:val="none" w:color="auto"/>
        </w:rPr>
      </w:pPr>
      <w:r>
        <w:rPr>
          <w:rFonts w:ascii="Times New Roman" w:hAnsi="Times New Roman" w:eastAsia="宋体" w:cs="Times New Roman"/>
          <w:color w:val="000000"/>
          <w:sz w:val="24"/>
          <w:u w:val="none" w:color="auto"/>
        </w:rPr>
        <mc:AlternateContent>
          <mc:Choice Requires="wps">
            <w:drawing>
              <wp:anchor distT="0" distB="0" distL="114300" distR="114300" simplePos="0" relativeHeight="251668480" behindDoc="0" locked="0" layoutInCell="1" allowOverlap="1">
                <wp:simplePos x="0" y="0"/>
                <wp:positionH relativeFrom="column">
                  <wp:posOffset>2855595</wp:posOffset>
                </wp:positionH>
                <wp:positionV relativeFrom="paragraph">
                  <wp:posOffset>4178935</wp:posOffset>
                </wp:positionV>
                <wp:extent cx="958850" cy="367665"/>
                <wp:effectExtent l="0" t="0" r="0" b="0"/>
                <wp:wrapNone/>
                <wp:docPr id="9" name="文本框 9"/>
                <wp:cNvGraphicFramePr/>
                <a:graphic xmlns:a="http://schemas.openxmlformats.org/drawingml/2006/main">
                  <a:graphicData uri="http://schemas.microsoft.com/office/word/2010/wordprocessingShape">
                    <wps:wsp>
                      <wps:cNvSpPr txBox="1"/>
                      <wps:spPr>
                        <a:xfrm>
                          <a:off x="0" y="0"/>
                          <a:ext cx="958850"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52E29D">
                            <w:pPr>
                              <w:spacing w:line="460" w:lineRule="exact"/>
                              <w:ind w:firstLine="420" w:firstLineChars="200"/>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5km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4.85pt;margin-top:329.05pt;height:28.95pt;width:75.5pt;z-index:251668480;mso-width-relative:page;mso-height-relative:page;" filled="f" stroked="f" coordsize="21600,21600" o:gfxdata="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d+dhrtwAAAALAQAADwAAAAAAAAABACAAAAAi&#10;AAAAZHJzL2Rvd25yZXYueG1sUEsBAhQAFAAAAAgAh07iQJQb4PU/AgAAcwQAAA4AAAAAAAAAAQAg&#10;AAAAKwEAAGRycy9lMm9Eb2MueG1sUEsFBgAAAAAGAAYAWQEAANwFAAAAAA==&#10;">
                <v:fill on="f" focussize="0,0"/>
                <v:stroke on="f" weight="0.5pt"/>
                <v:imagedata o:title=""/>
                <o:lock v:ext="edit" aspectratio="f"/>
                <v:textbox>
                  <w:txbxContent>
                    <w:p w14:paraId="4B52E29D">
                      <w:pPr>
                        <w:spacing w:line="460" w:lineRule="exact"/>
                        <w:ind w:firstLine="420" w:firstLineChars="200"/>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5km</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94080" behindDoc="0" locked="0" layoutInCell="1" allowOverlap="1">
                <wp:simplePos x="0" y="0"/>
                <wp:positionH relativeFrom="column">
                  <wp:posOffset>2773045</wp:posOffset>
                </wp:positionH>
                <wp:positionV relativeFrom="paragraph">
                  <wp:posOffset>4424680</wp:posOffset>
                </wp:positionV>
                <wp:extent cx="407035" cy="367665"/>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5261D9">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8.35pt;margin-top:348.4pt;height:28.95pt;width:32.05pt;z-index:251694080;mso-width-relative:page;mso-height-relative:page;" filled="f" stroked="f" coordsize="21600,21600" o:gfxdata="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UOSuJtwAAAALAQAADwAAAAAAAAABACAA&#10;AAAiAAAAZHJzL2Rvd25yZXYueG1sUEsBAhQAFAAAAAgAh07iQAySfk5CAgAAdQQAAA4AAAAAAAAA&#10;AQAgAAAAKwEAAGRycy9lMm9Eb2MueG1sUEsFBgAAAAAGAAYAWQEAAN8FAAAAAA==&#10;">
                <v:fill on="f" focussize="0,0"/>
                <v:stroke on="f" weight="0.5pt"/>
                <v:imagedata o:title=""/>
                <o:lock v:ext="edit" aspectratio="f"/>
                <v:textbox>
                  <w:txbxContent>
                    <w:p w14:paraId="175261D9">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11</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67456" behindDoc="0" locked="0" layoutInCell="1" allowOverlap="1">
                <wp:simplePos x="0" y="0"/>
                <wp:positionH relativeFrom="column">
                  <wp:posOffset>3135630</wp:posOffset>
                </wp:positionH>
                <wp:positionV relativeFrom="paragraph">
                  <wp:posOffset>3083560</wp:posOffset>
                </wp:positionV>
                <wp:extent cx="6350" cy="2456180"/>
                <wp:effectExtent l="57785" t="0" r="69215" b="1270"/>
                <wp:wrapNone/>
                <wp:docPr id="8" name="直接箭头连接符 8"/>
                <wp:cNvGraphicFramePr/>
                <a:graphic xmlns:a="http://schemas.openxmlformats.org/drawingml/2006/main">
                  <a:graphicData uri="http://schemas.microsoft.com/office/word/2010/wordprocessingShape">
                    <wps:wsp>
                      <wps:cNvCnPr/>
                      <wps:spPr>
                        <a:xfrm>
                          <a:off x="0" y="0"/>
                          <a:ext cx="6350" cy="2456180"/>
                        </a:xfrm>
                        <a:prstGeom prst="straightConnector1">
                          <a:avLst/>
                        </a:prstGeom>
                        <a:noFill/>
                        <a:ln w="12700" cap="flat" cmpd="sng" algn="ctr">
                          <a:solidFill>
                            <a:srgbClr val="FFFF00"/>
                          </a:solidFill>
                          <a:prstDash val="solid"/>
                          <a:miter lim="800000"/>
                          <a:tailEnd type="triangle" w="lg" len="lg"/>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46.9pt;margin-top:242.8pt;height:193.4pt;width:0.5pt;z-index:251667456;mso-width-relative:page;mso-height-relative:page;" filled="f" stroked="t" coordsize="21600,21600" o:gfxdata="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9dWxndAAAA&#10;CwEAAA8AAAAAAAAAAQAgAAAAIgAAAGRycy9kb3ducmV2LnhtbFBLAQIUABQAAAAIAIdO4kBDbiB4&#10;GAIAAAMEAAAOAAAAAAAAAAEAIAAAACwBAABkcnMvZTJvRG9jLnhtbFBLBQYAAAAABgAGAFkBAAC2&#10;BQAAAAA=&#10;">
                <v:fill on="f" focussize="0,0"/>
                <v:stroke weight="1pt" color="#FFFF00 [3204]" miterlimit="8" joinstyle="miter" endarrow="block" endarrowwidth="wide" endarrowlength="long"/>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77696" behindDoc="0" locked="0" layoutInCell="1" allowOverlap="1">
                <wp:simplePos x="0" y="0"/>
                <wp:positionH relativeFrom="column">
                  <wp:posOffset>2824480</wp:posOffset>
                </wp:positionH>
                <wp:positionV relativeFrom="paragraph">
                  <wp:posOffset>3313430</wp:posOffset>
                </wp:positionV>
                <wp:extent cx="279400" cy="36766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279400"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CA5CFB">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2.4pt;margin-top:260.9pt;height:28.95pt;width:22pt;z-index:251677696;mso-width-relative:page;mso-height-relative:page;" filled="f" stroked="f" coordsize="21600,21600" o:gfxdata="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pvGutwAAAALAQAADwAAAAAAAAABACAA&#10;AAAiAAAAZHJzL2Rvd25yZXYueG1sUEsBAhQAFAAAAAgAh07iQN9T9o1CAgAAdQQAAA4AAAAAAAAA&#10;AQAgAAAAKwEAAGRycy9lMm9Eb2MueG1sUEsFBgAAAAAGAAYAWQEAAN8FAAAAAA==&#10;">
                <v:fill on="f" focussize="0,0"/>
                <v:stroke on="f" weight="0.5pt"/>
                <v:imagedata o:title=""/>
                <o:lock v:ext="edit" aspectratio="f"/>
                <v:textbox>
                  <w:txbxContent>
                    <w:p w14:paraId="43CA5CFB">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71552" behindDoc="0" locked="0" layoutInCell="1" allowOverlap="1">
                <wp:simplePos x="0" y="0"/>
                <wp:positionH relativeFrom="column">
                  <wp:posOffset>579120</wp:posOffset>
                </wp:positionH>
                <wp:positionV relativeFrom="paragraph">
                  <wp:posOffset>2756535</wp:posOffset>
                </wp:positionV>
                <wp:extent cx="2355850" cy="12700"/>
                <wp:effectExtent l="0" t="51435" r="6350" b="69215"/>
                <wp:wrapNone/>
                <wp:docPr id="12" name="直接箭头连接符 12"/>
                <wp:cNvGraphicFramePr/>
                <a:graphic xmlns:a="http://schemas.openxmlformats.org/drawingml/2006/main">
                  <a:graphicData uri="http://schemas.microsoft.com/office/word/2010/wordprocessingShape">
                    <wps:wsp>
                      <wps:cNvCnPr/>
                      <wps:spPr>
                        <a:xfrm flipH="1">
                          <a:off x="0" y="0"/>
                          <a:ext cx="2355850" cy="12700"/>
                        </a:xfrm>
                        <a:prstGeom prst="straightConnector1">
                          <a:avLst/>
                        </a:prstGeom>
                        <a:noFill/>
                        <a:ln w="12700" cap="flat" cmpd="sng" algn="ctr">
                          <a:solidFill>
                            <a:srgbClr val="FFFF00"/>
                          </a:solidFill>
                          <a:prstDash val="solid"/>
                          <a:miter lim="800000"/>
                          <a:tailEnd type="triangle" w="lg" len="lg"/>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45.6pt;margin-top:217.05pt;height:1pt;width:185.5pt;z-index:251671552;mso-width-relative:page;mso-height-relative:page;" filled="f" stroked="t" coordsize="21600,21600" o:gfxdata="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8uVn3YAAAA&#10;CgEAAA8AAAAAAAAAAQAgAAAAIgAAAGRycy9kb3ducmV2LnhtbFBLAQIUABQAAAAIAIdO4kDa4uNO&#10;HQIAABAEAAAOAAAAAAAAAAEAIAAAACcBAABkcnMvZTJvRG9jLnhtbFBLBQYAAAAABgAGAFkBAAC2&#10;BQAAAAA=&#10;">
                <v:fill on="f" focussize="0,0"/>
                <v:stroke weight="1pt" color="#FFFF00 [3204]" miterlimit="8" joinstyle="miter" endarrow="block" endarrowwidth="wide" endarrowlength="long"/>
                <v:imagedata o:title=""/>
                <o:lock v:ext="edit" aspectratio="f"/>
              </v:shape>
            </w:pict>
          </mc:Fallback>
        </mc:AlternateContent>
      </w:r>
      <w:r>
        <w:rPr>
          <w:sz w:val="24"/>
          <w:u w:val="none" w:color="auto"/>
        </w:rPr>
        <mc:AlternateContent>
          <mc:Choice Requires="wps">
            <w:drawing>
              <wp:anchor distT="0" distB="0" distL="114300" distR="114300" simplePos="0" relativeHeight="251747328" behindDoc="0" locked="0" layoutInCell="1" allowOverlap="1">
                <wp:simplePos x="0" y="0"/>
                <wp:positionH relativeFrom="column">
                  <wp:posOffset>3371850</wp:posOffset>
                </wp:positionH>
                <wp:positionV relativeFrom="paragraph">
                  <wp:posOffset>2312035</wp:posOffset>
                </wp:positionV>
                <wp:extent cx="914400" cy="310515"/>
                <wp:effectExtent l="174625" t="6350" r="15875" b="140335"/>
                <wp:wrapNone/>
                <wp:docPr id="90" name="矩形标注 90"/>
                <wp:cNvGraphicFramePr/>
                <a:graphic xmlns:a="http://schemas.openxmlformats.org/drawingml/2006/main">
                  <a:graphicData uri="http://schemas.microsoft.com/office/word/2010/wordprocessingShape">
                    <wps:wsp>
                      <wps:cNvSpPr/>
                      <wps:spPr>
                        <a:xfrm>
                          <a:off x="4424045" y="2687955"/>
                          <a:ext cx="914400" cy="310515"/>
                        </a:xfrm>
                        <a:prstGeom prst="wedgeRectCallout">
                          <a:avLst>
                            <a:gd name="adj1" fmla="val -68402"/>
                            <a:gd name="adj2" fmla="val 88421"/>
                          </a:avLst>
                        </a:prstGeom>
                        <a:solidFill>
                          <a:schemeClr val="bg1"/>
                        </a:solidFill>
                        <a:ln w="1270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0A2F2D9">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本项目厂区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65.5pt;margin-top:182.05pt;height:24.45pt;width:72pt;z-index:251747328;v-text-anchor:middle;mso-width-relative:page;mso-height-relative:page;" fillcolor="#FFFFFF [3212]" filled="t" stroked="t" coordsize="21600,21600" o:gfxdata="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D7qQCF2QAAAAsBAAAPAAAAAAAAAAEAIAAAACIAAABkcnMv&#10;ZG93bnJldi54bWxQSwECFAAUAAAACACHTuJAO1KKRa0CAABZBQAADgAAAAAAAAABACAAAAAoAQAA&#10;ZHJzL2Uyb0RvYy54bWxQSwUGAAAAAAYABgBZAQAARwYAAAAA&#10;" adj="-3975,29899">
                <v:fill on="t" focussize="0,0"/>
                <v:stroke weight="1pt" color="#000000 [3213]" joinstyle="round"/>
                <v:imagedata o:title=""/>
                <o:lock v:ext="edit" aspectratio="f"/>
                <v:textbox>
                  <w:txbxContent>
                    <w:p w14:paraId="60A2F2D9">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本项目厂区</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69504" behindDoc="0" locked="0" layoutInCell="1" allowOverlap="1">
                <wp:simplePos x="0" y="0"/>
                <wp:positionH relativeFrom="column">
                  <wp:posOffset>3023235</wp:posOffset>
                </wp:positionH>
                <wp:positionV relativeFrom="paragraph">
                  <wp:posOffset>277495</wp:posOffset>
                </wp:positionV>
                <wp:extent cx="19050" cy="2444750"/>
                <wp:effectExtent l="45720" t="0" r="68580" b="12700"/>
                <wp:wrapNone/>
                <wp:docPr id="10" name="直接箭头连接符 10"/>
                <wp:cNvGraphicFramePr/>
                <a:graphic xmlns:a="http://schemas.openxmlformats.org/drawingml/2006/main">
                  <a:graphicData uri="http://schemas.microsoft.com/office/word/2010/wordprocessingShape">
                    <wps:wsp>
                      <wps:cNvCnPr/>
                      <wps:spPr>
                        <a:xfrm flipV="1">
                          <a:off x="0" y="0"/>
                          <a:ext cx="19050" cy="2444750"/>
                        </a:xfrm>
                        <a:prstGeom prst="straightConnector1">
                          <a:avLst/>
                        </a:prstGeom>
                        <a:noFill/>
                        <a:ln w="12700" cap="flat" cmpd="sng" algn="ctr">
                          <a:solidFill>
                            <a:srgbClr val="FFFF00"/>
                          </a:solidFill>
                          <a:prstDash val="solid"/>
                          <a:miter lim="800000"/>
                          <a:tailEnd type="triangle" w="lg" len="lg"/>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38.05pt;margin-top:21.85pt;height:192.5pt;width:1.5pt;z-index:251669504;mso-width-relative:page;mso-height-relative:page;" filled="f" stroked="t" coordsize="21600,21600" o:gfxdata="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5uDGL&#10;2QAAAAoBAAAPAAAAAAAAAAEAIAAAACIAAABkcnMvZG93bnJldi54bWxQSwECFAAUAAAACACHTuJA&#10;GBjauyACAAAQBAAADgAAAAAAAAABACAAAAAoAQAAZHJzL2Uyb0RvYy54bWxQSwUGAAAAAAYABgBZ&#10;AQAAugUAAAAA&#10;">
                <v:fill on="f" focussize="0,0"/>
                <v:stroke weight="1pt" color="#FFFF00 [3204]" miterlimit="8" joinstyle="miter" endarrow="block" endarrowwidth="wide" endarrowlength="long"/>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66432" behindDoc="0" locked="0" layoutInCell="1" allowOverlap="1">
                <wp:simplePos x="0" y="0"/>
                <wp:positionH relativeFrom="column">
                  <wp:posOffset>3847465</wp:posOffset>
                </wp:positionH>
                <wp:positionV relativeFrom="paragraph">
                  <wp:posOffset>2795905</wp:posOffset>
                </wp:positionV>
                <wp:extent cx="958850" cy="367665"/>
                <wp:effectExtent l="0" t="0" r="0" b="0"/>
                <wp:wrapNone/>
                <wp:docPr id="7" name="文本框 7"/>
                <wp:cNvGraphicFramePr/>
                <a:graphic xmlns:a="http://schemas.openxmlformats.org/drawingml/2006/main">
                  <a:graphicData uri="http://schemas.microsoft.com/office/word/2010/wordprocessingShape">
                    <wps:wsp>
                      <wps:cNvSpPr txBox="1"/>
                      <wps:spPr>
                        <a:xfrm>
                          <a:off x="4406265" y="3483610"/>
                          <a:ext cx="958850"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967AE1">
                            <w:pPr>
                              <w:spacing w:line="460" w:lineRule="exact"/>
                              <w:ind w:firstLine="420" w:firstLineChars="200"/>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5km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2.95pt;margin-top:220.15pt;height:28.95pt;width:75.5pt;z-index:251666432;mso-width-relative:page;mso-height-relative:page;" filled="f" stroked="f" coordsize="21600,21600" o:gfxdata="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1yDANwAAAALAQAADwAA&#10;AAAAAAABACAAAAAiAAAAZHJzL2Rvd25yZXYueG1sUEsBAhQAFAAAAAgAh07iQDL397RLAgAAfwQA&#10;AA4AAAAAAAAAAQAgAAAAKwEAAGRycy9lMm9Eb2MueG1sUEsFBgAAAAAGAAYAWQEAAOgFAAAAAA==&#10;">
                <v:fill on="f" focussize="0,0"/>
                <v:stroke on="f" weight="0.5pt"/>
                <v:imagedata o:title=""/>
                <o:lock v:ext="edit" aspectratio="f"/>
                <v:textbox>
                  <w:txbxContent>
                    <w:p w14:paraId="04967AE1">
                      <w:pPr>
                        <w:spacing w:line="460" w:lineRule="exact"/>
                        <w:ind w:firstLine="420" w:firstLineChars="200"/>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5km</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65408" behindDoc="0" locked="0" layoutInCell="1" allowOverlap="1">
                <wp:simplePos x="0" y="0"/>
                <wp:positionH relativeFrom="column">
                  <wp:posOffset>3206750</wp:posOffset>
                </wp:positionH>
                <wp:positionV relativeFrom="paragraph">
                  <wp:posOffset>2922905</wp:posOffset>
                </wp:positionV>
                <wp:extent cx="2536190" cy="4445"/>
                <wp:effectExtent l="0" t="59055" r="16510" b="69850"/>
                <wp:wrapNone/>
                <wp:docPr id="6" name="直接箭头连接符 6"/>
                <wp:cNvGraphicFramePr/>
                <a:graphic xmlns:a="http://schemas.openxmlformats.org/drawingml/2006/main">
                  <a:graphicData uri="http://schemas.microsoft.com/office/word/2010/wordprocessingShape">
                    <wps:wsp>
                      <wps:cNvCnPr/>
                      <wps:spPr>
                        <a:xfrm>
                          <a:off x="3815715" y="3794760"/>
                          <a:ext cx="2536190" cy="4445"/>
                        </a:xfrm>
                        <a:prstGeom prst="straightConnector1">
                          <a:avLst/>
                        </a:prstGeom>
                        <a:noFill/>
                        <a:ln w="12700" cap="flat" cmpd="sng" algn="ctr">
                          <a:solidFill>
                            <a:srgbClr val="FFFF00"/>
                          </a:solidFill>
                          <a:prstDash val="solid"/>
                          <a:miter lim="800000"/>
                          <a:tailEnd type="triangle" w="lg" len="lg"/>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52.5pt;margin-top:230.15pt;height:0.35pt;width:199.7pt;z-index:251665408;mso-width-relative:page;mso-height-relative:page;" filled="f" stroked="t" coordsize="21600,21600" o:gfxdata="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gUlXcAAAACwEAAA8AAAAAAAAAAQAgAAAAIgAAAGRycy9kb3ducmV2LnhtbFBLAQIU&#10;ABQAAAAIAIdO4kC+pZC9KAIAAA8EAAAOAAAAAAAAAAEAIAAAACsBAABkcnMvZTJvRG9jLnhtbFBL&#10;BQYAAAAABgAGAFkBAADFBQAAAAA=&#10;">
                <v:fill on="f" focussize="0,0"/>
                <v:stroke weight="1pt" color="#FFFF00 [3204]" miterlimit="8" joinstyle="miter" endarrow="block" endarrowwidth="wide" endarrowlength="long"/>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40160" behindDoc="0" locked="0" layoutInCell="1" allowOverlap="1">
                <wp:simplePos x="0" y="0"/>
                <wp:positionH relativeFrom="column">
                  <wp:posOffset>1919605</wp:posOffset>
                </wp:positionH>
                <wp:positionV relativeFrom="paragraph">
                  <wp:posOffset>1448435</wp:posOffset>
                </wp:positionV>
                <wp:extent cx="407035" cy="367665"/>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483E76">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1.15pt;margin-top:114.05pt;height:28.95pt;width:32.05pt;z-index:251740160;mso-width-relative:page;mso-height-relative:page;" filled="f" stroked="f" coordsize="21600,21600" o:gfxdata="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Ga1Ec3AAAAAsBAAAPAAAAAAAAAAEAIAAA&#10;ACIAAABkcnMvZG93bnJldi54bWxQSwECFAAUAAAACACHTuJACeitj0ECAAB1BAAADgAAAAAAAAAB&#10;ACAAAAArAQAAZHJzL2Uyb0RvYy54bWxQSwUGAAAAAAYABgBZAQAA3gUAAAAA&#10;">
                <v:fill on="f" focussize="0,0"/>
                <v:stroke on="f" weight="0.5pt"/>
                <v:imagedata o:title=""/>
                <o:lock v:ext="edit" aspectratio="f"/>
                <v:textbox>
                  <w:txbxContent>
                    <w:p w14:paraId="61483E76">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36</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85888" behindDoc="0" locked="0" layoutInCell="1" allowOverlap="1">
                <wp:simplePos x="0" y="0"/>
                <wp:positionH relativeFrom="column">
                  <wp:posOffset>1909445</wp:posOffset>
                </wp:positionH>
                <wp:positionV relativeFrom="paragraph">
                  <wp:posOffset>1608455</wp:posOffset>
                </wp:positionV>
                <wp:extent cx="93345" cy="86995"/>
                <wp:effectExtent l="0" t="0" r="1905" b="8255"/>
                <wp:wrapNone/>
                <wp:docPr id="27" name="椭圆 27"/>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0.35pt;margin-top:126.65pt;height:6.85pt;width:7.35pt;z-index:251685888;v-text-anchor:middle;mso-width-relative:page;mso-height-relative:page;" fillcolor="#FF0000" filled="t" stroked="f" coordsize="21600,21600" o:gfxdata="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vHzNL2AAAAAsBAAAPAAAAAAAAAAEAIAAAACIAAABkcnMvZG93&#10;bnJldi54bWxQSwECFAAUAAAACACHTuJAz+7q03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46304" behindDoc="0" locked="0" layoutInCell="1" allowOverlap="1">
                <wp:simplePos x="0" y="0"/>
                <wp:positionH relativeFrom="column">
                  <wp:posOffset>4587240</wp:posOffset>
                </wp:positionH>
                <wp:positionV relativeFrom="paragraph">
                  <wp:posOffset>735330</wp:posOffset>
                </wp:positionV>
                <wp:extent cx="407035" cy="367665"/>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645C24">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1.2pt;margin-top:57.9pt;height:28.95pt;width:32.05pt;z-index:251746304;mso-width-relative:page;mso-height-relative:page;" filled="f" stroked="f" coordsize="21600,21600" o:gfxdata="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ZfI8jbAAAACwEAAA8AAAAAAAAAAQAgAAAA&#10;IgAAAGRycy9kb3ducmV2LnhtbFBLAQIUABQAAAAIAIdO4kAsq2L4QQIAAHUEAAAOAAAAAAAAAAEA&#10;IAAAACoBAABkcnMvZTJvRG9jLnhtbFBLBQYAAAAABgAGAFkBAADdBQAAAAA=&#10;">
                <v:fill on="f" focussize="0,0"/>
                <v:stroke on="f" weight="0.5pt"/>
                <v:imagedata o:title=""/>
                <o:lock v:ext="edit" aspectratio="f"/>
                <v:textbox>
                  <w:txbxContent>
                    <w:p w14:paraId="07645C24">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35</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45280" behindDoc="0" locked="0" layoutInCell="1" allowOverlap="1">
                <wp:simplePos x="0" y="0"/>
                <wp:positionH relativeFrom="column">
                  <wp:posOffset>4626610</wp:posOffset>
                </wp:positionH>
                <wp:positionV relativeFrom="paragraph">
                  <wp:posOffset>848995</wp:posOffset>
                </wp:positionV>
                <wp:extent cx="93345" cy="86995"/>
                <wp:effectExtent l="0" t="0" r="1905" b="8255"/>
                <wp:wrapNone/>
                <wp:docPr id="86" name="椭圆 86"/>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4.3pt;margin-top:66.85pt;height:6.85pt;width:7.35pt;z-index:251745280;v-text-anchor:middle;mso-width-relative:page;mso-height-relative:page;" fillcolor="#FF0000" filled="t" stroked="f" coordsize="21600,21600" o:gfxdata="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2CsojdgAAAALAQAADwAAAAAAAAABACAAAAAiAAAAZHJzL2Rv&#10;d25yZXYueG1sUEsBAhQAFAAAAAgAh07iQGwmDEFzAgAA2wQAAA4AAAAAAAAAAQAgAAAAJwEAAGRy&#10;cy9lMm9Eb2MueG1sUEsFBgAAAAAGAAYAWQEAAAwGA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44256" behindDoc="0" locked="0" layoutInCell="1" allowOverlap="1">
                <wp:simplePos x="0" y="0"/>
                <wp:positionH relativeFrom="column">
                  <wp:posOffset>4301490</wp:posOffset>
                </wp:positionH>
                <wp:positionV relativeFrom="paragraph">
                  <wp:posOffset>1176655</wp:posOffset>
                </wp:positionV>
                <wp:extent cx="407035" cy="367665"/>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7B9C1C">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8.7pt;margin-top:92.65pt;height:28.95pt;width:32.05pt;z-index:251744256;mso-width-relative:page;mso-height-relative:page;" filled="f" stroked="f" coordsize="21600,21600" o:gfxdata="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D4Cw3cAAAACwEAAA8AAAAAAAAAAQAg&#10;AAAAIgAAAGRycy9kb3ducmV2LnhtbFBLAQIUABQAAAAIAIdO4kAHTPqHQwIAAHUEAAAOAAAAAAAA&#10;AAEAIAAAACsBAABkcnMvZTJvRG9jLnhtbFBLBQYAAAAABgAGAFkBAADgBQAAAAA=&#10;">
                <v:fill on="f" focussize="0,0"/>
                <v:stroke on="f" weight="0.5pt"/>
                <v:imagedata o:title=""/>
                <o:lock v:ext="edit" aspectratio="f"/>
                <v:textbox>
                  <w:txbxContent>
                    <w:p w14:paraId="147B9C1C">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34</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43232" behindDoc="0" locked="0" layoutInCell="1" allowOverlap="1">
                <wp:simplePos x="0" y="0"/>
                <wp:positionH relativeFrom="column">
                  <wp:posOffset>4531360</wp:posOffset>
                </wp:positionH>
                <wp:positionV relativeFrom="paragraph">
                  <wp:posOffset>1263650</wp:posOffset>
                </wp:positionV>
                <wp:extent cx="93345" cy="86995"/>
                <wp:effectExtent l="0" t="0" r="1905" b="8255"/>
                <wp:wrapNone/>
                <wp:docPr id="84" name="椭圆 84"/>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6.8pt;margin-top:99.5pt;height:6.85pt;width:7.35pt;z-index:251743232;v-text-anchor:middle;mso-width-relative:page;mso-height-relative:page;" fillcolor="#FF0000" filled="t" stroked="f" coordsize="21600,21600" o:gfxdata="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B4rD02AAAAAsBAAAPAAAAAAAAAAEAIAAAACIAAABkcnMvZG93&#10;bnJldi54bWxQSwECFAAUAAAACACHTuJA70OSRX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42208" behindDoc="0" locked="0" layoutInCell="1" allowOverlap="1">
                <wp:simplePos x="0" y="0"/>
                <wp:positionH relativeFrom="column">
                  <wp:posOffset>4110990</wp:posOffset>
                </wp:positionH>
                <wp:positionV relativeFrom="paragraph">
                  <wp:posOffset>1598930</wp:posOffset>
                </wp:positionV>
                <wp:extent cx="407035" cy="367665"/>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78AB5A">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3.7pt;margin-top:125.9pt;height:28.95pt;width:32.05pt;z-index:251742208;mso-width-relative:page;mso-height-relative:page;" filled="f" stroked="f" coordsize="21600,21600" o:gfxdata="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6US4q90AAAALAQAADwAAAAAAAAABACAA&#10;AAAiAAAAZHJzL2Rvd25yZXYueG1sUEsBAhQAFAAAAAgAh07iQHplUwdBAgAAdQQAAA4AAAAAAAAA&#10;AQAgAAAALAEAAGRycy9lMm9Eb2MueG1sUEsFBgAAAAAGAAYAWQEAAN8FAAAAAA==&#10;">
                <v:fill on="f" focussize="0,0"/>
                <v:stroke on="f" weight="0.5pt"/>
                <v:imagedata o:title=""/>
                <o:lock v:ext="edit" aspectratio="f"/>
                <v:textbox>
                  <w:txbxContent>
                    <w:p w14:paraId="7478AB5A">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33</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41184" behindDoc="0" locked="0" layoutInCell="1" allowOverlap="1">
                <wp:simplePos x="0" y="0"/>
                <wp:positionH relativeFrom="column">
                  <wp:posOffset>5128260</wp:posOffset>
                </wp:positionH>
                <wp:positionV relativeFrom="paragraph">
                  <wp:posOffset>1743710</wp:posOffset>
                </wp:positionV>
                <wp:extent cx="407035" cy="367665"/>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5B9DA4">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3.8pt;margin-top:137.3pt;height:28.95pt;width:32.05pt;z-index:251741184;mso-width-relative:page;mso-height-relative:page;" filled="f" stroked="f" coordsize="21600,21600" o:gfxdata="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T9A5d3AAAAAsBAAAPAAAAAAAAAAEAIAAA&#10;ACIAAABkcnMvZG93bnJldi54bWxQSwECFAAUAAAACACHTuJA5HK/qkECAAB1BAAADgAAAAAAAAAB&#10;ACAAAAArAQAAZHJzL2Uyb0RvYy54bWxQSwUGAAAAAAYABgBZAQAA3gUAAAAA&#10;">
                <v:fill on="f" focussize="0,0"/>
                <v:stroke on="f" weight="0.5pt"/>
                <v:imagedata o:title=""/>
                <o:lock v:ext="edit" aspectratio="f"/>
                <v:textbox>
                  <w:txbxContent>
                    <w:p w14:paraId="575B9DA4">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32</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39136" behindDoc="0" locked="0" layoutInCell="1" allowOverlap="1">
                <wp:simplePos x="0" y="0"/>
                <wp:positionH relativeFrom="column">
                  <wp:posOffset>4650740</wp:posOffset>
                </wp:positionH>
                <wp:positionV relativeFrom="paragraph">
                  <wp:posOffset>1695450</wp:posOffset>
                </wp:positionV>
                <wp:extent cx="407035" cy="367665"/>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5646D">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2pt;margin-top:133.5pt;height:28.95pt;width:32.05pt;z-index:251739136;mso-width-relative:page;mso-height-relative:page;" filled="f" stroked="f" coordsize="21600,21600" o:gfxdata="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vegwb3AAAAAsBAAAPAAAAAAAAAAEAIAAA&#10;ACIAAABkcnMvZG93bnJldi54bWxQSwECFAAUAAAACACHTuJAuAOqFkECAAB1BAAADgAAAAAAAAAB&#10;ACAAAAArAQAAZHJzL2Uyb0RvYy54bWxQSwUGAAAAAAYABgBZAQAA3gUAAAAA&#10;">
                <v:fill on="f" focussize="0,0"/>
                <v:stroke on="f" weight="0.5pt"/>
                <v:imagedata o:title=""/>
                <o:lock v:ext="edit" aspectratio="f"/>
                <v:textbox>
                  <w:txbxContent>
                    <w:p w14:paraId="3C75646D">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29</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36064" behindDoc="0" locked="0" layoutInCell="1" allowOverlap="1">
                <wp:simplePos x="0" y="0"/>
                <wp:positionH relativeFrom="column">
                  <wp:posOffset>4532630</wp:posOffset>
                </wp:positionH>
                <wp:positionV relativeFrom="paragraph">
                  <wp:posOffset>2169160</wp:posOffset>
                </wp:positionV>
                <wp:extent cx="407035" cy="367665"/>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01611A">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6.9pt;margin-top:170.8pt;height:28.95pt;width:32.05pt;z-index:251736064;mso-width-relative:page;mso-height-relative:page;" filled="f" stroked="f" coordsize="21600,21600" o:gfxdata="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o55Sp3QAAAAsBAAAPAAAAAAAAAAEAIAAA&#10;ACIAAABkcnMvZG93bnJldi54bWxQSwECFAAUAAAACACHTuJADfPexEACAAB1BAAADgAAAAAAAAAB&#10;ACAAAAAsAQAAZHJzL2Uyb0RvYy54bWxQSwUGAAAAAAYABgBZAQAA3gUAAAAA&#10;">
                <v:fill on="f" focussize="0,0"/>
                <v:stroke on="f" weight="0.5pt"/>
                <v:imagedata o:title=""/>
                <o:lock v:ext="edit" aspectratio="f"/>
                <v:textbox>
                  <w:txbxContent>
                    <w:p w14:paraId="2C01611A">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28</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38112" behindDoc="0" locked="0" layoutInCell="1" allowOverlap="1">
                <wp:simplePos x="0" y="0"/>
                <wp:positionH relativeFrom="column">
                  <wp:posOffset>4149725</wp:posOffset>
                </wp:positionH>
                <wp:positionV relativeFrom="paragraph">
                  <wp:posOffset>1739265</wp:posOffset>
                </wp:positionV>
                <wp:extent cx="93345" cy="86995"/>
                <wp:effectExtent l="0" t="0" r="1905" b="8255"/>
                <wp:wrapNone/>
                <wp:docPr id="77" name="椭圆 77"/>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6.75pt;margin-top:136.95pt;height:6.85pt;width:7.35pt;z-index:251738112;v-text-anchor:middle;mso-width-relative:page;mso-height-relative:page;" fillcolor="#FF0000" filled="t" stroked="f" coordsize="21600,21600" o:gfxdata="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S9JPR2AAAAAsBAAAPAAAAAAAAAAEAIAAAACIAAABkcnMvZG93&#10;bnJldi54bWxQSwECFAAUAAAACACHTuJAblJi7X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37088" behindDoc="0" locked="0" layoutInCell="1" allowOverlap="1">
                <wp:simplePos x="0" y="0"/>
                <wp:positionH relativeFrom="column">
                  <wp:posOffset>5309870</wp:posOffset>
                </wp:positionH>
                <wp:positionV relativeFrom="paragraph">
                  <wp:posOffset>2035810</wp:posOffset>
                </wp:positionV>
                <wp:extent cx="93345" cy="86995"/>
                <wp:effectExtent l="0" t="0" r="1905" b="8255"/>
                <wp:wrapNone/>
                <wp:docPr id="76" name="椭圆 76"/>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18.1pt;margin-top:160.3pt;height:6.85pt;width:7.35pt;z-index:251737088;v-text-anchor:middle;mso-width-relative:page;mso-height-relative:page;" fillcolor="#FF0000" filled="t" stroked="f" coordsize="21600,21600" o:gfxdata="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F5hjEtgAAAALAQAADwAAAAAAAAABACAAAAAiAAAAZHJzL2Rv&#10;d25yZXYueG1sUEsBAhQAFAAAAAgAh07iQI/jlQJzAgAA2wQAAA4AAAAAAAAAAQAgAAAAJwEAAGRy&#10;cy9lMm9Eb2MueG1sUEsFBgAAAAAGAAYAWQEAAAwGA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35040" behindDoc="0" locked="0" layoutInCell="1" allowOverlap="1">
                <wp:simplePos x="0" y="0"/>
                <wp:positionH relativeFrom="column">
                  <wp:posOffset>4838065</wp:posOffset>
                </wp:positionH>
                <wp:positionV relativeFrom="paragraph">
                  <wp:posOffset>1951355</wp:posOffset>
                </wp:positionV>
                <wp:extent cx="93345" cy="86995"/>
                <wp:effectExtent l="0" t="0" r="1905" b="8255"/>
                <wp:wrapNone/>
                <wp:docPr id="75" name="椭圆 75"/>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80.95pt;margin-top:153.65pt;height:6.85pt;width:7.35pt;z-index:251735040;v-text-anchor:middle;mso-width-relative:page;mso-height-relative:page;" fillcolor="#FF0000" filled="t" stroked="f" coordsize="21600,21600" o:gfxdata="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wjhOi2AAAAAsBAAAPAAAAAAAAAAEAIAAAACIAAABkcnMvZG93&#10;bnJldi54bWxQSwECFAAUAAAACACHTuJA7Tf86X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34016" behindDoc="0" locked="0" layoutInCell="1" allowOverlap="1">
                <wp:simplePos x="0" y="0"/>
                <wp:positionH relativeFrom="column">
                  <wp:posOffset>4728845</wp:posOffset>
                </wp:positionH>
                <wp:positionV relativeFrom="paragraph">
                  <wp:posOffset>2284730</wp:posOffset>
                </wp:positionV>
                <wp:extent cx="93345" cy="86995"/>
                <wp:effectExtent l="0" t="0" r="1905" b="8255"/>
                <wp:wrapNone/>
                <wp:docPr id="74" name="椭圆 74"/>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72.35pt;margin-top:179.9pt;height:6.85pt;width:7.35pt;z-index:251734016;v-text-anchor:middle;mso-width-relative:page;mso-height-relative:page;" fillcolor="#FF0000" filled="t" stroked="f" coordsize="21600,21600" o:gfxdata="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lPysG2AAAAAsBAAAPAAAAAAAAAAEAIAAAACIAAABkcnMvZG93&#10;bnJldi54bWxQSwECFAAUAAAACACHTuJADIYLBn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32992" behindDoc="0" locked="0" layoutInCell="1" allowOverlap="1">
                <wp:simplePos x="0" y="0"/>
                <wp:positionH relativeFrom="column">
                  <wp:posOffset>3968750</wp:posOffset>
                </wp:positionH>
                <wp:positionV relativeFrom="paragraph">
                  <wp:posOffset>2211070</wp:posOffset>
                </wp:positionV>
                <wp:extent cx="407035" cy="367665"/>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7A43A6">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2.5pt;margin-top:174.1pt;height:28.95pt;width:32.05pt;z-index:251732992;mso-width-relative:page;mso-height-relative:page;" filled="f" stroked="f" coordsize="21600,21600" o:gfxdata="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BKsor3AAAAAsBAAAPAAAAAAAAAAEAIAAA&#10;ACIAAABkcnMvZG93bnJldi54bWxQSwECFAAUAAAACACHTuJAfn4gTEECAAB1BAAADgAAAAAAAAAB&#10;ACAAAAArAQAAZHJzL2Uyb0RvYy54bWxQSwUGAAAAAAYABgBZAQAA3gUAAAAA&#10;">
                <v:fill on="f" focussize="0,0"/>
                <v:stroke on="f" weight="0.5pt"/>
                <v:imagedata o:title=""/>
                <o:lock v:ext="edit" aspectratio="f"/>
                <v:textbox>
                  <w:txbxContent>
                    <w:p w14:paraId="617A43A6">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27</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31968" behindDoc="0" locked="0" layoutInCell="1" allowOverlap="1">
                <wp:simplePos x="0" y="0"/>
                <wp:positionH relativeFrom="column">
                  <wp:posOffset>4130040</wp:posOffset>
                </wp:positionH>
                <wp:positionV relativeFrom="paragraph">
                  <wp:posOffset>2325370</wp:posOffset>
                </wp:positionV>
                <wp:extent cx="93345" cy="86995"/>
                <wp:effectExtent l="0" t="0" r="1905" b="8255"/>
                <wp:wrapNone/>
                <wp:docPr id="72" name="椭圆 72"/>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5.2pt;margin-top:183.1pt;height:6.85pt;width:7.35pt;z-index:251731968;v-text-anchor:middle;mso-width-relative:page;mso-height-relative:page;" fillcolor="#FF0000" filled="t" stroked="f" coordsize="21600,21600" o:gfxdata="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ANtI92AAAAAsBAAAPAAAAAAAAAAEAIAAAACIAAABkcnMvZG93&#10;bnJldi54bWxQSwECFAAUAAAACACHTuJAiSipC3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26848" behindDoc="0" locked="0" layoutInCell="1" allowOverlap="1">
                <wp:simplePos x="0" y="0"/>
                <wp:positionH relativeFrom="column">
                  <wp:posOffset>4965065</wp:posOffset>
                </wp:positionH>
                <wp:positionV relativeFrom="paragraph">
                  <wp:posOffset>2527300</wp:posOffset>
                </wp:positionV>
                <wp:extent cx="407035" cy="367665"/>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E12453">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95pt;margin-top:199pt;height:28.95pt;width:32.05pt;z-index:251726848;mso-width-relative:page;mso-height-relative:page;" filled="f" stroked="f" coordsize="21600,21600" o:gfxdata="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IwNUi3AAAAAsBAAAPAAAAAAAAAAEAIAAA&#10;ACIAAABkcnMvZG93bnJldi54bWxQSwECFAAUAAAACACHTuJAVZm4M0ECAAB1BAAADgAAAAAAAAAB&#10;ACAAAAArAQAAZHJzL2Uyb0RvYy54bWxQSwUGAAAAAAYABgBZAQAA3gUAAAAA&#10;">
                <v:fill on="f" focussize="0,0"/>
                <v:stroke on="f" weight="0.5pt"/>
                <v:imagedata o:title=""/>
                <o:lock v:ext="edit" aspectratio="f"/>
                <v:textbox>
                  <w:txbxContent>
                    <w:p w14:paraId="59E12453">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31</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30944" behindDoc="0" locked="0" layoutInCell="1" allowOverlap="1">
                <wp:simplePos x="0" y="0"/>
                <wp:positionH relativeFrom="column">
                  <wp:posOffset>4960620</wp:posOffset>
                </wp:positionH>
                <wp:positionV relativeFrom="paragraph">
                  <wp:posOffset>2658745</wp:posOffset>
                </wp:positionV>
                <wp:extent cx="93345" cy="86995"/>
                <wp:effectExtent l="0" t="0" r="1905" b="8255"/>
                <wp:wrapNone/>
                <wp:docPr id="70" name="椭圆 70"/>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90.6pt;margin-top:209.35pt;height:6.85pt;width:7.35pt;z-index:251730944;v-text-anchor:middle;mso-width-relative:page;mso-height-relative:page;" fillcolor="#FF0000" filled="t" stroked="f" coordsize="21600,21600" o:gfxdata="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diDsL2AAAAAsBAAAPAAAAAAAAAAEAIAAAACIAAABkcnMvZG93&#10;bnJldi54bWxQSwECFAAUAAAACACHTuJACk03D3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29920" behindDoc="0" locked="0" layoutInCell="1" allowOverlap="1">
                <wp:simplePos x="0" y="0"/>
                <wp:positionH relativeFrom="column">
                  <wp:posOffset>4397375</wp:posOffset>
                </wp:positionH>
                <wp:positionV relativeFrom="paragraph">
                  <wp:posOffset>2435860</wp:posOffset>
                </wp:positionV>
                <wp:extent cx="407035" cy="367665"/>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C34D8B">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6.25pt;margin-top:191.8pt;height:28.95pt;width:32.05pt;z-index:251729920;mso-width-relative:page;mso-height-relative:page;" filled="f" stroked="f" coordsize="21600,21600" o:gfxdata="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fmAmEN0AAAALAQAADwAAAAAAAAABACAA&#10;AAAiAAAAZHJzL2Rvd25yZXYueG1sUEsBAhQAFAAAAAgAh07iQEswc61BAgAAdQQAAA4AAAAAAAAA&#10;AQAgAAAALAEAAGRycy9lMm9Eb2MueG1sUEsFBgAAAAAGAAYAWQEAAN8FAAAAAA==&#10;">
                <v:fill on="f" focussize="0,0"/>
                <v:stroke on="f" weight="0.5pt"/>
                <v:imagedata o:title=""/>
                <o:lock v:ext="edit" aspectratio="f"/>
                <v:textbox>
                  <w:txbxContent>
                    <w:p w14:paraId="03C34D8B">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30</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28896" behindDoc="0" locked="0" layoutInCell="1" allowOverlap="1">
                <wp:simplePos x="0" y="0"/>
                <wp:positionH relativeFrom="column">
                  <wp:posOffset>4490720</wp:posOffset>
                </wp:positionH>
                <wp:positionV relativeFrom="paragraph">
                  <wp:posOffset>2720340</wp:posOffset>
                </wp:positionV>
                <wp:extent cx="93345" cy="86995"/>
                <wp:effectExtent l="0" t="0" r="1905" b="8255"/>
                <wp:wrapNone/>
                <wp:docPr id="68" name="椭圆 68"/>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3.6pt;margin-top:214.2pt;height:6.85pt;width:7.35pt;z-index:251728896;v-text-anchor:middle;mso-width-relative:page;mso-height-relative:page;" fillcolor="#FF0000" filled="t" stroked="f" coordsize="21600,21600" o:gfxdata="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SpIxk2AAAAAsBAAAPAAAAAAAAAAEAIAAAACIAAABkcnMvZG93&#10;bnJldi54bWxQSwECFAAUAAAACACHTuJAWf6syn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27872" behindDoc="0" locked="0" layoutInCell="1" allowOverlap="1">
                <wp:simplePos x="0" y="0"/>
                <wp:positionH relativeFrom="column">
                  <wp:posOffset>406400</wp:posOffset>
                </wp:positionH>
                <wp:positionV relativeFrom="paragraph">
                  <wp:posOffset>2655570</wp:posOffset>
                </wp:positionV>
                <wp:extent cx="407035" cy="367665"/>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255E6A">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pt;margin-top:209.1pt;height:28.95pt;width:32.05pt;z-index:251727872;mso-width-relative:page;mso-height-relative:page;" filled="f" stroked="f" coordsize="21600,21600" o:gfxdata="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MORUy2gAAAAoBAAAPAAAAAAAAAAEAIAAAACIA&#10;AABkcnMvZG93bnJldi54bWxQSwECFAAUAAAACACHTuJA24PICEACAAB1BAAADgAAAAAAAAABACAA&#10;AAApAQAAZHJzL2Uyb0RvYy54bWxQSwUGAAAAAAYABgBZAQAA2wUAAAAA&#10;">
                <v:fill on="f" focussize="0,0"/>
                <v:stroke on="f" weight="0.5pt"/>
                <v:imagedata o:title=""/>
                <o:lock v:ext="edit" aspectratio="f"/>
                <v:textbox>
                  <w:txbxContent>
                    <w:p w14:paraId="73255E6A">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26</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25824" behindDoc="0" locked="0" layoutInCell="1" allowOverlap="1">
                <wp:simplePos x="0" y="0"/>
                <wp:positionH relativeFrom="column">
                  <wp:posOffset>390525</wp:posOffset>
                </wp:positionH>
                <wp:positionV relativeFrom="paragraph">
                  <wp:posOffset>2879725</wp:posOffset>
                </wp:positionV>
                <wp:extent cx="93345" cy="86995"/>
                <wp:effectExtent l="0" t="0" r="1905" b="8255"/>
                <wp:wrapNone/>
                <wp:docPr id="66" name="椭圆 66"/>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0.75pt;margin-top:226.75pt;height:6.85pt;width:7.35pt;z-index:251725824;v-text-anchor:middle;mso-width-relative:page;mso-height-relative:page;" fillcolor="#FF0000" filled="t" stroked="f" coordsize="21600,21600" o:gfxdata="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VIUXFdYAAAAJAQAADwAAAAAAAAABACAAAAAiAAAAZHJzL2Rvd25y&#10;ZXYueG1sUEsBAhQAFAAAAAgAh07iQNDGd9VyAgAA2wQAAA4AAAAAAAAAAQAgAAAAJQEAAGRycy9l&#10;Mm9Eb2MueG1sUEsFBgAAAAAGAAYAWQEAAAkGA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24800" behindDoc="0" locked="0" layoutInCell="1" allowOverlap="1">
                <wp:simplePos x="0" y="0"/>
                <wp:positionH relativeFrom="column">
                  <wp:posOffset>1516380</wp:posOffset>
                </wp:positionH>
                <wp:positionV relativeFrom="paragraph">
                  <wp:posOffset>3528695</wp:posOffset>
                </wp:positionV>
                <wp:extent cx="407035" cy="367665"/>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6E69ED">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4pt;margin-top:277.85pt;height:28.95pt;width:32.05pt;z-index:251724800;mso-width-relative:page;mso-height-relative:page;" filled="f" stroked="f" coordsize="21600,21600" o:gfxdata="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wEoavcAAAACwEAAA8AAAAAAAAAAQAgAAAA&#10;IgAAAGRycy9kb3ducmV2LnhtbFBLAQIUABQAAAAIAIdO4kBFlCSlQAIAAHUEAAAOAAAAAAAAAAEA&#10;IAAAACsBAABkcnMvZTJvRG9jLnhtbFBLBQYAAAAABgAGAFkBAADdBQAAAAA=&#10;">
                <v:fill on="f" focussize="0,0"/>
                <v:stroke on="f" weight="0.5pt"/>
                <v:imagedata o:title=""/>
                <o:lock v:ext="edit" aspectratio="f"/>
                <v:textbox>
                  <w:txbxContent>
                    <w:p w14:paraId="466E69ED">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24</w:t>
                      </w:r>
                    </w:p>
                  </w:txbxContent>
                </v:textbox>
              </v:shape>
            </w:pict>
          </mc:Fallback>
        </mc:AlternateContent>
      </w:r>
      <w:r>
        <w:rPr>
          <w:rFonts w:ascii="Times New Roman" w:hAnsi="Times New Roman" w:eastAsia="宋体" w:cs="Times New Roman"/>
          <w:color w:val="000000"/>
          <w:sz w:val="24"/>
          <w:u w:val="none" w:color="auto"/>
        </w:rPr>
        <w:drawing>
          <wp:inline distT="0" distB="0" distL="114300" distR="114300">
            <wp:extent cx="5726430" cy="5756910"/>
            <wp:effectExtent l="0" t="0" r="7620" b="1524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37"/>
                    <a:stretch>
                      <a:fillRect/>
                    </a:stretch>
                  </pic:blipFill>
                  <pic:spPr>
                    <a:xfrm>
                      <a:off x="0" y="0"/>
                      <a:ext cx="5726430" cy="5756910"/>
                    </a:xfrm>
                    <a:prstGeom prst="rect">
                      <a:avLst/>
                    </a:prstGeom>
                    <a:noFill/>
                    <a:ln>
                      <a:noFill/>
                    </a:ln>
                  </pic:spPr>
                </pic:pic>
              </a:graphicData>
            </a:graphic>
          </wp:inline>
        </w:drawing>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16608" behindDoc="0" locked="0" layoutInCell="1" allowOverlap="1">
                <wp:simplePos x="0" y="0"/>
                <wp:positionH relativeFrom="column">
                  <wp:posOffset>1198880</wp:posOffset>
                </wp:positionH>
                <wp:positionV relativeFrom="paragraph">
                  <wp:posOffset>3388995</wp:posOffset>
                </wp:positionV>
                <wp:extent cx="407035" cy="367665"/>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9FB614">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4.4pt;margin-top:266.85pt;height:28.95pt;width:32.05pt;z-index:251716608;mso-width-relative:page;mso-height-relative:page;" filled="f" stroked="f" coordsize="21600,21600" o:gfxdata="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0zDY9wAAAALAQAADwAAAAAAAAABACAA&#10;AAAiAAAAZHJzL2Rvd25yZXYueG1sUEsBAhQAFAAAAAgAh07iQPBkUHdCAgAAdQQAAA4AAAAAAAAA&#10;AQAgAAAAKwEAAGRycy9lMm9Eb2MueG1sUEsFBgAAAAAGAAYAWQEAAN8FAAAAAA==&#10;">
                <v:fill on="f" focussize="0,0"/>
                <v:stroke on="f" weight="0.5pt"/>
                <v:imagedata o:title=""/>
                <o:lock v:ext="edit" aspectratio="f"/>
                <v:textbox>
                  <w:txbxContent>
                    <w:p w14:paraId="609FB614">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25</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23776" behindDoc="0" locked="0" layoutInCell="1" allowOverlap="1">
                <wp:simplePos x="0" y="0"/>
                <wp:positionH relativeFrom="column">
                  <wp:posOffset>1438275</wp:posOffset>
                </wp:positionH>
                <wp:positionV relativeFrom="paragraph">
                  <wp:posOffset>3580130</wp:posOffset>
                </wp:positionV>
                <wp:extent cx="93345" cy="86995"/>
                <wp:effectExtent l="0" t="0" r="1905" b="8255"/>
                <wp:wrapNone/>
                <wp:docPr id="63" name="椭圆 63"/>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13.25pt;margin-top:281.9pt;height:6.85pt;width:7.35pt;z-index:251723776;v-text-anchor:middle;mso-width-relative:page;mso-height-relative:page;" fillcolor="#FF0000" filled="t" stroked="f" coordsize="21600,21600" o:gfxdata="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NRcIW1wAAAAsBAAAPAAAAAAAAAAEAIAAAACIAAABkcnMvZG93&#10;bnJldi54bWxQSwECFAAUAAAACACHTuJAN7y8M3MCAADbBAAADgAAAAAAAAABACAAAAAm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22752" behindDoc="0" locked="0" layoutInCell="1" allowOverlap="1">
                <wp:simplePos x="0" y="0"/>
                <wp:positionH relativeFrom="column">
                  <wp:posOffset>1520825</wp:posOffset>
                </wp:positionH>
                <wp:positionV relativeFrom="paragraph">
                  <wp:posOffset>3789680</wp:posOffset>
                </wp:positionV>
                <wp:extent cx="93345" cy="86995"/>
                <wp:effectExtent l="0" t="0" r="1905" b="8255"/>
                <wp:wrapNone/>
                <wp:docPr id="62" name="椭圆 62"/>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19.75pt;margin-top:298.4pt;height:6.85pt;width:7.35pt;z-index:251722752;v-text-anchor:middle;mso-width-relative:page;mso-height-relative:page;" fillcolor="#FF0000" filled="t" stroked="f" coordsize="21600,21600" o:gfxdata="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NX9YsjXAAAACwEAAA8AAAAAAAAAAQAgAAAAIgAAAGRycy9kb3du&#10;cmV2LnhtbFBLAQIUABQAAAAIAIdO4kDWDUvccgIAANsEAAAOAAAAAAAAAAEAIAAAACYBAABkcnMv&#10;ZTJvRG9jLnhtbFBLBQYAAAAABgAGAFkBAAAKBg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21728" behindDoc="0" locked="0" layoutInCell="1" allowOverlap="1">
                <wp:simplePos x="0" y="0"/>
                <wp:positionH relativeFrom="column">
                  <wp:posOffset>1071880</wp:posOffset>
                </wp:positionH>
                <wp:positionV relativeFrom="paragraph">
                  <wp:posOffset>3662045</wp:posOffset>
                </wp:positionV>
                <wp:extent cx="407035" cy="367665"/>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4FE608">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4pt;margin-top:288.35pt;height:28.95pt;width:32.05pt;z-index:251721728;mso-width-relative:page;mso-height-relative:page;" filled="f" stroked="f" coordsize="21600,21600" o:gfxdata="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GUXK13AAAAAsBAAAPAAAAAAAAAAEAIAAA&#10;ACIAAABkcnMvZG93bnJldi54bWxQSwECFAAUAAAACACHTuJApqphiEECAAB1BAAADgAAAAAAAAAB&#10;ACAAAAArAQAAZHJzL2Uyb0RvYy54bWxQSwUGAAAAAAYABgBZAQAA3gUAAAAA&#10;">
                <v:fill on="f" focussize="0,0"/>
                <v:stroke on="f" weight="0.5pt"/>
                <v:imagedata o:title=""/>
                <o:lock v:ext="edit" aspectratio="f"/>
                <v:textbox>
                  <w:txbxContent>
                    <w:p w14:paraId="4E4FE608">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23</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20704" behindDoc="0" locked="0" layoutInCell="1" allowOverlap="1">
                <wp:simplePos x="0" y="0"/>
                <wp:positionH relativeFrom="column">
                  <wp:posOffset>1323975</wp:posOffset>
                </wp:positionH>
                <wp:positionV relativeFrom="paragraph">
                  <wp:posOffset>3840480</wp:posOffset>
                </wp:positionV>
                <wp:extent cx="93345" cy="86995"/>
                <wp:effectExtent l="0" t="0" r="1905" b="8255"/>
                <wp:wrapNone/>
                <wp:docPr id="60" name="椭圆 60"/>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4.25pt;margin-top:302.4pt;height:6.85pt;width:7.35pt;z-index:251720704;v-text-anchor:middle;mso-width-relative:page;mso-height-relative:page;" fillcolor="#FF0000" filled="t" stroked="f" coordsize="21600,21600" o:gfxdata="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zKTYgNYAAAALAQAADwAAAAAAAAABACAAAAAiAAAAZHJzL2Rvd25y&#10;ZXYueG1sUEsBAhQAFAAAAAgAh07iQFVo1dhyAgAA2wQAAA4AAAAAAAAAAQAgAAAAJQEAAGRycy9l&#10;Mm9Eb2MueG1sUEsFBgAAAAAGAAYAWQEAAAkGA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19680" behindDoc="0" locked="0" layoutInCell="1" allowOverlap="1">
                <wp:simplePos x="0" y="0"/>
                <wp:positionH relativeFrom="column">
                  <wp:posOffset>671830</wp:posOffset>
                </wp:positionH>
                <wp:positionV relativeFrom="paragraph">
                  <wp:posOffset>4316095</wp:posOffset>
                </wp:positionV>
                <wp:extent cx="407035" cy="367665"/>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8E9FDD">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9pt;margin-top:339.85pt;height:28.95pt;width:32.05pt;z-index:251719680;mso-width-relative:page;mso-height-relative:page;" filled="f" stroked="f" coordsize="21600,21600" o:gfxdata="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DkqCzTbAAAACwEAAA8AAAAAAAAAAQAgAAAA&#10;IgAAAGRycy9kb3ducmV2LnhtbFBLAQIUABQAAAAIAIdO4kAfYmm6QQIAAHUEAAAOAAAAAAAAAAEA&#10;IAAAACoBAABkcnMvZTJvRG9jLnhtbFBLBQYAAAAABgAGAFkBAADdBQAAAAA=&#10;">
                <v:fill on="f" focussize="0,0"/>
                <v:stroke on="f" weight="0.5pt"/>
                <v:imagedata o:title=""/>
                <o:lock v:ext="edit" aspectratio="f"/>
                <v:textbox>
                  <w:txbxContent>
                    <w:p w14:paraId="228E9FDD">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22</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18656" behindDoc="0" locked="0" layoutInCell="1" allowOverlap="1">
                <wp:simplePos x="0" y="0"/>
                <wp:positionH relativeFrom="column">
                  <wp:posOffset>746125</wp:posOffset>
                </wp:positionH>
                <wp:positionV relativeFrom="paragraph">
                  <wp:posOffset>4405630</wp:posOffset>
                </wp:positionV>
                <wp:extent cx="93345" cy="86995"/>
                <wp:effectExtent l="0" t="0" r="1905" b="8255"/>
                <wp:wrapNone/>
                <wp:docPr id="58" name="椭圆 58"/>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8.75pt;margin-top:346.9pt;height:6.85pt;width:7.35pt;z-index:251718656;v-text-anchor:middle;mso-width-relative:page;mso-height-relative:page;" fillcolor="#FF0000" filled="t" stroked="f" coordsize="21600,21600" o:gfxdata="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mmvsNtYAAAALAQAADwAAAAAAAAABACAAAAAiAAAAZHJzL2Rvd25y&#10;ZXYueG1sUEsBAhQAFAAAAAgAh07iQPmX+2lyAgAA2wQAAA4AAAAAAAAAAQAgAAAAJQEAAGRycy9l&#10;Mm9Eb2MueG1sUEsFBgAAAAAGAAYAWQEAAAkGA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17632" behindDoc="0" locked="0" layoutInCell="1" allowOverlap="1">
                <wp:simplePos x="0" y="0"/>
                <wp:positionH relativeFrom="column">
                  <wp:posOffset>1770380</wp:posOffset>
                </wp:positionH>
                <wp:positionV relativeFrom="paragraph">
                  <wp:posOffset>3681095</wp:posOffset>
                </wp:positionV>
                <wp:extent cx="407035" cy="367665"/>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C363F4">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9.4pt;margin-top:289.85pt;height:28.95pt;width:32.05pt;z-index:251717632;mso-width-relative:page;mso-height-relative:page;" filled="f" stroked="f" coordsize="21600,21600" o:gfxdata="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d8EPd90AAAALAQAADwAAAAAAAAABACAA&#10;AAAiAAAAZHJzL2Rvd25yZXYueG1sUEsBAhQAFAAAAAgAh07iQI/R0h9BAgAAdQQAAA4AAAAAAAAA&#10;AQAgAAAALAEAAGRycy9lMm9Eb2MueG1sUEsFBgAAAAAGAAYAWQEAAN8FAAAAAA==&#10;">
                <v:fill on="f" focussize="0,0"/>
                <v:stroke on="f" weight="0.5pt"/>
                <v:imagedata o:title=""/>
                <o:lock v:ext="edit" aspectratio="f"/>
                <v:textbox>
                  <w:txbxContent>
                    <w:p w14:paraId="29C363F4">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21</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12512" behindDoc="0" locked="0" layoutInCell="1" allowOverlap="1">
                <wp:simplePos x="0" y="0"/>
                <wp:positionH relativeFrom="column">
                  <wp:posOffset>1859280</wp:posOffset>
                </wp:positionH>
                <wp:positionV relativeFrom="paragraph">
                  <wp:posOffset>3973195</wp:posOffset>
                </wp:positionV>
                <wp:extent cx="407035" cy="367665"/>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61E95D">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6.4pt;margin-top:312.85pt;height:28.95pt;width:32.05pt;z-index:251712512;mso-width-relative:page;mso-height-relative:page;" filled="f" stroked="f" coordsize="21600,21600" o:gfxdata="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y/zPx3AAAAAsBAAAPAAAAAAAAAAEAIAAA&#10;ACIAAABkcnMvZG93bnJldi54bWxQSwECFAAUAAAACACHTuJA2R/j4EECAAB1BAAADgAAAAAAAAAB&#10;ACAAAAArAQAAZHJzL2Uyb0RvYy54bWxQSwUGAAAAAAYABgBZAQAA3gUAAAAA&#10;">
                <v:fill on="f" focussize="0,0"/>
                <v:stroke on="f" weight="0.5pt"/>
                <v:imagedata o:title=""/>
                <o:lock v:ext="edit" aspectratio="f"/>
                <v:textbox>
                  <w:txbxContent>
                    <w:p w14:paraId="0C61E95D">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19</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15584" behindDoc="0" locked="0" layoutInCell="1" allowOverlap="1">
                <wp:simplePos x="0" y="0"/>
                <wp:positionH relativeFrom="column">
                  <wp:posOffset>1908175</wp:posOffset>
                </wp:positionH>
                <wp:positionV relativeFrom="paragraph">
                  <wp:posOffset>3980180</wp:posOffset>
                </wp:positionV>
                <wp:extent cx="93345" cy="86995"/>
                <wp:effectExtent l="0" t="0" r="1905" b="8255"/>
                <wp:wrapNone/>
                <wp:docPr id="56" name="椭圆 56"/>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0.25pt;margin-top:313.4pt;height:6.85pt;width:7.35pt;z-index:251715584;v-text-anchor:middle;mso-width-relative:page;mso-height-relative:page;" fillcolor="#FF0000" filled="t" stroked="f" coordsize="21600,21600" o:gfxdata="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GV6B2TXAAAACwEAAA8AAAAAAAAAAQAgAAAAIgAAAGRycy9kb3du&#10;cmV2LnhtbFBLAQIUABQAAAAIAIdO4kBwryB2cgIAANsEAAAOAAAAAAAAAAEAIAAAACYBAABkcnMv&#10;ZTJvRG9jLnhtbFBLBQYAAAAABgAGAFkBAAAKBg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14560" behindDoc="0" locked="0" layoutInCell="1" allowOverlap="1">
                <wp:simplePos x="0" y="0"/>
                <wp:positionH relativeFrom="column">
                  <wp:posOffset>2106930</wp:posOffset>
                </wp:positionH>
                <wp:positionV relativeFrom="paragraph">
                  <wp:posOffset>3706495</wp:posOffset>
                </wp:positionV>
                <wp:extent cx="407035" cy="367665"/>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01BA2">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9pt;margin-top:291.85pt;height:28.95pt;width:32.05pt;z-index:251714560;mso-width-relative:page;mso-height-relative:page;" filled="f" stroked="f" coordsize="21600,21600" o:gfxdata="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QG4CzdAAAACwEAAA8AAAAAAAAAAQAg&#10;AAAAIgAAAGRycy9kb3ducmV2LnhtbFBLAQIUABQAAAAIAIdO4kCkNkpgQgIAAHUEAAAOAAAAAAAA&#10;AAEAIAAAACwBAABkcnMvZTJvRG9jLnhtbFBLBQYAAAAABgAGAFkBAADgBQAAAAA=&#10;">
                <v:fill on="f" focussize="0,0"/>
                <v:stroke on="f" weight="0.5pt"/>
                <v:imagedata o:title=""/>
                <o:lock v:ext="edit" aspectratio="f"/>
                <v:textbox>
                  <w:txbxContent>
                    <w:p w14:paraId="3F001BA2">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20</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13536" behindDoc="0" locked="0" layoutInCell="1" allowOverlap="1">
                <wp:simplePos x="0" y="0"/>
                <wp:positionH relativeFrom="column">
                  <wp:posOffset>2276475</wp:posOffset>
                </wp:positionH>
                <wp:positionV relativeFrom="paragraph">
                  <wp:posOffset>3992880</wp:posOffset>
                </wp:positionV>
                <wp:extent cx="93345" cy="86995"/>
                <wp:effectExtent l="0" t="0" r="1905" b="8255"/>
                <wp:wrapNone/>
                <wp:docPr id="54" name="椭圆 54"/>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9.25pt;margin-top:314.4pt;height:6.85pt;width:7.35pt;z-index:251713536;v-text-anchor:middle;mso-width-relative:page;mso-height-relative:page;" fillcolor="#FF0000" filled="t" stroked="f" coordsize="21600,21600" o:gfxdata="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eZAes2AAAAAsBAAAPAAAAAAAAAAEAIAAAACIAAABkcnMvZG93&#10;bnJldi54bWxQSwECFAAUAAAACACHTuJA88q+cn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11488" behindDoc="0" locked="0" layoutInCell="1" allowOverlap="1">
                <wp:simplePos x="0" y="0"/>
                <wp:positionH relativeFrom="column">
                  <wp:posOffset>2079625</wp:posOffset>
                </wp:positionH>
                <wp:positionV relativeFrom="paragraph">
                  <wp:posOffset>4189730</wp:posOffset>
                </wp:positionV>
                <wp:extent cx="93345" cy="86995"/>
                <wp:effectExtent l="0" t="0" r="1905" b="8255"/>
                <wp:wrapNone/>
                <wp:docPr id="52" name="椭圆 52"/>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63.75pt;margin-top:329.9pt;height:6.85pt;width:7.35pt;z-index:251711488;v-text-anchor:middle;mso-width-relative:page;mso-height-relative:page;" fillcolor="#FF0000" filled="t" stroked="f" coordsize="21600,21600" o:gfxdata="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D7+i2AAAAAsBAAAPAAAAAAAAAAEAIAAAACIAAABkcnMvZG93&#10;bnJldi54bWxQSwECFAAUAAAACACHTuJAdmQcf3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10464" behindDoc="0" locked="0" layoutInCell="1" allowOverlap="1">
                <wp:simplePos x="0" y="0"/>
                <wp:positionH relativeFrom="column">
                  <wp:posOffset>1351280</wp:posOffset>
                </wp:positionH>
                <wp:positionV relativeFrom="paragraph">
                  <wp:posOffset>4239895</wp:posOffset>
                </wp:positionV>
                <wp:extent cx="407035" cy="367665"/>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94AA44">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4pt;margin-top:333.85pt;height:28.95pt;width:32.05pt;z-index:251710464;mso-width-relative:page;mso-height-relative:page;" filled="f" stroked="f" coordsize="21600,21600" o:gfxdata="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yV48LbAAAACwEAAA8AAAAAAAAAAQAgAAAA&#10;IgAAAGRycy9kb3ducmV2LnhtbFBLAQIUABQAAAAIAIdO4kDy+HufQQIAAHUEAAAOAAAAAAAAAAEA&#10;IAAAACoBAABkcnMvZTJvRG9jLnhtbFBLBQYAAAAABgAGAFkBAADdBQAAAAA=&#10;">
                <v:fill on="f" focussize="0,0"/>
                <v:stroke on="f" weight="0.5pt"/>
                <v:imagedata o:title=""/>
                <o:lock v:ext="edit" aspectratio="f"/>
                <v:textbox>
                  <w:txbxContent>
                    <w:p w14:paraId="4E94AA44">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18</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09440" behindDoc="0" locked="0" layoutInCell="1" allowOverlap="1">
                <wp:simplePos x="0" y="0"/>
                <wp:positionH relativeFrom="column">
                  <wp:posOffset>1609725</wp:posOffset>
                </wp:positionH>
                <wp:positionV relativeFrom="paragraph">
                  <wp:posOffset>4469130</wp:posOffset>
                </wp:positionV>
                <wp:extent cx="93345" cy="86995"/>
                <wp:effectExtent l="0" t="0" r="1905" b="8255"/>
                <wp:wrapNone/>
                <wp:docPr id="50" name="椭圆 50"/>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6.75pt;margin-top:351.9pt;height:6.85pt;width:7.35pt;z-index:251709440;v-text-anchor:middle;mso-width-relative:page;mso-height-relative:page;" fillcolor="#FF0000" filled="t" stroked="f" coordsize="21600,21600" o:gfxdata="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Ho8yXXAAAACwEAAA8AAAAAAAAAAQAgAAAAIgAAAGRycy9kb3du&#10;cmV2LnhtbFBLAQIUABQAAAAIAIdO4kD1AYJ7cgIAANsEAAAOAAAAAAAAAAEAIAAAACYBAABkcnMv&#10;ZTJvRG9jLnhtbFBLBQYAAAAABgAGAFkBAAAKBg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08416" behindDoc="0" locked="0" layoutInCell="1" allowOverlap="1">
                <wp:simplePos x="0" y="0"/>
                <wp:positionH relativeFrom="column">
                  <wp:posOffset>1188085</wp:posOffset>
                </wp:positionH>
                <wp:positionV relativeFrom="paragraph">
                  <wp:posOffset>4959350</wp:posOffset>
                </wp:positionV>
                <wp:extent cx="407035" cy="367665"/>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8A903">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3.55pt;margin-top:390.5pt;height:28.95pt;width:32.05pt;z-index:251708416;mso-width-relative:page;mso-height-relative:page;" filled="f" stroked="f" coordsize="21600,21600" o:gfxdata="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6b3c9dsAAAALAQAADwAAAAAAAAABACAA&#10;AAAiAAAAZHJzL2Rvd25yZXYueG1sUEsBAhQAFAAAAAgAh07iQPR/IzxDAgAAdQQAAA4AAAAAAAAA&#10;AQAgAAAAKgEAAGRycy9lMm9Eb2MueG1sUEsFBgAAAAAGAAYAWQEAAN8FAAAAAA==&#10;">
                <v:fill on="f" focussize="0,0"/>
                <v:stroke on="f" weight="0.5pt"/>
                <v:imagedata o:title=""/>
                <o:lock v:ext="edit" aspectratio="f"/>
                <v:textbox>
                  <w:txbxContent>
                    <w:p w14:paraId="4578A903">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17</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07392" behindDoc="0" locked="0" layoutInCell="1" allowOverlap="1">
                <wp:simplePos x="0" y="0"/>
                <wp:positionH relativeFrom="column">
                  <wp:posOffset>1241425</wp:posOffset>
                </wp:positionH>
                <wp:positionV relativeFrom="paragraph">
                  <wp:posOffset>5027930</wp:posOffset>
                </wp:positionV>
                <wp:extent cx="93345" cy="86995"/>
                <wp:effectExtent l="0" t="0" r="1905" b="8255"/>
                <wp:wrapNone/>
                <wp:docPr id="48" name="椭圆 48"/>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7.75pt;margin-top:395.9pt;height:6.85pt;width:7.35pt;z-index:251707392;v-text-anchor:middle;mso-width-relative:page;mso-height-relative:page;" fillcolor="#FF0000" filled="t" stroked="f" coordsize="21600,21600" o:gfxdata="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1FF2BtYAAAALAQAADwAAAAAAAAABACAAAAAiAAAAZHJzL2Rvd25y&#10;ZXYueG1sUEsBAhQAFAAAAAgAh07iQKayGb5yAgAA2wQAAA4AAAAAAAAAAQAgAAAAJQEAAGRycy9l&#10;Mm9Eb2MueG1sUEsFBgAAAAAGAAYAWQEAAAkGA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06368" behindDoc="0" locked="0" layoutInCell="1" allowOverlap="1">
                <wp:simplePos x="0" y="0"/>
                <wp:positionH relativeFrom="column">
                  <wp:posOffset>1529080</wp:posOffset>
                </wp:positionH>
                <wp:positionV relativeFrom="paragraph">
                  <wp:posOffset>4519295</wp:posOffset>
                </wp:positionV>
                <wp:extent cx="407035" cy="367665"/>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66D1CD">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0.4pt;margin-top:355.85pt;height:28.95pt;width:32.05pt;z-index:251706368;mso-width-relative:page;mso-height-relative:page;" filled="f" stroked="f" coordsize="21600,21600" o:gfxdata="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ssDhh3AAAAAsBAAAPAAAAAAAAAAEAIAAA&#10;ACIAAABkcnMvZG93bnJldi54bWxQSwECFAAUAAAACACHTuJAfOILpEECAAB1BAAADgAAAAAAAAAB&#10;ACAAAAArAQAAZHJzL2Uyb0RvYy54bWxQSwUGAAAAAAYABgBZAQAA3gUAAAAA&#10;">
                <v:fill on="f" focussize="0,0"/>
                <v:stroke on="f" weight="0.5pt"/>
                <v:imagedata o:title=""/>
                <o:lock v:ext="edit" aspectratio="f"/>
                <v:textbox>
                  <w:txbxContent>
                    <w:p w14:paraId="7466D1CD">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16</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05344" behindDoc="0" locked="0" layoutInCell="1" allowOverlap="1">
                <wp:simplePos x="0" y="0"/>
                <wp:positionH relativeFrom="column">
                  <wp:posOffset>1704975</wp:posOffset>
                </wp:positionH>
                <wp:positionV relativeFrom="paragraph">
                  <wp:posOffset>4615180</wp:posOffset>
                </wp:positionV>
                <wp:extent cx="93345" cy="86995"/>
                <wp:effectExtent l="0" t="0" r="1905" b="8255"/>
                <wp:wrapNone/>
                <wp:docPr id="46" name="椭圆 46"/>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4.25pt;margin-top:363.4pt;height:6.85pt;width:7.35pt;z-index:251705344;v-text-anchor:middle;mso-width-relative:page;mso-height-relative:page;" fillcolor="#FF0000" filled="t" stroked="f" coordsize="21600,21600" o:gfxdata="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0lstuNYAAAALAQAADwAAAAAAAAABACAAAAAiAAAAZHJzL2Rvd25y&#10;ZXYueG1sUEsBAhQAFAAAAAgAh07iQC+KwqFyAgAA2wQAAA4AAAAAAAAAAQAgAAAAJQEAAGRycy9l&#10;Mm9Eb2MueG1sUEsFBgAAAAAGAAYAWQEAAAkGA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04320" behindDoc="0" locked="0" layoutInCell="1" allowOverlap="1">
                <wp:simplePos x="0" y="0"/>
                <wp:positionH relativeFrom="column">
                  <wp:posOffset>1884680</wp:posOffset>
                </wp:positionH>
                <wp:positionV relativeFrom="paragraph">
                  <wp:posOffset>4215130</wp:posOffset>
                </wp:positionV>
                <wp:extent cx="407035" cy="367665"/>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1AA20E">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8.4pt;margin-top:331.9pt;height:28.95pt;width:32.05pt;z-index:251704320;mso-width-relative:page;mso-height-relative:page;" filled="f" stroked="f" coordsize="21600,21600" o:gfxdata="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NXRQPcAAAACwEAAA8AAAAAAAAAAQAg&#10;AAAAIgAAAGRycy9kb3ducmV2LnhtbFBLAQIUABQAAAAIAIdO4kBXBZPbQwIAAHUEAAAOAAAAAAAA&#10;AAEAIAAAACsBAABkcnMvZTJvRG9jLnhtbFBLBQYAAAAABgAGAFkBAADgBQAAAAA=&#10;">
                <v:fill on="f" focussize="0,0"/>
                <v:stroke on="f" weight="0.5pt"/>
                <v:imagedata o:title=""/>
                <o:lock v:ext="edit" aspectratio="f"/>
                <v:textbox>
                  <w:txbxContent>
                    <w:p w14:paraId="6A1AA20E">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15</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03296" behindDoc="0" locked="0" layoutInCell="1" allowOverlap="1">
                <wp:simplePos x="0" y="0"/>
                <wp:positionH relativeFrom="column">
                  <wp:posOffset>2003425</wp:posOffset>
                </wp:positionH>
                <wp:positionV relativeFrom="paragraph">
                  <wp:posOffset>4526280</wp:posOffset>
                </wp:positionV>
                <wp:extent cx="93345" cy="86995"/>
                <wp:effectExtent l="0" t="0" r="1905" b="8255"/>
                <wp:wrapNone/>
                <wp:docPr id="44" name="椭圆 44"/>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7.75pt;margin-top:356.4pt;height:6.85pt;width:7.35pt;z-index:251703296;v-text-anchor:middle;mso-width-relative:page;mso-height-relative:page;" fillcolor="#FF0000" filled="t" stroked="f" coordsize="21600,21600" o:gfxdata="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hEq0DXAAAACwEAAA8AAAAAAAAAAQAgAAAAIgAAAGRycy9kb3du&#10;cmV2LnhtbFBLAQIUABQAAAAIAIdO4kCs71ylcgIAANsEAAAOAAAAAAAAAAEAIAAAACYBAABkcnMv&#10;ZTJvRG9jLnhtbFBLBQYAAAAABgAGAFkBAAAKBg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02272" behindDoc="0" locked="0" layoutInCell="1" allowOverlap="1">
                <wp:simplePos x="0" y="0"/>
                <wp:positionH relativeFrom="column">
                  <wp:posOffset>2089150</wp:posOffset>
                </wp:positionH>
                <wp:positionV relativeFrom="paragraph">
                  <wp:posOffset>4606290</wp:posOffset>
                </wp:positionV>
                <wp:extent cx="407035" cy="367665"/>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BB7462">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4.5pt;margin-top:362.7pt;height:28.95pt;width:32.05pt;z-index:251702272;mso-width-relative:page;mso-height-relative:page;" filled="f" stroked="f" coordsize="21600,21600" o:gfxdata="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amvws3AAAAAsBAAAPAAAAAAAAAAEAIAAA&#10;ACIAAABkcnMvZG93bnJldi54bWxQSwECFAAUAAAACACHTuJAKiw6W0ECAAB1BAAADgAAAAAAAAAB&#10;ACAAAAArAQAAZHJzL2Uyb0RvYy54bWxQSwUGAAAAAAYABgBZAQAA3gUAAAAA&#10;">
                <v:fill on="f" focussize="0,0"/>
                <v:stroke on="f" weight="0.5pt"/>
                <v:imagedata o:title=""/>
                <o:lock v:ext="edit" aspectratio="f"/>
                <v:textbox>
                  <w:txbxContent>
                    <w:p w14:paraId="2EBB7462">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13</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01248" behindDoc="0" locked="0" layoutInCell="1" allowOverlap="1">
                <wp:simplePos x="0" y="0"/>
                <wp:positionH relativeFrom="column">
                  <wp:posOffset>2181860</wp:posOffset>
                </wp:positionH>
                <wp:positionV relativeFrom="paragraph">
                  <wp:posOffset>4666615</wp:posOffset>
                </wp:positionV>
                <wp:extent cx="93345" cy="86995"/>
                <wp:effectExtent l="0" t="0" r="1905" b="8255"/>
                <wp:wrapNone/>
                <wp:docPr id="42" name="椭圆 42"/>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1.8pt;margin-top:367.45pt;height:6.85pt;width:7.35pt;z-index:251701248;v-text-anchor:middle;mso-width-relative:page;mso-height-relative:page;" fillcolor="#FF0000" filled="t" stroked="f" coordsize="21600,21600" o:gfxdata="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yjBqS9kAAAALAQAADwAAAAAAAAABACAAAAAiAAAAZHJzL2Rv&#10;d25yZXYueG1sUEsBAhQAFAAAAAgAh07iQClB/qhyAgAA2wQAAA4AAAAAAAAAAQAgAAAAKAEAAGRy&#10;cy9lMm9Eb2MueG1sUEsFBgAAAAAGAAYAWQEAAAwGA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700224" behindDoc="0" locked="0" layoutInCell="1" allowOverlap="1">
                <wp:simplePos x="0" y="0"/>
                <wp:positionH relativeFrom="column">
                  <wp:posOffset>2172970</wp:posOffset>
                </wp:positionH>
                <wp:positionV relativeFrom="paragraph">
                  <wp:posOffset>4270375</wp:posOffset>
                </wp:positionV>
                <wp:extent cx="407035" cy="367665"/>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226293">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1pt;margin-top:336.25pt;height:28.95pt;width:32.05pt;z-index:251700224;mso-width-relative:page;mso-height-relative:page;" filled="f" stroked="f" coordsize="21600,21600" o:gfxdata="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7L2CLt0AAAALAQAADwAAAAAAAAABACAA&#10;AAAiAAAAZHJzL2Rvd25yZXYueG1sUEsBAhQAFAAAAAgAh07iQAHLoiRBAgAAdQQAAA4AAAAAAAAA&#10;AQAgAAAALAEAAGRycy9lMm9Eb2MueG1sUEsFBgAAAAAGAAYAWQEAAN8FAAAAAA==&#10;">
                <v:fill on="f" focussize="0,0"/>
                <v:stroke on="f" weight="0.5pt"/>
                <v:imagedata o:title=""/>
                <o:lock v:ext="edit" aspectratio="f"/>
                <v:textbox>
                  <w:txbxContent>
                    <w:p w14:paraId="1E226293">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14</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99200" behindDoc="0" locked="0" layoutInCell="1" allowOverlap="1">
                <wp:simplePos x="0" y="0"/>
                <wp:positionH relativeFrom="column">
                  <wp:posOffset>2186940</wp:posOffset>
                </wp:positionH>
                <wp:positionV relativeFrom="paragraph">
                  <wp:posOffset>4408170</wp:posOffset>
                </wp:positionV>
                <wp:extent cx="93345" cy="86995"/>
                <wp:effectExtent l="0" t="0" r="1905" b="8255"/>
                <wp:wrapNone/>
                <wp:docPr id="40" name="椭圆 40"/>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2.2pt;margin-top:347.1pt;height:6.85pt;width:7.35pt;z-index:251699200;v-text-anchor:middle;mso-width-relative:page;mso-height-relative:page;" fillcolor="#FF0000" filled="t" stroked="f" coordsize="21600,21600" o:gfxdata="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XLA4kdkAAAALAQAADwAAAAAAAAABACAAAAAiAAAAZHJzL2Rv&#10;d25yZXYueG1sUEsBAhQAFAAAAAgAh07iQKokYKxyAgAA2wQAAA4AAAAAAAAAAQAgAAAAKAEAAGRy&#10;cy9lMm9Eb2MueG1sUEsFBgAAAAAGAAYAWQEAAAwGA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98176" behindDoc="0" locked="0" layoutInCell="1" allowOverlap="1">
                <wp:simplePos x="0" y="0"/>
                <wp:positionH relativeFrom="column">
                  <wp:posOffset>2337435</wp:posOffset>
                </wp:positionH>
                <wp:positionV relativeFrom="paragraph">
                  <wp:posOffset>4909820</wp:posOffset>
                </wp:positionV>
                <wp:extent cx="407035" cy="367665"/>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0A420">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05pt;margin-top:386.6pt;height:28.95pt;width:32.05pt;z-index:251698176;mso-width-relative:page;mso-height-relative:page;" filled="f" stroked="f" coordsize="21600,21600" o:gfxdata="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Tm5B53AAAAAsBAAAPAAAAAAAAAAEAIAAA&#10;ACIAAABkcnMvZG93bnJldi54bWxQSwECFAAUAAAACACHTuJAt8ZdlEECAAB1BAAADgAAAAAAAAAB&#10;ACAAAAArAQAAZHJzL2Uyb0RvYy54bWxQSwUGAAAAAAYABgBZAQAA3gUAAAAA&#10;">
                <v:fill on="f" focussize="0,0"/>
                <v:stroke on="f" weight="0.5pt"/>
                <v:imagedata o:title=""/>
                <o:lock v:ext="edit" aspectratio="f"/>
                <v:textbox>
                  <w:txbxContent>
                    <w:p w14:paraId="6F80A420">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12</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97152" behindDoc="0" locked="0" layoutInCell="1" allowOverlap="1">
                <wp:simplePos x="0" y="0"/>
                <wp:positionH relativeFrom="column">
                  <wp:posOffset>2455545</wp:posOffset>
                </wp:positionH>
                <wp:positionV relativeFrom="paragraph">
                  <wp:posOffset>4968875</wp:posOffset>
                </wp:positionV>
                <wp:extent cx="93345" cy="86995"/>
                <wp:effectExtent l="0" t="0" r="1905" b="8255"/>
                <wp:wrapNone/>
                <wp:docPr id="96" name="椭圆 96"/>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93.35pt;margin-top:391.25pt;height:6.85pt;width:7.35pt;z-index:251697152;v-text-anchor:middle;mso-width-relative:page;mso-height-relative:page;" fillcolor="#FF0000" filled="t" stroked="f" coordsize="21600,21600" o:gfxdata="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bOtR02AAAAAsBAAAPAAAAAAAAAAEAIAAAACIAAABkcnMvZG93&#10;bnJldi54bWxQSwECFAAUAAAACACHTuJAMwPuln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96128" behindDoc="0" locked="0" layoutInCell="1" allowOverlap="1">
                <wp:simplePos x="0" y="0"/>
                <wp:positionH relativeFrom="column">
                  <wp:posOffset>2889885</wp:posOffset>
                </wp:positionH>
                <wp:positionV relativeFrom="paragraph">
                  <wp:posOffset>4813300</wp:posOffset>
                </wp:positionV>
                <wp:extent cx="407035" cy="367665"/>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AD284A">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5pt;margin-top:379pt;height:28.95pt;width:32.05pt;z-index:251696128;mso-width-relative:page;mso-height-relative:page;" filled="f" stroked="f" coordsize="21600,21600" o:gfxdata="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SqnqzbAAAACwEAAA8AAAAAAAAAAQAgAAAA&#10;IgAAAGRycy9kb3ducmV2LnhtbFBLAQIUABQAAAAIAIdO4kAndeYxQQIAAHUEAAAOAAAAAAAAAAEA&#10;IAAAACoBAABkcnMvZTJvRG9jLnhtbFBLBQYAAAAABgAGAFkBAADdBQAAAAA=&#10;">
                <v:fill on="f" focussize="0,0"/>
                <v:stroke on="f" weight="0.5pt"/>
                <v:imagedata o:title=""/>
                <o:lock v:ext="edit" aspectratio="f"/>
                <v:textbox>
                  <w:txbxContent>
                    <w:p w14:paraId="3FAD284A">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10</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95104" behindDoc="0" locked="0" layoutInCell="1" allowOverlap="1">
                <wp:simplePos x="0" y="0"/>
                <wp:positionH relativeFrom="column">
                  <wp:posOffset>2915920</wp:posOffset>
                </wp:positionH>
                <wp:positionV relativeFrom="paragraph">
                  <wp:posOffset>4884420</wp:posOffset>
                </wp:positionV>
                <wp:extent cx="93345" cy="86995"/>
                <wp:effectExtent l="0" t="0" r="1905" b="8255"/>
                <wp:wrapNone/>
                <wp:docPr id="36" name="椭圆 36"/>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9.6pt;margin-top:384.6pt;height:6.85pt;width:7.35pt;z-index:251695104;v-text-anchor:middle;mso-width-relative:page;mso-height-relative:page;" fillcolor="#FF0000" filled="t" stroked="f" coordsize="21600,21600" o:gfxdata="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66SbWdgAAAALAQAADwAAAAAAAAABACAAAAAiAAAAZHJzL2Rv&#10;d25yZXYueG1sUEsBAhQAFAAAAAgAh07iQHF6/+tzAgAA2wQAAA4AAAAAAAAAAQAgAAAAJwEAAGRy&#10;cy9lMm9Eb2MueG1sUEsFBgAAAAAGAAYAWQEAAAwGA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93056" behindDoc="0" locked="0" layoutInCell="1" allowOverlap="1">
                <wp:simplePos x="0" y="0"/>
                <wp:positionH relativeFrom="column">
                  <wp:posOffset>2988310</wp:posOffset>
                </wp:positionH>
                <wp:positionV relativeFrom="paragraph">
                  <wp:posOffset>4582160</wp:posOffset>
                </wp:positionV>
                <wp:extent cx="93345" cy="86995"/>
                <wp:effectExtent l="0" t="0" r="1905" b="8255"/>
                <wp:wrapNone/>
                <wp:docPr id="34" name="椭圆 34"/>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5.3pt;margin-top:360.8pt;height:6.85pt;width:7.35pt;z-index:251693056;v-text-anchor:middle;mso-width-relative:page;mso-height-relative:page;" fillcolor="#FF0000" filled="t" stroked="f" coordsize="21600,21600" o:gfxdata="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djtd62AAAAAsBAAAPAAAAAAAAAAEAIAAAACIAAABkcnMvZG93&#10;bnJldi54bWxQSwECFAAUAAAACACHTuJA8h9h73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92032" behindDoc="0" locked="0" layoutInCell="1" allowOverlap="1">
                <wp:simplePos x="0" y="0"/>
                <wp:positionH relativeFrom="column">
                  <wp:posOffset>2599055</wp:posOffset>
                </wp:positionH>
                <wp:positionV relativeFrom="paragraph">
                  <wp:posOffset>3978910</wp:posOffset>
                </wp:positionV>
                <wp:extent cx="407035" cy="36766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5BBDC4">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65pt;margin-top:313.3pt;height:28.95pt;width:32.05pt;z-index:251692032;mso-width-relative:page;mso-height-relative:page;" filled="f" stroked="f" coordsize="21600,21600" o:gfxdata="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cmsMA3AAAAAsBAAAPAAAAAAAAAAEAIAAA&#10;ACIAAABkcnMvZG93bnJldi54bWxQSwECFAAUAAAACACHTuJAcbvXzkECAAB1BAAADgAAAAAAAAAB&#10;ACAAAAArAQAAZHJzL2Uyb0RvYy54bWxQSwUGAAAAAAYABgBZAQAA3gUAAAAA&#10;">
                <v:fill on="f" focussize="0,0"/>
                <v:stroke on="f" weight="0.5pt"/>
                <v:imagedata o:title=""/>
                <o:lock v:ext="edit" aspectratio="f"/>
                <v:textbox>
                  <w:txbxContent>
                    <w:p w14:paraId="735BBDC4">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9</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91008" behindDoc="0" locked="0" layoutInCell="1" allowOverlap="1">
                <wp:simplePos x="0" y="0"/>
                <wp:positionH relativeFrom="column">
                  <wp:posOffset>2725420</wp:posOffset>
                </wp:positionH>
                <wp:positionV relativeFrom="paragraph">
                  <wp:posOffset>4111625</wp:posOffset>
                </wp:positionV>
                <wp:extent cx="93345" cy="86995"/>
                <wp:effectExtent l="0" t="0" r="1905" b="8255"/>
                <wp:wrapNone/>
                <wp:docPr id="32" name="椭圆 32"/>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4.6pt;margin-top:323.75pt;height:6.85pt;width:7.35pt;z-index:251691008;v-text-anchor:middle;mso-width-relative:page;mso-height-relative:page;" fillcolor="#FF0000" filled="t" stroked="f" coordsize="21600,21600" o:gfxdata="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jr0NG2AAAAAsBAAAPAAAAAAAAAAEAIAAAACIAAABkcnMvZG93&#10;bnJldi54bWxQSwECFAAUAAAACACHTuJAd7HD4n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89984" behindDoc="0" locked="0" layoutInCell="1" allowOverlap="1">
                <wp:simplePos x="0" y="0"/>
                <wp:positionH relativeFrom="column">
                  <wp:posOffset>3013075</wp:posOffset>
                </wp:positionH>
                <wp:positionV relativeFrom="paragraph">
                  <wp:posOffset>3850005</wp:posOffset>
                </wp:positionV>
                <wp:extent cx="407035" cy="367665"/>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6DF29F">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25pt;margin-top:303.15pt;height:28.95pt;width:32.05pt;z-index:251689984;mso-width-relative:page;mso-height-relative:page;" filled="f" stroked="f" coordsize="21600,21600" o:gfxdata="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11U+c3AAAAAsBAAAPAAAAAAAAAAEAIAAA&#10;ACIAAABkcnMvZG93bnJldi54bWxQSwECFAAUAAAACACHTuJAWlxPsUECAAB1BAAADgAAAAAAAAAB&#10;ACAAAAArAQAAZHJzL2Uyb0RvYy54bWxQSwUGAAAAAAYABgBZAQAA3gUAAAAA&#10;">
                <v:fill on="f" focussize="0,0"/>
                <v:stroke on="f" weight="0.5pt"/>
                <v:imagedata o:title=""/>
                <o:lock v:ext="edit" aspectratio="f"/>
                <v:textbox>
                  <w:txbxContent>
                    <w:p w14:paraId="226DF29F">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8</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88960" behindDoc="0" locked="0" layoutInCell="1" allowOverlap="1">
                <wp:simplePos x="0" y="0"/>
                <wp:positionH relativeFrom="column">
                  <wp:posOffset>3049905</wp:posOffset>
                </wp:positionH>
                <wp:positionV relativeFrom="paragraph">
                  <wp:posOffset>3954780</wp:posOffset>
                </wp:positionV>
                <wp:extent cx="93345" cy="86995"/>
                <wp:effectExtent l="0" t="0" r="1905" b="8255"/>
                <wp:wrapNone/>
                <wp:docPr id="30" name="椭圆 30"/>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0.15pt;margin-top:311.4pt;height:6.85pt;width:7.35pt;z-index:251688960;v-text-anchor:middle;mso-width-relative:page;mso-height-relative:page;" fillcolor="#FF0000" filled="t" stroked="f" coordsize="21600,21600" o:gfxdata="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N4ciTbXAAAACwEAAA8AAAAAAAAAAQAgAAAAIgAAAGRycy9kb3du&#10;cmV2LnhtbFBLAQIUABQAAAAIAIdO4kD01F3mcgIAANsEAAAOAAAAAAAAAAEAIAAAACYBAABkcnMv&#10;ZTJvRG9jLnhtbFBLBQYAAAAABgAGAFkBAAAKBg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87936" behindDoc="0" locked="0" layoutInCell="1" allowOverlap="1">
                <wp:simplePos x="0" y="0"/>
                <wp:positionH relativeFrom="column">
                  <wp:posOffset>2811145</wp:posOffset>
                </wp:positionH>
                <wp:positionV relativeFrom="paragraph">
                  <wp:posOffset>3603625</wp:posOffset>
                </wp:positionV>
                <wp:extent cx="407035" cy="36766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064E30">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1.35pt;margin-top:283.75pt;height:28.95pt;width:32.05pt;z-index:251687936;mso-width-relative:page;mso-height-relative:page;" filled="f" stroked="f" coordsize="21600,21600" o:gfxdata="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eBJV/3AAAAAsBAAAPAAAAAAAAAAEAIAAA&#10;ACIAAABkcnMvZG93bnJldi54bWxQSwECFAAUAAAACACHTuJARPWEL0ECAAB1BAAADgAAAAAAAAAB&#10;ACAAAAArAQAAZHJzL2Uyb0RvYy54bWxQSwUGAAAAAAYABgBZAQAA3gUAAAAA&#10;">
                <v:fill on="f" focussize="0,0"/>
                <v:stroke on="f" weight="0.5pt"/>
                <v:imagedata o:title=""/>
                <o:lock v:ext="edit" aspectratio="f"/>
                <v:textbox>
                  <w:txbxContent>
                    <w:p w14:paraId="42064E30">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7</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86912" behindDoc="0" locked="0" layoutInCell="1" allowOverlap="1">
                <wp:simplePos x="0" y="0"/>
                <wp:positionH relativeFrom="column">
                  <wp:posOffset>2809240</wp:posOffset>
                </wp:positionH>
                <wp:positionV relativeFrom="paragraph">
                  <wp:posOffset>3786505</wp:posOffset>
                </wp:positionV>
                <wp:extent cx="93345" cy="86995"/>
                <wp:effectExtent l="0" t="0" r="1905" b="8255"/>
                <wp:wrapNone/>
                <wp:docPr id="28" name="椭圆 28"/>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1.2pt;margin-top:298.15pt;height:6.85pt;width:7.35pt;z-index:251686912;v-text-anchor:middle;mso-width-relative:page;mso-height-relative:page;" fillcolor="#FF0000" filled="t" stroked="f" coordsize="21600,21600" o:gfxdata="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2Rebt2AAAAAsBAAAPAAAAAAAAAAEAIAAAACIAAABkcnMvZG93&#10;bnJldi54bWxQSwECFAAUAAAACACHTuJAp2fGI3ICAADbBAAADgAAAAAAAAABACAAAAAnAQAAZHJz&#10;L2Uyb0RvYy54bWxQSwUGAAAAAAYABgBZAQAAC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82816" behindDoc="0" locked="0" layoutInCell="1" allowOverlap="1">
                <wp:simplePos x="0" y="0"/>
                <wp:positionH relativeFrom="column">
                  <wp:posOffset>3470275</wp:posOffset>
                </wp:positionH>
                <wp:positionV relativeFrom="paragraph">
                  <wp:posOffset>3058160</wp:posOffset>
                </wp:positionV>
                <wp:extent cx="407035" cy="36766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CDCD0D">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3.25pt;margin-top:240.8pt;height:28.95pt;width:32.05pt;z-index:251682816;mso-width-relative:page;mso-height-relative:page;" filled="f" stroked="f" coordsize="21600,21600" o:gfxdata="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Cje5u3AAAAAsBAAAPAAAAAAAAAAEAIAAA&#10;ACIAAABkcnMvZG93bnJldi54bWxQSwECFAAUAAAACACHTuJASlHTJ0ECAAB1BAAADgAAAAAAAAAB&#10;ACAAAAArAQAAZHJzL2Uyb0RvYy54bWxQSwUGAAAAAAYABgBZAQAA3gUAAAAA&#10;">
                <v:fill on="f" focussize="0,0"/>
                <v:stroke on="f" weight="0.5pt"/>
                <v:imagedata o:title=""/>
                <o:lock v:ext="edit" aspectratio="f"/>
                <v:textbox>
                  <w:txbxContent>
                    <w:p w14:paraId="1FCDCD0D">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5</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84864" behindDoc="0" locked="0" layoutInCell="1" allowOverlap="1">
                <wp:simplePos x="0" y="0"/>
                <wp:positionH relativeFrom="column">
                  <wp:posOffset>3977640</wp:posOffset>
                </wp:positionH>
                <wp:positionV relativeFrom="paragraph">
                  <wp:posOffset>3375025</wp:posOffset>
                </wp:positionV>
                <wp:extent cx="93345" cy="86995"/>
                <wp:effectExtent l="0" t="0" r="1905" b="8255"/>
                <wp:wrapNone/>
                <wp:docPr id="26" name="椭圆 26"/>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3.2pt;margin-top:265.75pt;height:6.85pt;width:7.35pt;z-index:251684864;v-text-anchor:middle;mso-width-relative:page;mso-height-relative:page;" fillcolor="#FF0000" filled="t" stroked="f" coordsize="21600,21600" o:gfxdata="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EGB7qbXAAAACwEAAA8AAAAAAAAAAQAgAAAAIgAAAGRycy9kb3du&#10;cmV2LnhtbFBLAQIUABQAAAAIAIdO4kAuXx08cgIAANsEAAAOAAAAAAAAAAEAIAAAACYBAABkcnMv&#10;ZTJvRG9jLnhtbFBLBQYAAAAABgAGAFkBAAAKBg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83840" behindDoc="0" locked="0" layoutInCell="1" allowOverlap="1">
                <wp:simplePos x="0" y="0"/>
                <wp:positionH relativeFrom="column">
                  <wp:posOffset>3897630</wp:posOffset>
                </wp:positionH>
                <wp:positionV relativeFrom="paragraph">
                  <wp:posOffset>3344545</wp:posOffset>
                </wp:positionV>
                <wp:extent cx="407035" cy="36766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E68F61">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6.9pt;margin-top:263.35pt;height:28.95pt;width:32.05pt;z-index:251683840;mso-width-relative:page;mso-height-relative:page;" filled="f" stroked="f" coordsize="21600,21600" o:gfxdata="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TNkW/cAAAACwEAAA8AAAAAAAAAAQAg&#10;AAAAIgAAAGRycy9kb3ducmV2LnhtbFBLAQIUABQAAAAIAIdO4kD/oaf1QwIAAHUEAAAOAAAAAAAA&#10;AAEAIAAAACsBAABkcnMvZTJvRG9jLnhtbFBLBQYAAAAABgAGAFkBAADgBQAAAAA=&#10;">
                <v:fill on="f" focussize="0,0"/>
                <v:stroke on="f" weight="0.5pt"/>
                <v:imagedata o:title=""/>
                <o:lock v:ext="edit" aspectratio="f"/>
                <v:textbox>
                  <w:txbxContent>
                    <w:p w14:paraId="1DE68F61">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6</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81792" behindDoc="0" locked="0" layoutInCell="1" allowOverlap="1">
                <wp:simplePos x="0" y="0"/>
                <wp:positionH relativeFrom="column">
                  <wp:posOffset>3440430</wp:posOffset>
                </wp:positionH>
                <wp:positionV relativeFrom="paragraph">
                  <wp:posOffset>2582545</wp:posOffset>
                </wp:positionV>
                <wp:extent cx="407035" cy="36766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B31E2B">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9pt;margin-top:203.35pt;height:28.95pt;width:32.05pt;z-index:251681792;mso-width-relative:page;mso-height-relative:page;" filled="f" stroked="f" coordsize="21600,21600" o:gfxdata="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jBRC53AAAAAsBAAAPAAAAAAAAAAEAIAAA&#10;ACIAAABkcnMvZG93bnJldi54bWxQSwECFAAUAAAACACHTuJAgogOdUECAAB1BAAADgAAAAAAAAAB&#10;ACAAAAArAQAAZHJzL2Uyb0RvYy54bWxQSwUGAAAAAAYABgBZAQAA3gUAAAAA&#10;">
                <v:fill on="f" focussize="0,0"/>
                <v:stroke on="f" weight="0.5pt"/>
                <v:imagedata o:title=""/>
                <o:lock v:ext="edit" aspectratio="f"/>
                <v:textbox>
                  <w:txbxContent>
                    <w:p w14:paraId="12B31E2B">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4</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80768" behindDoc="0" locked="0" layoutInCell="1" allowOverlap="1">
                <wp:simplePos x="0" y="0"/>
                <wp:positionH relativeFrom="column">
                  <wp:posOffset>3180080</wp:posOffset>
                </wp:positionH>
                <wp:positionV relativeFrom="paragraph">
                  <wp:posOffset>2741295</wp:posOffset>
                </wp:positionV>
                <wp:extent cx="407035" cy="367665"/>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EC9A11">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0.4pt;margin-top:215.85pt;height:28.95pt;width:32.05pt;z-index:251680768;mso-width-relative:page;mso-height-relative:page;" filled="f" stroked="f" coordsize="21600,21600" o:gfxdata="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b/J5/3AAAAAsBAAAPAAAAAAAAAAEAIAAA&#10;ACIAAABkcnMvZG93bnJldi54bWxQSwECFAAUAAAACACHTuJAN3h6p0ECAAB1BAAADgAAAAAAAAAB&#10;ACAAAAArAQAAZHJzL2Uyb0RvYy54bWxQSwUGAAAAAAYABgBZAQAA3gUAAAAA&#10;">
                <v:fill on="f" focussize="0,0"/>
                <v:stroke on="f" weight="0.5pt"/>
                <v:imagedata o:title=""/>
                <o:lock v:ext="edit" aspectratio="f"/>
                <v:textbox>
                  <w:txbxContent>
                    <w:p w14:paraId="4FEC9A11">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3</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78720" behindDoc="0" locked="0" layoutInCell="1" allowOverlap="1">
                <wp:simplePos x="0" y="0"/>
                <wp:positionH relativeFrom="column">
                  <wp:posOffset>2976880</wp:posOffset>
                </wp:positionH>
                <wp:positionV relativeFrom="paragraph">
                  <wp:posOffset>3027045</wp:posOffset>
                </wp:positionV>
                <wp:extent cx="407035" cy="36766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40703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9C7A51">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4pt;margin-top:238.35pt;height:28.95pt;width:32.05pt;z-index:251678720;mso-width-relative:page;mso-height-relative:page;" filled="f" stroked="f" coordsize="21600,21600" o:gfxdata="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qbVLU3AAAAAsBAAAPAAAAAAAAAAEAIAAA&#10;ACIAAABkcnMvZG93bnJldi54bWxQSwECFAAUAAAACACHTuJAHJ/i2EECAAB1BAAADgAAAAAAAAAB&#10;ACAAAAArAQAAZHJzL2Uyb0RvYy54bWxQSwUGAAAAAAYABgBZAQAA3gUAAAAA&#10;">
                <v:fill on="f" focussize="0,0"/>
                <v:stroke on="f" weight="0.5pt"/>
                <v:imagedata o:title=""/>
                <o:lock v:ext="edit" aspectratio="f"/>
                <v:textbox>
                  <w:txbxContent>
                    <w:p w14:paraId="7E9C7A51">
                      <w:pPr>
                        <w:keepNext w:val="0"/>
                        <w:keepLines w:val="0"/>
                        <w:pageBreakBefore w:val="0"/>
                        <w:widowControl w:val="0"/>
                        <w:kinsoku/>
                        <w:wordWrap/>
                        <w:overflowPunct/>
                        <w:topLinePunct w:val="0"/>
                        <w:bidi w:val="0"/>
                        <w:adjustRightInd/>
                        <w:snapToGrid/>
                        <w:spacing w:line="460" w:lineRule="exact"/>
                        <w:ind w:firstLine="0" w:firstLineChars="0"/>
                        <w:textAlignment w:val="auto"/>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2</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79744" behindDoc="0" locked="0" layoutInCell="1" allowOverlap="1">
                <wp:simplePos x="0" y="0"/>
                <wp:positionH relativeFrom="column">
                  <wp:posOffset>3472180</wp:posOffset>
                </wp:positionH>
                <wp:positionV relativeFrom="paragraph">
                  <wp:posOffset>3216910</wp:posOffset>
                </wp:positionV>
                <wp:extent cx="93345" cy="86995"/>
                <wp:effectExtent l="0" t="0" r="1905" b="8255"/>
                <wp:wrapNone/>
                <wp:docPr id="21" name="椭圆 21"/>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3.4pt;margin-top:253.3pt;height:6.85pt;width:7.35pt;z-index:251679744;v-text-anchor:middle;mso-width-relative:page;mso-height-relative:page;" fillcolor="#FF0000" filled="t" stroked="f" coordsize="21600,21600" o:gfxdata="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uk4/XXAAAACwEAAA8AAAAAAAAAAQAgAAAAIgAAAGRycy9kb3du&#10;cmV2LnhtbFBLAQIUABQAAAAIAIdO4kBKQEjecgIAANsEAAAOAAAAAAAAAAEAIAAAACYBAABkcnMv&#10;ZTJvRG9jLnhtbFBLBQYAAAAABgAGAFkBAAAKBg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76672" behindDoc="0" locked="0" layoutInCell="1" allowOverlap="1">
                <wp:simplePos x="0" y="0"/>
                <wp:positionH relativeFrom="column">
                  <wp:posOffset>3611880</wp:posOffset>
                </wp:positionH>
                <wp:positionV relativeFrom="paragraph">
                  <wp:posOffset>2778760</wp:posOffset>
                </wp:positionV>
                <wp:extent cx="93345" cy="86995"/>
                <wp:effectExtent l="0" t="0" r="1905" b="8255"/>
                <wp:wrapNone/>
                <wp:docPr id="18" name="椭圆 18"/>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4.4pt;margin-top:218.8pt;height:6.85pt;width:7.35pt;z-index:251676672;v-text-anchor:middle;mso-width-relative:page;mso-height-relative:page;" fillcolor="#FF0000" filled="t" stroked="f" coordsize="21600,21600" o:gfxdata="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D9bCULYAAAACwEAAA8AAAAAAAAAAQAgAAAAIgAAAGRycy9kb3du&#10;cmV2LnhtbFBLAQIUABQAAAAIAIdO4kAHDpGAcQIAANsEAAAOAAAAAAAAAAEAIAAAACcBAABkcnMv&#10;ZTJvRG9jLnhtbFBLBQYAAAAABgAGAFkBAAAKBg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75648" behindDoc="0" locked="0" layoutInCell="1" allowOverlap="1">
                <wp:simplePos x="0" y="0"/>
                <wp:positionH relativeFrom="column">
                  <wp:posOffset>3319780</wp:posOffset>
                </wp:positionH>
                <wp:positionV relativeFrom="paragraph">
                  <wp:posOffset>2842260</wp:posOffset>
                </wp:positionV>
                <wp:extent cx="93345" cy="86995"/>
                <wp:effectExtent l="0" t="0" r="1905" b="8255"/>
                <wp:wrapNone/>
                <wp:docPr id="17" name="椭圆 17"/>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61.4pt;margin-top:223.8pt;height:6.85pt;width:7.35pt;z-index:251675648;v-text-anchor:middle;mso-width-relative:page;mso-height-relative:page;" fillcolor="#FF0000" filled="t" stroked="f" coordsize="21600,21600" o:gfxdata="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GkZ/+dkAAAALAQAADwAAAAAAAAABACAAAAAiAAAAZHJzL2Rv&#10;d25yZXYueG1sUEsBAhQAFAAAAAgAh07iQG+HvXByAgAA2wQAAA4AAAAAAAAAAQAgAAAAKAEAAGRy&#10;cy9lMm9Eb2MueG1sUEsFBgAAAAAGAAYAWQEAAAwGA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74624" behindDoc="0" locked="0" layoutInCell="1" allowOverlap="1">
                <wp:simplePos x="0" y="0"/>
                <wp:positionH relativeFrom="column">
                  <wp:posOffset>2976880</wp:posOffset>
                </wp:positionH>
                <wp:positionV relativeFrom="paragraph">
                  <wp:posOffset>3159760</wp:posOffset>
                </wp:positionV>
                <wp:extent cx="93345" cy="86995"/>
                <wp:effectExtent l="0" t="0" r="1905" b="8255"/>
                <wp:wrapNone/>
                <wp:docPr id="16" name="椭圆 16"/>
                <wp:cNvGraphicFramePr/>
                <a:graphic xmlns:a="http://schemas.openxmlformats.org/drawingml/2006/main">
                  <a:graphicData uri="http://schemas.microsoft.com/office/word/2010/wordprocessingShape">
                    <wps:wsp>
                      <wps:cNvSpPr/>
                      <wps:spPr>
                        <a:xfrm>
                          <a:off x="0" y="0"/>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4.4pt;margin-top:248.8pt;height:6.85pt;width:7.35pt;z-index:251674624;v-text-anchor:middle;mso-width-relative:page;mso-height-relative:page;" fillcolor="#FF0000" filled="t" stroked="f" coordsize="21600,21600" o:gfxdata="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X7yuQtkAAAALAQAADwAAAAAAAAABACAAAAAiAAAAZHJzL2Rv&#10;d25yZXYueG1sUEsBAhQAFAAAAAgAh07iQI42Sp9yAgAA2wQAAA4AAAAAAAAAAQAgAAAAKAEAAGRy&#10;cy9lMm9Eb2MueG1sUEsFBgAAAAAGAAYAWQEAAAwGA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73600" behindDoc="0" locked="0" layoutInCell="1" allowOverlap="1">
                <wp:simplePos x="0" y="0"/>
                <wp:positionH relativeFrom="column">
                  <wp:posOffset>2811780</wp:posOffset>
                </wp:positionH>
                <wp:positionV relativeFrom="paragraph">
                  <wp:posOffset>3432810</wp:posOffset>
                </wp:positionV>
                <wp:extent cx="93345" cy="86995"/>
                <wp:effectExtent l="0" t="0" r="1905" b="8255"/>
                <wp:wrapNone/>
                <wp:docPr id="15" name="椭圆 15"/>
                <wp:cNvGraphicFramePr/>
                <a:graphic xmlns:a="http://schemas.openxmlformats.org/drawingml/2006/main">
                  <a:graphicData uri="http://schemas.microsoft.com/office/word/2010/wordprocessingShape">
                    <wps:wsp>
                      <wps:cNvSpPr/>
                      <wps:spPr>
                        <a:xfrm>
                          <a:off x="5618480" y="5945505"/>
                          <a:ext cx="93345" cy="86995"/>
                        </a:xfrm>
                        <a:prstGeom prst="ellipse">
                          <a:avLst/>
                        </a:prstGeom>
                        <a:solidFill>
                          <a:srgbClr val="FF0000"/>
                        </a:solid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1.4pt;margin-top:270.3pt;height:6.85pt;width:7.35pt;z-index:251673600;v-text-anchor:middle;mso-width-relative:page;mso-height-relative:page;" fillcolor="#FF0000" filled="t" stroked="f" coordsize="21600,21600" o:gfxdata="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3+IaC2AAAAAsBAAAPAAAAAAAAAAEAIAAA&#10;ACIAAABkcnMvZG93bnJldi54bWxQSwECFAAUAAAACACHTuJAARyo/34CAADnBAAADgAAAAAAAAAB&#10;ACAAAAAnAQAAZHJzL2Uyb0RvYy54bWxQSwUGAAAAAAYABgBZAQAAFwYAAAAA&#10;">
                <v:fill on="t" focussize="0,0"/>
                <v:stroke on="f" weight="1pt" miterlimit="8" joinstyle="miter"/>
                <v:imagedata o:title=""/>
                <o:lock v:ext="edit" aspectratio="f"/>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72576" behindDoc="0" locked="0" layoutInCell="1" allowOverlap="1">
                <wp:simplePos x="0" y="0"/>
                <wp:positionH relativeFrom="column">
                  <wp:posOffset>520065</wp:posOffset>
                </wp:positionH>
                <wp:positionV relativeFrom="paragraph">
                  <wp:posOffset>2430145</wp:posOffset>
                </wp:positionV>
                <wp:extent cx="958850" cy="36766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958850"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DD7984">
                            <w:pPr>
                              <w:spacing w:line="460" w:lineRule="exact"/>
                              <w:ind w:firstLine="420" w:firstLineChars="200"/>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5km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5pt;margin-top:191.35pt;height:28.95pt;width:75.5pt;z-index:251672576;mso-width-relative:page;mso-height-relative:page;" filled="f" stroked="f" coordsize="21600,21600" o:gfxdata="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mA+YtsAAAAKAQAADwAAAAAAAAABACAAAAAi&#10;AAAAZHJzL2Rvd25yZXYueG1sUEsBAhQAFAAAAAgAh07iQIU9aFRAAgAAdQQAAA4AAAAAAAAAAQAg&#10;AAAAKgEAAGRycy9lMm9Eb2MueG1sUEsFBgAAAAAGAAYAWQEAANwFAAAAAA==&#10;">
                <v:fill on="f" focussize="0,0"/>
                <v:stroke on="f" weight="0.5pt"/>
                <v:imagedata o:title=""/>
                <o:lock v:ext="edit" aspectratio="f"/>
                <v:textbox>
                  <w:txbxContent>
                    <w:p w14:paraId="59DD7984">
                      <w:pPr>
                        <w:spacing w:line="460" w:lineRule="exact"/>
                        <w:ind w:firstLine="420" w:firstLineChars="200"/>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5km</w:t>
                      </w:r>
                    </w:p>
                  </w:txbxContent>
                </v:textbox>
              </v:shape>
            </w:pict>
          </mc:Fallback>
        </mc:AlternateContent>
      </w:r>
      <w:r>
        <w:rPr>
          <w:rFonts w:ascii="Times New Roman" w:hAnsi="Times New Roman" w:eastAsia="宋体" w:cs="Times New Roman"/>
          <w:color w:val="000000"/>
          <w:sz w:val="24"/>
          <w:u w:val="none" w:color="auto"/>
        </w:rPr>
        <mc:AlternateContent>
          <mc:Choice Requires="wps">
            <w:drawing>
              <wp:anchor distT="0" distB="0" distL="114300" distR="114300" simplePos="0" relativeHeight="251670528" behindDoc="0" locked="0" layoutInCell="1" allowOverlap="1">
                <wp:simplePos x="0" y="0"/>
                <wp:positionH relativeFrom="column">
                  <wp:posOffset>2507615</wp:posOffset>
                </wp:positionH>
                <wp:positionV relativeFrom="paragraph">
                  <wp:posOffset>1033145</wp:posOffset>
                </wp:positionV>
                <wp:extent cx="958850" cy="36766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958850"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206693">
                            <w:pPr>
                              <w:spacing w:line="460" w:lineRule="exact"/>
                              <w:ind w:firstLine="420" w:firstLineChars="200"/>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5km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45pt;margin-top:81.35pt;height:28.95pt;width:75.5pt;z-index:251670528;mso-width-relative:page;mso-height-relative:page;" filled="f" stroked="f" coordsize="21600,21600" o:gfxdata="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MHzzLdwAAAALAQAADwAAAAAAAAABACAAAAAi&#10;AAAAZHJzL2Rvd25yZXYueG1sUEsBAhQAFAAAAAgAh07iQK7a8Cs/AgAAdQQAAA4AAAAAAAAAAQAg&#10;AAAAKwEAAGRycy9lMm9Eb2MueG1sUEsFBgAAAAAGAAYAWQEAANwFAAAAAA==&#10;">
                <v:fill on="f" focussize="0,0"/>
                <v:stroke on="f" weight="0.5pt"/>
                <v:imagedata o:title=""/>
                <o:lock v:ext="edit" aspectratio="f"/>
                <v:textbox>
                  <w:txbxContent>
                    <w:p w14:paraId="42206693">
                      <w:pPr>
                        <w:spacing w:line="460" w:lineRule="exact"/>
                        <w:ind w:firstLine="420" w:firstLineChars="200"/>
                        <w:rPr>
                          <w:rFonts w:hint="default" w:ascii="Times New Roman" w:hAnsi="Times New Roman" w:eastAsia="宋体" w:cs="Times New Roman"/>
                          <w:color w:val="FFFF00"/>
                          <w:sz w:val="21"/>
                          <w:szCs w:val="21"/>
                          <w:lang w:val="en-US" w:eastAsia="zh-CN"/>
                        </w:rPr>
                      </w:pPr>
                      <w:r>
                        <w:rPr>
                          <w:rFonts w:hint="eastAsia" w:ascii="Times New Roman" w:hAnsi="Times New Roman" w:eastAsia="宋体" w:cs="Times New Roman"/>
                          <w:color w:val="FFFF00"/>
                          <w:sz w:val="21"/>
                          <w:szCs w:val="21"/>
                          <w:lang w:val="en-US" w:eastAsia="zh-CN"/>
                        </w:rPr>
                        <w:t>5km</w:t>
                      </w:r>
                    </w:p>
                  </w:txbxContent>
                </v:textbox>
              </v:shape>
            </w:pict>
          </mc:Fallback>
        </mc:AlternateContent>
      </w:r>
    </w:p>
    <w:p w14:paraId="50A6BBA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黑体" w:cs="Times New Roman"/>
          <w:b w:val="0"/>
          <w:bCs w:val="0"/>
          <w:color w:val="000000"/>
          <w:sz w:val="24"/>
          <w:u w:val="none" w:color="auto"/>
          <w:lang w:val="en-US" w:eastAsia="zh-CN"/>
        </w:rPr>
      </w:pPr>
      <w:r>
        <w:rPr>
          <w:rFonts w:hint="default" w:ascii="Times New Roman" w:hAnsi="Times New Roman" w:eastAsia="黑体" w:cs="Times New Roman"/>
          <w:b w:val="0"/>
          <w:bCs w:val="0"/>
          <w:color w:val="000000"/>
          <w:sz w:val="24"/>
          <w:u w:val="none" w:color="auto"/>
          <w:lang w:val="en-US" w:eastAsia="zh-CN"/>
        </w:rPr>
        <w:t>图</w:t>
      </w:r>
      <w:r>
        <w:rPr>
          <w:rFonts w:hint="eastAsia" w:ascii="Times New Roman" w:hAnsi="Times New Roman" w:eastAsia="黑体" w:cs="Times New Roman"/>
          <w:b w:val="0"/>
          <w:bCs w:val="0"/>
          <w:color w:val="000000"/>
          <w:sz w:val="24"/>
          <w:u w:val="none" w:color="auto"/>
          <w:lang w:val="en-US" w:eastAsia="zh-CN"/>
        </w:rPr>
        <w:t>2</w:t>
      </w:r>
      <w:r>
        <w:rPr>
          <w:rFonts w:hint="default" w:ascii="Times New Roman" w:hAnsi="Times New Roman" w:eastAsia="黑体" w:cs="Times New Roman"/>
          <w:b w:val="0"/>
          <w:bCs w:val="0"/>
          <w:color w:val="000000"/>
          <w:sz w:val="24"/>
          <w:u w:val="none" w:color="auto"/>
          <w:lang w:val="en-US" w:eastAsia="zh-CN"/>
        </w:rPr>
        <w:t xml:space="preserve">    本项目环境敏感目标分布图</w:t>
      </w:r>
    </w:p>
    <w:p w14:paraId="42BAFB1A">
      <w:pPr>
        <w:bidi w:val="0"/>
        <w:rPr>
          <w:rFonts w:hint="default"/>
          <w:b/>
          <w:bCs/>
          <w:sz w:val="24"/>
          <w:szCs w:val="24"/>
          <w:u w:val="none" w:color="auto"/>
          <w:lang w:val="en-US" w:eastAsia="zh-CN"/>
        </w:rPr>
      </w:pPr>
      <w:r>
        <w:rPr>
          <w:rFonts w:hint="default"/>
          <w:b/>
          <w:bCs/>
          <w:sz w:val="24"/>
          <w:szCs w:val="24"/>
          <w:u w:val="none" w:color="auto"/>
          <w:lang w:val="en-US" w:eastAsia="zh-CN"/>
        </w:rPr>
        <w:t>3.5.4风险潜势初判结果</w:t>
      </w:r>
    </w:p>
    <w:p w14:paraId="16DB9239">
      <w:pPr>
        <w:spacing w:beforeLines="0" w:afterLines="0" w:line="460" w:lineRule="exact"/>
        <w:ind w:firstLine="480" w:firstLineChars="200"/>
        <w:jc w:val="left"/>
        <w:rPr>
          <w:rFonts w:hint="eastAsia" w:ascii="Times New Roman" w:hAnsi="Times New Roman" w:eastAsia="宋体" w:cs="Times New Roman"/>
          <w:color w:val="000000"/>
          <w:spacing w:val="0"/>
          <w:w w:val="100"/>
          <w:kern w:val="21"/>
          <w:position w:val="0"/>
          <w:sz w:val="24"/>
          <w:u w:val="none" w:color="auto"/>
          <w:lang w:val="en-US" w:eastAsia="zh-CN"/>
        </w:rPr>
      </w:pPr>
      <w:r>
        <w:rPr>
          <w:rFonts w:hint="eastAsia" w:ascii="宋体" w:hAnsi="宋体" w:eastAsia="宋体" w:cs="Times New Roman"/>
          <w:color w:val="000000"/>
          <w:spacing w:val="0"/>
          <w:w w:val="100"/>
          <w:kern w:val="21"/>
          <w:position w:val="0"/>
          <w:sz w:val="24"/>
          <w:szCs w:val="24"/>
          <w:u w:val="none" w:color="auto"/>
        </w:rPr>
        <w:t>根据《建设项目环境风险评价技术导则》（</w:t>
      </w:r>
      <w:r>
        <w:rPr>
          <w:rFonts w:hint="eastAsia" w:ascii="TimesNewRomanPSMT" w:hAnsi="TimesNewRomanPSMT" w:eastAsia="TimesNewRomanPSMT" w:cs="Times New Roman"/>
          <w:color w:val="000000"/>
          <w:spacing w:val="0"/>
          <w:w w:val="100"/>
          <w:kern w:val="21"/>
          <w:position w:val="0"/>
          <w:sz w:val="24"/>
          <w:szCs w:val="24"/>
          <w:u w:val="none" w:color="auto"/>
        </w:rPr>
        <w:t>HJ169-2018</w:t>
      </w:r>
      <w:r>
        <w:rPr>
          <w:rFonts w:hint="eastAsia" w:ascii="宋体" w:hAnsi="宋体" w:eastAsia="宋体" w:cs="Times New Roman"/>
          <w:color w:val="000000"/>
          <w:spacing w:val="0"/>
          <w:w w:val="100"/>
          <w:kern w:val="21"/>
          <w:position w:val="0"/>
          <w:sz w:val="24"/>
          <w:szCs w:val="24"/>
          <w:u w:val="none" w:color="auto"/>
        </w:rPr>
        <w:t>）划分依据，各环境要素风险潜势划分结果见下表，拟建项目综合风险潜势为</w:t>
      </w:r>
      <w:r>
        <w:rPr>
          <w:rFonts w:hint="eastAsia" w:ascii="TimesNewRomanPSMT" w:hAnsi="TimesNewRomanPSMT" w:eastAsia="宋体" w:cs="Times New Roman"/>
          <w:color w:val="000000"/>
          <w:spacing w:val="0"/>
          <w:w w:val="100"/>
          <w:kern w:val="21"/>
          <w:position w:val="0"/>
          <w:sz w:val="24"/>
          <w:szCs w:val="24"/>
          <w:u w:val="none" w:color="auto"/>
          <w:lang w:val="en-US" w:eastAsia="zh-CN"/>
        </w:rPr>
        <w:t>III。</w:t>
      </w:r>
    </w:p>
    <w:p w14:paraId="0492F682">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default" w:ascii="Times New Roman" w:hAnsi="Times New Roman" w:eastAsia="黑体" w:cs="Times New Roman"/>
          <w:color w:val="auto"/>
          <w:spacing w:val="0"/>
          <w:w w:val="100"/>
          <w:kern w:val="21"/>
          <w:position w:val="0"/>
          <w:sz w:val="24"/>
          <w:szCs w:val="24"/>
          <w:u w:val="none" w:color="auto"/>
          <w:lang w:val="en-US" w:eastAsia="zh-CN"/>
        </w:rPr>
        <w:t>拟建项目环境风险潜势确定表</w:t>
      </w:r>
    </w:p>
    <w:tbl>
      <w:tblPr>
        <w:tblStyle w:val="32"/>
        <w:tblW w:w="9078" w:type="dxa"/>
        <w:tblInd w:w="93"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637"/>
        <w:gridCol w:w="2118"/>
        <w:gridCol w:w="1477"/>
        <w:gridCol w:w="1281"/>
        <w:gridCol w:w="1281"/>
        <w:gridCol w:w="1284"/>
      </w:tblGrid>
      <w:tr w14:paraId="3C7D262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44" w:hRule="atLeast"/>
        </w:trPr>
        <w:tc>
          <w:tcPr>
            <w:tcW w:w="1637" w:type="dxa"/>
            <w:vMerge w:val="restart"/>
            <w:tcBorders>
              <w:tl2br w:val="nil"/>
              <w:tr2bl w:val="nil"/>
            </w:tcBorders>
            <w:shd w:val="clear" w:color="auto" w:fill="auto"/>
            <w:vAlign w:val="center"/>
          </w:tcPr>
          <w:p w14:paraId="0A91A9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类别</w:t>
            </w:r>
          </w:p>
        </w:tc>
        <w:tc>
          <w:tcPr>
            <w:tcW w:w="2118" w:type="dxa"/>
            <w:vMerge w:val="restart"/>
            <w:tcBorders>
              <w:tl2br w:val="nil"/>
              <w:tr2bl w:val="nil"/>
            </w:tcBorders>
            <w:shd w:val="clear" w:color="auto" w:fill="auto"/>
            <w:vAlign w:val="center"/>
          </w:tcPr>
          <w:p w14:paraId="397C86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环境敏感程度</w:t>
            </w:r>
            <w:r>
              <w:rPr>
                <w:rFonts w:hint="default" w:ascii="Times New Roman" w:hAnsi="Times New Roman" w:eastAsia="宋体" w:cs="Times New Roman"/>
                <w:b/>
                <w:bCs/>
                <w:i w:val="0"/>
                <w:iCs w:val="0"/>
                <w:color w:val="000000"/>
                <w:kern w:val="0"/>
                <w:sz w:val="21"/>
                <w:szCs w:val="21"/>
                <w:u w:val="none" w:color="auto"/>
                <w:lang w:val="en-US" w:eastAsia="zh-CN" w:bidi="ar"/>
              </w:rPr>
              <w:t>E</w:t>
            </w:r>
          </w:p>
        </w:tc>
        <w:tc>
          <w:tcPr>
            <w:tcW w:w="5323" w:type="dxa"/>
            <w:gridSpan w:val="4"/>
            <w:tcBorders>
              <w:tl2br w:val="nil"/>
              <w:tr2bl w:val="nil"/>
            </w:tcBorders>
            <w:shd w:val="clear" w:color="auto" w:fill="auto"/>
            <w:vAlign w:val="center"/>
          </w:tcPr>
          <w:p w14:paraId="6726EC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危险物质及工艺系统危害性</w:t>
            </w:r>
            <w:r>
              <w:rPr>
                <w:rFonts w:hint="default" w:ascii="Times New Roman" w:hAnsi="Times New Roman" w:eastAsia="宋体" w:cs="Times New Roman"/>
                <w:b/>
                <w:bCs/>
                <w:i w:val="0"/>
                <w:iCs w:val="0"/>
                <w:color w:val="000000"/>
                <w:kern w:val="0"/>
                <w:sz w:val="21"/>
                <w:szCs w:val="21"/>
                <w:u w:val="none" w:color="auto"/>
                <w:lang w:val="en-US" w:eastAsia="zh-CN" w:bidi="ar"/>
              </w:rPr>
              <w:t>P</w:t>
            </w:r>
          </w:p>
        </w:tc>
      </w:tr>
      <w:tr w14:paraId="0CE6A6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1637" w:type="dxa"/>
            <w:vMerge w:val="continue"/>
            <w:tcBorders>
              <w:tl2br w:val="nil"/>
              <w:tr2bl w:val="nil"/>
            </w:tcBorders>
            <w:shd w:val="clear" w:color="auto" w:fill="auto"/>
            <w:vAlign w:val="center"/>
          </w:tcPr>
          <w:p w14:paraId="6763FB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color="auto"/>
              </w:rPr>
            </w:pPr>
          </w:p>
        </w:tc>
        <w:tc>
          <w:tcPr>
            <w:tcW w:w="2118" w:type="dxa"/>
            <w:vMerge w:val="continue"/>
            <w:tcBorders>
              <w:tl2br w:val="nil"/>
              <w:tr2bl w:val="nil"/>
            </w:tcBorders>
            <w:shd w:val="clear" w:color="auto" w:fill="auto"/>
            <w:vAlign w:val="center"/>
          </w:tcPr>
          <w:p w14:paraId="1D5053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color="auto"/>
              </w:rPr>
            </w:pPr>
          </w:p>
        </w:tc>
        <w:tc>
          <w:tcPr>
            <w:tcW w:w="1477" w:type="dxa"/>
            <w:tcBorders>
              <w:tl2br w:val="nil"/>
              <w:tr2bl w:val="nil"/>
            </w:tcBorders>
            <w:shd w:val="clear" w:color="auto" w:fill="auto"/>
            <w:vAlign w:val="center"/>
          </w:tcPr>
          <w:p w14:paraId="18A657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 xml:space="preserve">极高危害 </w:t>
            </w:r>
            <w:r>
              <w:rPr>
                <w:rFonts w:hint="default" w:ascii="Times New Roman" w:hAnsi="Times New Roman" w:eastAsia="宋体" w:cs="Times New Roman"/>
                <w:b/>
                <w:bCs/>
                <w:i w:val="0"/>
                <w:iCs w:val="0"/>
                <w:color w:val="000000"/>
                <w:kern w:val="0"/>
                <w:sz w:val="21"/>
                <w:szCs w:val="21"/>
                <w:u w:val="none" w:color="auto"/>
                <w:lang w:val="en-US" w:eastAsia="zh-CN" w:bidi="ar"/>
              </w:rPr>
              <w:t>P1</w:t>
            </w:r>
          </w:p>
        </w:tc>
        <w:tc>
          <w:tcPr>
            <w:tcW w:w="1281" w:type="dxa"/>
            <w:tcBorders>
              <w:tl2br w:val="nil"/>
              <w:tr2bl w:val="nil"/>
            </w:tcBorders>
            <w:shd w:val="clear" w:color="auto" w:fill="auto"/>
            <w:vAlign w:val="center"/>
          </w:tcPr>
          <w:p w14:paraId="7863D5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高度危</w:t>
            </w:r>
            <w:r>
              <w:rPr>
                <w:rFonts w:hint="default" w:ascii="Times New Roman" w:hAnsi="Times New Roman" w:eastAsia="宋体" w:cs="Times New Roman"/>
                <w:b/>
                <w:bCs/>
                <w:i w:val="0"/>
                <w:iCs w:val="0"/>
                <w:color w:val="000000"/>
                <w:kern w:val="0"/>
                <w:sz w:val="21"/>
                <w:szCs w:val="21"/>
                <w:u w:val="none" w:color="auto"/>
                <w:lang w:val="en-US" w:eastAsia="zh-CN" w:bidi="ar"/>
              </w:rPr>
              <w:t>P2</w:t>
            </w:r>
          </w:p>
        </w:tc>
        <w:tc>
          <w:tcPr>
            <w:tcW w:w="1281" w:type="dxa"/>
            <w:tcBorders>
              <w:tl2br w:val="nil"/>
              <w:tr2bl w:val="nil"/>
            </w:tcBorders>
            <w:shd w:val="clear" w:color="auto" w:fill="auto"/>
            <w:vAlign w:val="center"/>
          </w:tcPr>
          <w:p w14:paraId="5EAD52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中度危</w:t>
            </w:r>
            <w:r>
              <w:rPr>
                <w:rFonts w:hint="default" w:ascii="Times New Roman" w:hAnsi="Times New Roman" w:eastAsia="宋体" w:cs="Times New Roman"/>
                <w:b/>
                <w:bCs/>
                <w:i w:val="0"/>
                <w:iCs w:val="0"/>
                <w:color w:val="000000"/>
                <w:kern w:val="0"/>
                <w:sz w:val="21"/>
                <w:szCs w:val="21"/>
                <w:u w:val="none" w:color="auto"/>
                <w:lang w:val="en-US" w:eastAsia="zh-CN" w:bidi="ar"/>
              </w:rPr>
              <w:t>P3</w:t>
            </w:r>
          </w:p>
        </w:tc>
        <w:tc>
          <w:tcPr>
            <w:tcW w:w="1284" w:type="dxa"/>
            <w:tcBorders>
              <w:tl2br w:val="nil"/>
              <w:tr2bl w:val="nil"/>
            </w:tcBorders>
            <w:shd w:val="clear" w:color="auto" w:fill="auto"/>
            <w:vAlign w:val="center"/>
          </w:tcPr>
          <w:p w14:paraId="4F373B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color="auto"/>
              </w:rPr>
            </w:pPr>
            <w:r>
              <w:rPr>
                <w:rFonts w:hint="eastAsia" w:ascii="宋体" w:hAnsi="宋体" w:eastAsia="宋体" w:cs="宋体"/>
                <w:b/>
                <w:bCs/>
                <w:i w:val="0"/>
                <w:iCs w:val="0"/>
                <w:color w:val="000000"/>
                <w:kern w:val="0"/>
                <w:sz w:val="21"/>
                <w:szCs w:val="21"/>
                <w:u w:val="none" w:color="auto"/>
                <w:lang w:val="en-US" w:eastAsia="zh-CN" w:bidi="ar"/>
              </w:rPr>
              <w:t>轻度危</w:t>
            </w:r>
            <w:r>
              <w:rPr>
                <w:rFonts w:hint="default" w:ascii="Times New Roman" w:hAnsi="Times New Roman" w:eastAsia="宋体" w:cs="Times New Roman"/>
                <w:b/>
                <w:bCs/>
                <w:i w:val="0"/>
                <w:iCs w:val="0"/>
                <w:color w:val="000000"/>
                <w:kern w:val="0"/>
                <w:sz w:val="21"/>
                <w:szCs w:val="21"/>
                <w:u w:val="none" w:color="auto"/>
                <w:lang w:val="en-US" w:eastAsia="zh-CN" w:bidi="ar"/>
              </w:rPr>
              <w:t>P4</w:t>
            </w:r>
          </w:p>
        </w:tc>
      </w:tr>
      <w:tr w14:paraId="64D4111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22" w:hRule="atLeast"/>
        </w:trPr>
        <w:tc>
          <w:tcPr>
            <w:tcW w:w="1637" w:type="dxa"/>
            <w:vMerge w:val="restart"/>
            <w:tcBorders>
              <w:tl2br w:val="nil"/>
              <w:tr2bl w:val="nil"/>
            </w:tcBorders>
            <w:shd w:val="clear" w:color="auto" w:fill="auto"/>
            <w:vAlign w:val="center"/>
          </w:tcPr>
          <w:p w14:paraId="77DF00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环境空气</w:t>
            </w:r>
          </w:p>
        </w:tc>
        <w:tc>
          <w:tcPr>
            <w:tcW w:w="2118" w:type="dxa"/>
            <w:tcBorders>
              <w:tl2br w:val="nil"/>
              <w:tr2bl w:val="nil"/>
            </w:tcBorders>
            <w:shd w:val="clear" w:color="auto" w:fill="auto"/>
            <w:vAlign w:val="center"/>
          </w:tcPr>
          <w:p w14:paraId="3D4219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环境高度敏感区</w:t>
            </w:r>
            <w:r>
              <w:rPr>
                <w:rFonts w:hint="default" w:ascii="Times New Roman" w:hAnsi="Times New Roman" w:eastAsia="宋体" w:cs="Times New Roman"/>
                <w:i w:val="0"/>
                <w:iCs w:val="0"/>
                <w:color w:val="000000"/>
                <w:kern w:val="0"/>
                <w:sz w:val="21"/>
                <w:szCs w:val="21"/>
                <w:u w:val="none" w:color="auto"/>
                <w:lang w:val="en-US" w:eastAsia="zh-CN" w:bidi="ar"/>
              </w:rPr>
              <w:t>E1</w:t>
            </w:r>
          </w:p>
        </w:tc>
        <w:tc>
          <w:tcPr>
            <w:tcW w:w="1477" w:type="dxa"/>
            <w:tcBorders>
              <w:tl2br w:val="nil"/>
              <w:tr2bl w:val="nil"/>
            </w:tcBorders>
            <w:shd w:val="clear" w:color="auto" w:fill="auto"/>
            <w:vAlign w:val="center"/>
          </w:tcPr>
          <w:p w14:paraId="02873F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281" w:type="dxa"/>
            <w:tcBorders>
              <w:tl2br w:val="nil"/>
              <w:tr2bl w:val="nil"/>
            </w:tcBorders>
            <w:shd w:val="clear" w:color="auto" w:fill="auto"/>
            <w:vAlign w:val="center"/>
          </w:tcPr>
          <w:p w14:paraId="258807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281" w:type="dxa"/>
            <w:tcBorders>
              <w:tl2br w:val="nil"/>
              <w:tr2bl w:val="nil"/>
            </w:tcBorders>
            <w:shd w:val="clear" w:color="auto" w:fill="D7D7D7"/>
            <w:vAlign w:val="center"/>
          </w:tcPr>
          <w:p w14:paraId="565701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4" w:type="dxa"/>
            <w:tcBorders>
              <w:tl2br w:val="nil"/>
              <w:tr2bl w:val="nil"/>
            </w:tcBorders>
            <w:shd w:val="clear" w:color="auto" w:fill="auto"/>
            <w:vAlign w:val="center"/>
          </w:tcPr>
          <w:p w14:paraId="61F5FF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r>
      <w:tr w14:paraId="13B86B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53" w:hRule="atLeast"/>
        </w:trPr>
        <w:tc>
          <w:tcPr>
            <w:tcW w:w="1637" w:type="dxa"/>
            <w:vMerge w:val="continue"/>
            <w:tcBorders>
              <w:tl2br w:val="nil"/>
              <w:tr2bl w:val="nil"/>
            </w:tcBorders>
            <w:shd w:val="clear" w:color="auto" w:fill="auto"/>
            <w:vAlign w:val="center"/>
          </w:tcPr>
          <w:p w14:paraId="08B51A5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color="auto"/>
              </w:rPr>
            </w:pPr>
          </w:p>
        </w:tc>
        <w:tc>
          <w:tcPr>
            <w:tcW w:w="2118" w:type="dxa"/>
            <w:tcBorders>
              <w:tl2br w:val="nil"/>
              <w:tr2bl w:val="nil"/>
            </w:tcBorders>
            <w:shd w:val="clear" w:color="auto" w:fill="auto"/>
            <w:vAlign w:val="center"/>
          </w:tcPr>
          <w:p w14:paraId="312CDC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环境中度敏感区</w:t>
            </w:r>
            <w:r>
              <w:rPr>
                <w:rFonts w:hint="default" w:ascii="Times New Roman" w:hAnsi="Times New Roman" w:eastAsia="宋体" w:cs="Times New Roman"/>
                <w:i w:val="0"/>
                <w:iCs w:val="0"/>
                <w:color w:val="000000"/>
                <w:kern w:val="0"/>
                <w:sz w:val="21"/>
                <w:szCs w:val="21"/>
                <w:u w:val="none" w:color="auto"/>
                <w:lang w:val="en-US" w:eastAsia="zh-CN" w:bidi="ar"/>
              </w:rPr>
              <w:t>E2</w:t>
            </w:r>
          </w:p>
        </w:tc>
        <w:tc>
          <w:tcPr>
            <w:tcW w:w="1477" w:type="dxa"/>
            <w:tcBorders>
              <w:tl2br w:val="nil"/>
              <w:tr2bl w:val="nil"/>
            </w:tcBorders>
            <w:shd w:val="clear" w:color="auto" w:fill="auto"/>
            <w:vAlign w:val="center"/>
          </w:tcPr>
          <w:p w14:paraId="010EC3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281" w:type="dxa"/>
            <w:tcBorders>
              <w:tl2br w:val="nil"/>
              <w:tr2bl w:val="nil"/>
            </w:tcBorders>
            <w:shd w:val="clear" w:color="auto" w:fill="auto"/>
            <w:vAlign w:val="center"/>
          </w:tcPr>
          <w:p w14:paraId="01E960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1" w:type="dxa"/>
            <w:tcBorders>
              <w:tl2br w:val="nil"/>
              <w:tr2bl w:val="nil"/>
            </w:tcBorders>
            <w:shd w:val="clear" w:color="auto" w:fill="auto"/>
            <w:vAlign w:val="center"/>
          </w:tcPr>
          <w:p w14:paraId="73A80F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4" w:type="dxa"/>
            <w:tcBorders>
              <w:tl2br w:val="nil"/>
              <w:tr2bl w:val="nil"/>
            </w:tcBorders>
            <w:shd w:val="clear" w:color="auto" w:fill="auto"/>
            <w:vAlign w:val="center"/>
          </w:tcPr>
          <w:p w14:paraId="42FBC7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Ⅱ</w:t>
            </w:r>
          </w:p>
        </w:tc>
      </w:tr>
      <w:tr w14:paraId="479632D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637" w:type="dxa"/>
            <w:vMerge w:val="continue"/>
            <w:tcBorders>
              <w:tl2br w:val="nil"/>
              <w:tr2bl w:val="nil"/>
            </w:tcBorders>
            <w:shd w:val="clear" w:color="auto" w:fill="auto"/>
            <w:vAlign w:val="center"/>
          </w:tcPr>
          <w:p w14:paraId="537F57A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color="auto"/>
              </w:rPr>
            </w:pPr>
          </w:p>
        </w:tc>
        <w:tc>
          <w:tcPr>
            <w:tcW w:w="2118" w:type="dxa"/>
            <w:tcBorders>
              <w:tl2br w:val="nil"/>
              <w:tr2bl w:val="nil"/>
            </w:tcBorders>
            <w:shd w:val="clear" w:color="auto" w:fill="auto"/>
            <w:vAlign w:val="center"/>
          </w:tcPr>
          <w:p w14:paraId="50DDEA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环境轻度敏感区</w:t>
            </w:r>
            <w:r>
              <w:rPr>
                <w:rFonts w:hint="default" w:ascii="Times New Roman" w:hAnsi="Times New Roman" w:eastAsia="宋体" w:cs="Times New Roman"/>
                <w:i w:val="0"/>
                <w:iCs w:val="0"/>
                <w:color w:val="000000"/>
                <w:kern w:val="0"/>
                <w:sz w:val="21"/>
                <w:szCs w:val="21"/>
                <w:u w:val="none" w:color="auto"/>
                <w:lang w:val="en-US" w:eastAsia="zh-CN" w:bidi="ar"/>
              </w:rPr>
              <w:t>E3</w:t>
            </w:r>
          </w:p>
        </w:tc>
        <w:tc>
          <w:tcPr>
            <w:tcW w:w="1477" w:type="dxa"/>
            <w:tcBorders>
              <w:tl2br w:val="nil"/>
              <w:tr2bl w:val="nil"/>
            </w:tcBorders>
            <w:shd w:val="clear" w:color="auto" w:fill="auto"/>
            <w:vAlign w:val="center"/>
          </w:tcPr>
          <w:p w14:paraId="6DA86D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1" w:type="dxa"/>
            <w:tcBorders>
              <w:tl2br w:val="nil"/>
              <w:tr2bl w:val="nil"/>
            </w:tcBorders>
            <w:shd w:val="clear" w:color="auto" w:fill="auto"/>
            <w:vAlign w:val="center"/>
          </w:tcPr>
          <w:p w14:paraId="7DD9EC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1" w:type="dxa"/>
            <w:tcBorders>
              <w:tl2br w:val="nil"/>
              <w:tr2bl w:val="nil"/>
            </w:tcBorders>
            <w:shd w:val="clear" w:color="auto" w:fill="auto"/>
            <w:vAlign w:val="center"/>
          </w:tcPr>
          <w:p w14:paraId="5792C8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Ⅱ</w:t>
            </w:r>
          </w:p>
        </w:tc>
        <w:tc>
          <w:tcPr>
            <w:tcW w:w="1284" w:type="dxa"/>
            <w:tcBorders>
              <w:tl2br w:val="nil"/>
              <w:tr2bl w:val="nil"/>
            </w:tcBorders>
            <w:shd w:val="clear" w:color="auto" w:fill="auto"/>
            <w:vAlign w:val="center"/>
          </w:tcPr>
          <w:p w14:paraId="1498ED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Ⅰ</w:t>
            </w:r>
          </w:p>
        </w:tc>
      </w:tr>
      <w:tr w14:paraId="75E8353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03" w:hRule="atLeast"/>
        </w:trPr>
        <w:tc>
          <w:tcPr>
            <w:tcW w:w="1637" w:type="dxa"/>
            <w:vMerge w:val="restart"/>
            <w:tcBorders>
              <w:tl2br w:val="nil"/>
              <w:tr2bl w:val="nil"/>
            </w:tcBorders>
            <w:shd w:val="clear" w:color="auto" w:fill="auto"/>
            <w:vAlign w:val="center"/>
          </w:tcPr>
          <w:p w14:paraId="48D33E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地表水</w:t>
            </w:r>
          </w:p>
        </w:tc>
        <w:tc>
          <w:tcPr>
            <w:tcW w:w="2118" w:type="dxa"/>
            <w:tcBorders>
              <w:tl2br w:val="nil"/>
              <w:tr2bl w:val="nil"/>
            </w:tcBorders>
            <w:shd w:val="clear" w:color="auto" w:fill="auto"/>
            <w:vAlign w:val="center"/>
          </w:tcPr>
          <w:p w14:paraId="2A3137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环境高度敏感区</w:t>
            </w:r>
            <w:r>
              <w:rPr>
                <w:rFonts w:hint="default" w:ascii="Times New Roman" w:hAnsi="Times New Roman" w:eastAsia="宋体" w:cs="Times New Roman"/>
                <w:i w:val="0"/>
                <w:iCs w:val="0"/>
                <w:color w:val="000000"/>
                <w:kern w:val="0"/>
                <w:sz w:val="21"/>
                <w:szCs w:val="21"/>
                <w:u w:val="none" w:color="auto"/>
                <w:lang w:val="en-US" w:eastAsia="zh-CN" w:bidi="ar"/>
              </w:rPr>
              <w:t>E1</w:t>
            </w:r>
          </w:p>
        </w:tc>
        <w:tc>
          <w:tcPr>
            <w:tcW w:w="1477" w:type="dxa"/>
            <w:tcBorders>
              <w:tl2br w:val="nil"/>
              <w:tr2bl w:val="nil"/>
            </w:tcBorders>
            <w:shd w:val="clear" w:color="auto" w:fill="auto"/>
            <w:vAlign w:val="center"/>
          </w:tcPr>
          <w:p w14:paraId="0E630B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281" w:type="dxa"/>
            <w:tcBorders>
              <w:tl2br w:val="nil"/>
              <w:tr2bl w:val="nil"/>
            </w:tcBorders>
            <w:shd w:val="clear" w:color="auto" w:fill="auto"/>
            <w:vAlign w:val="center"/>
          </w:tcPr>
          <w:p w14:paraId="6713D0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281" w:type="dxa"/>
            <w:tcBorders>
              <w:tl2br w:val="nil"/>
              <w:tr2bl w:val="nil"/>
            </w:tcBorders>
            <w:shd w:val="clear" w:color="auto" w:fill="auto"/>
            <w:vAlign w:val="center"/>
          </w:tcPr>
          <w:p w14:paraId="56229E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4" w:type="dxa"/>
            <w:tcBorders>
              <w:tl2br w:val="nil"/>
              <w:tr2bl w:val="nil"/>
            </w:tcBorders>
            <w:shd w:val="clear" w:color="auto" w:fill="auto"/>
            <w:vAlign w:val="center"/>
          </w:tcPr>
          <w:p w14:paraId="47FCC9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r>
      <w:tr w14:paraId="0E86A9A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trPr>
        <w:tc>
          <w:tcPr>
            <w:tcW w:w="1637" w:type="dxa"/>
            <w:vMerge w:val="continue"/>
            <w:tcBorders>
              <w:tl2br w:val="nil"/>
              <w:tr2bl w:val="nil"/>
            </w:tcBorders>
            <w:shd w:val="clear" w:color="auto" w:fill="auto"/>
            <w:vAlign w:val="center"/>
          </w:tcPr>
          <w:p w14:paraId="0B8164F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color="auto"/>
              </w:rPr>
            </w:pPr>
          </w:p>
        </w:tc>
        <w:tc>
          <w:tcPr>
            <w:tcW w:w="2118" w:type="dxa"/>
            <w:tcBorders>
              <w:tl2br w:val="nil"/>
              <w:tr2bl w:val="nil"/>
            </w:tcBorders>
            <w:shd w:val="clear" w:color="auto" w:fill="auto"/>
            <w:vAlign w:val="center"/>
          </w:tcPr>
          <w:p w14:paraId="143138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环境中度敏感区</w:t>
            </w:r>
            <w:r>
              <w:rPr>
                <w:rFonts w:hint="default" w:ascii="Times New Roman" w:hAnsi="Times New Roman" w:eastAsia="宋体" w:cs="Times New Roman"/>
                <w:i w:val="0"/>
                <w:iCs w:val="0"/>
                <w:color w:val="000000"/>
                <w:kern w:val="0"/>
                <w:sz w:val="21"/>
                <w:szCs w:val="21"/>
                <w:u w:val="none" w:color="auto"/>
                <w:lang w:val="en-US" w:eastAsia="zh-CN" w:bidi="ar"/>
              </w:rPr>
              <w:t>E2</w:t>
            </w:r>
          </w:p>
        </w:tc>
        <w:tc>
          <w:tcPr>
            <w:tcW w:w="1477" w:type="dxa"/>
            <w:tcBorders>
              <w:tl2br w:val="nil"/>
              <w:tr2bl w:val="nil"/>
            </w:tcBorders>
            <w:shd w:val="clear" w:color="auto" w:fill="auto"/>
            <w:vAlign w:val="center"/>
          </w:tcPr>
          <w:p w14:paraId="103AC0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281" w:type="dxa"/>
            <w:tcBorders>
              <w:tl2br w:val="nil"/>
              <w:tr2bl w:val="nil"/>
            </w:tcBorders>
            <w:shd w:val="clear" w:color="auto" w:fill="auto"/>
            <w:vAlign w:val="center"/>
          </w:tcPr>
          <w:p w14:paraId="6E9BA3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1" w:type="dxa"/>
            <w:tcBorders>
              <w:tl2br w:val="nil"/>
              <w:tr2bl w:val="nil"/>
            </w:tcBorders>
            <w:shd w:val="clear" w:color="auto" w:fill="auto"/>
            <w:vAlign w:val="center"/>
          </w:tcPr>
          <w:p w14:paraId="400F5F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4" w:type="dxa"/>
            <w:tcBorders>
              <w:tl2br w:val="nil"/>
              <w:tr2bl w:val="nil"/>
            </w:tcBorders>
            <w:shd w:val="clear" w:color="auto" w:fill="auto"/>
            <w:vAlign w:val="center"/>
          </w:tcPr>
          <w:p w14:paraId="735E0E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Ⅱ</w:t>
            </w:r>
          </w:p>
        </w:tc>
      </w:tr>
      <w:tr w14:paraId="347E41F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9" w:hRule="atLeast"/>
        </w:trPr>
        <w:tc>
          <w:tcPr>
            <w:tcW w:w="1637" w:type="dxa"/>
            <w:vMerge w:val="continue"/>
            <w:tcBorders>
              <w:tl2br w:val="nil"/>
              <w:tr2bl w:val="nil"/>
            </w:tcBorders>
            <w:shd w:val="clear" w:color="auto" w:fill="auto"/>
            <w:vAlign w:val="center"/>
          </w:tcPr>
          <w:p w14:paraId="32EAC3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color="auto"/>
              </w:rPr>
            </w:pPr>
          </w:p>
        </w:tc>
        <w:tc>
          <w:tcPr>
            <w:tcW w:w="2118" w:type="dxa"/>
            <w:tcBorders>
              <w:tl2br w:val="nil"/>
              <w:tr2bl w:val="nil"/>
            </w:tcBorders>
            <w:shd w:val="clear" w:color="auto" w:fill="auto"/>
            <w:vAlign w:val="center"/>
          </w:tcPr>
          <w:p w14:paraId="3A2BB5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环境轻度敏感区</w:t>
            </w:r>
            <w:r>
              <w:rPr>
                <w:rFonts w:hint="default" w:ascii="Times New Roman" w:hAnsi="Times New Roman" w:eastAsia="宋体" w:cs="Times New Roman"/>
                <w:i w:val="0"/>
                <w:iCs w:val="0"/>
                <w:color w:val="000000"/>
                <w:kern w:val="0"/>
                <w:sz w:val="21"/>
                <w:szCs w:val="21"/>
                <w:u w:val="none" w:color="auto"/>
                <w:lang w:val="en-US" w:eastAsia="zh-CN" w:bidi="ar"/>
              </w:rPr>
              <w:t>E3</w:t>
            </w:r>
          </w:p>
        </w:tc>
        <w:tc>
          <w:tcPr>
            <w:tcW w:w="1477" w:type="dxa"/>
            <w:tcBorders>
              <w:tl2br w:val="nil"/>
              <w:tr2bl w:val="nil"/>
            </w:tcBorders>
            <w:shd w:val="clear" w:color="auto" w:fill="auto"/>
            <w:vAlign w:val="center"/>
          </w:tcPr>
          <w:p w14:paraId="59E182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1" w:type="dxa"/>
            <w:tcBorders>
              <w:tl2br w:val="nil"/>
              <w:tr2bl w:val="nil"/>
            </w:tcBorders>
            <w:shd w:val="clear" w:color="auto" w:fill="auto"/>
            <w:vAlign w:val="center"/>
          </w:tcPr>
          <w:p w14:paraId="087ED7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1" w:type="dxa"/>
            <w:tcBorders>
              <w:tl2br w:val="nil"/>
              <w:tr2bl w:val="nil"/>
            </w:tcBorders>
            <w:shd w:val="clear" w:color="auto" w:fill="D7D7D7"/>
            <w:vAlign w:val="center"/>
          </w:tcPr>
          <w:p w14:paraId="5F7631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Ⅱ</w:t>
            </w:r>
          </w:p>
        </w:tc>
        <w:tc>
          <w:tcPr>
            <w:tcW w:w="1284" w:type="dxa"/>
            <w:tcBorders>
              <w:tl2br w:val="nil"/>
              <w:tr2bl w:val="nil"/>
            </w:tcBorders>
            <w:shd w:val="clear" w:color="auto" w:fill="auto"/>
            <w:vAlign w:val="center"/>
          </w:tcPr>
          <w:p w14:paraId="710076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Ⅰ</w:t>
            </w:r>
          </w:p>
        </w:tc>
      </w:tr>
      <w:tr w14:paraId="446ECAB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trPr>
        <w:tc>
          <w:tcPr>
            <w:tcW w:w="1637" w:type="dxa"/>
            <w:vMerge w:val="restart"/>
            <w:tcBorders>
              <w:tl2br w:val="nil"/>
              <w:tr2bl w:val="nil"/>
            </w:tcBorders>
            <w:shd w:val="clear" w:color="auto" w:fill="auto"/>
            <w:vAlign w:val="center"/>
          </w:tcPr>
          <w:p w14:paraId="28D41A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地下水</w:t>
            </w:r>
          </w:p>
        </w:tc>
        <w:tc>
          <w:tcPr>
            <w:tcW w:w="2118" w:type="dxa"/>
            <w:tcBorders>
              <w:tl2br w:val="nil"/>
              <w:tr2bl w:val="nil"/>
            </w:tcBorders>
            <w:shd w:val="clear" w:color="auto" w:fill="auto"/>
            <w:vAlign w:val="center"/>
          </w:tcPr>
          <w:p w14:paraId="18F543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环境高度敏感区</w:t>
            </w:r>
            <w:r>
              <w:rPr>
                <w:rFonts w:hint="default" w:ascii="Times New Roman" w:hAnsi="Times New Roman" w:eastAsia="宋体" w:cs="Times New Roman"/>
                <w:i w:val="0"/>
                <w:iCs w:val="0"/>
                <w:color w:val="000000"/>
                <w:kern w:val="0"/>
                <w:sz w:val="21"/>
                <w:szCs w:val="21"/>
                <w:u w:val="none" w:color="auto"/>
                <w:lang w:val="en-US" w:eastAsia="zh-CN" w:bidi="ar"/>
              </w:rPr>
              <w:t>E1</w:t>
            </w:r>
          </w:p>
        </w:tc>
        <w:tc>
          <w:tcPr>
            <w:tcW w:w="1477" w:type="dxa"/>
            <w:tcBorders>
              <w:tl2br w:val="nil"/>
              <w:tr2bl w:val="nil"/>
            </w:tcBorders>
            <w:shd w:val="clear" w:color="auto" w:fill="auto"/>
            <w:vAlign w:val="center"/>
          </w:tcPr>
          <w:p w14:paraId="4D4E86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281" w:type="dxa"/>
            <w:tcBorders>
              <w:tl2br w:val="nil"/>
              <w:tr2bl w:val="nil"/>
            </w:tcBorders>
            <w:shd w:val="clear" w:color="auto" w:fill="auto"/>
            <w:vAlign w:val="center"/>
          </w:tcPr>
          <w:p w14:paraId="48B462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281" w:type="dxa"/>
            <w:tcBorders>
              <w:tl2br w:val="nil"/>
              <w:tr2bl w:val="nil"/>
            </w:tcBorders>
            <w:shd w:val="clear" w:color="auto" w:fill="auto"/>
            <w:vAlign w:val="center"/>
          </w:tcPr>
          <w:p w14:paraId="1353CF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4" w:type="dxa"/>
            <w:tcBorders>
              <w:tl2br w:val="nil"/>
              <w:tr2bl w:val="nil"/>
            </w:tcBorders>
            <w:shd w:val="clear" w:color="auto" w:fill="auto"/>
            <w:vAlign w:val="center"/>
          </w:tcPr>
          <w:p w14:paraId="729FE3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r>
      <w:tr w14:paraId="79D15E4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10" w:hRule="atLeast"/>
        </w:trPr>
        <w:tc>
          <w:tcPr>
            <w:tcW w:w="1637" w:type="dxa"/>
            <w:vMerge w:val="continue"/>
            <w:tcBorders>
              <w:tl2br w:val="nil"/>
              <w:tr2bl w:val="nil"/>
            </w:tcBorders>
            <w:shd w:val="clear" w:color="auto" w:fill="auto"/>
            <w:vAlign w:val="center"/>
          </w:tcPr>
          <w:p w14:paraId="3ABAAC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color="auto"/>
              </w:rPr>
            </w:pPr>
          </w:p>
        </w:tc>
        <w:tc>
          <w:tcPr>
            <w:tcW w:w="2118" w:type="dxa"/>
            <w:tcBorders>
              <w:tl2br w:val="nil"/>
              <w:tr2bl w:val="nil"/>
            </w:tcBorders>
            <w:shd w:val="clear" w:color="auto" w:fill="auto"/>
            <w:vAlign w:val="center"/>
          </w:tcPr>
          <w:p w14:paraId="5C6480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环境中度敏感区</w:t>
            </w:r>
            <w:r>
              <w:rPr>
                <w:rFonts w:hint="default" w:ascii="Times New Roman" w:hAnsi="Times New Roman" w:eastAsia="宋体" w:cs="Times New Roman"/>
                <w:i w:val="0"/>
                <w:iCs w:val="0"/>
                <w:color w:val="000000"/>
                <w:kern w:val="0"/>
                <w:sz w:val="21"/>
                <w:szCs w:val="21"/>
                <w:u w:val="none" w:color="auto"/>
                <w:lang w:val="en-US" w:eastAsia="zh-CN" w:bidi="ar"/>
              </w:rPr>
              <w:t>E2</w:t>
            </w:r>
          </w:p>
        </w:tc>
        <w:tc>
          <w:tcPr>
            <w:tcW w:w="1477" w:type="dxa"/>
            <w:tcBorders>
              <w:tl2br w:val="nil"/>
              <w:tr2bl w:val="nil"/>
            </w:tcBorders>
            <w:shd w:val="clear" w:color="auto" w:fill="auto"/>
            <w:vAlign w:val="center"/>
          </w:tcPr>
          <w:p w14:paraId="4D2DD6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Ⅳ</w:t>
            </w:r>
          </w:p>
        </w:tc>
        <w:tc>
          <w:tcPr>
            <w:tcW w:w="1281" w:type="dxa"/>
            <w:tcBorders>
              <w:tl2br w:val="nil"/>
              <w:tr2bl w:val="nil"/>
            </w:tcBorders>
            <w:shd w:val="clear" w:color="auto" w:fill="auto"/>
            <w:vAlign w:val="center"/>
          </w:tcPr>
          <w:p w14:paraId="5A55C1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1" w:type="dxa"/>
            <w:tcBorders>
              <w:tl2br w:val="nil"/>
              <w:tr2bl w:val="nil"/>
            </w:tcBorders>
            <w:shd w:val="clear" w:color="auto" w:fill="auto"/>
            <w:vAlign w:val="center"/>
          </w:tcPr>
          <w:p w14:paraId="2D4A94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4" w:type="dxa"/>
            <w:tcBorders>
              <w:tl2br w:val="nil"/>
              <w:tr2bl w:val="nil"/>
            </w:tcBorders>
            <w:shd w:val="clear" w:color="auto" w:fill="auto"/>
            <w:vAlign w:val="center"/>
          </w:tcPr>
          <w:p w14:paraId="65F31C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Ⅱ</w:t>
            </w:r>
          </w:p>
        </w:tc>
      </w:tr>
      <w:tr w14:paraId="7AC6A2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8" w:hRule="atLeast"/>
        </w:trPr>
        <w:tc>
          <w:tcPr>
            <w:tcW w:w="1637" w:type="dxa"/>
            <w:vMerge w:val="continue"/>
            <w:tcBorders>
              <w:tl2br w:val="nil"/>
              <w:tr2bl w:val="nil"/>
            </w:tcBorders>
            <w:shd w:val="clear" w:color="auto" w:fill="auto"/>
            <w:vAlign w:val="center"/>
          </w:tcPr>
          <w:p w14:paraId="001454A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color="auto"/>
              </w:rPr>
            </w:pPr>
          </w:p>
        </w:tc>
        <w:tc>
          <w:tcPr>
            <w:tcW w:w="2118" w:type="dxa"/>
            <w:tcBorders>
              <w:tl2br w:val="nil"/>
              <w:tr2bl w:val="nil"/>
            </w:tcBorders>
            <w:shd w:val="clear" w:color="auto" w:fill="auto"/>
            <w:vAlign w:val="center"/>
          </w:tcPr>
          <w:p w14:paraId="41C61A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color="auto"/>
              </w:rPr>
            </w:pPr>
            <w:r>
              <w:rPr>
                <w:rFonts w:hint="eastAsia" w:ascii="宋体" w:hAnsi="宋体" w:eastAsia="宋体" w:cs="宋体"/>
                <w:i w:val="0"/>
                <w:iCs w:val="0"/>
                <w:color w:val="000000"/>
                <w:kern w:val="0"/>
                <w:sz w:val="21"/>
                <w:szCs w:val="21"/>
                <w:u w:val="none" w:color="auto"/>
                <w:lang w:val="en-US" w:eastAsia="zh-CN" w:bidi="ar"/>
              </w:rPr>
              <w:t>环境轻度敏感区</w:t>
            </w:r>
            <w:r>
              <w:rPr>
                <w:rFonts w:hint="default" w:ascii="Times New Roman" w:hAnsi="Times New Roman" w:eastAsia="宋体" w:cs="Times New Roman"/>
                <w:i w:val="0"/>
                <w:iCs w:val="0"/>
                <w:color w:val="000000"/>
                <w:kern w:val="0"/>
                <w:sz w:val="21"/>
                <w:szCs w:val="21"/>
                <w:u w:val="none" w:color="auto"/>
                <w:lang w:val="en-US" w:eastAsia="zh-CN" w:bidi="ar"/>
              </w:rPr>
              <w:t>E3</w:t>
            </w:r>
          </w:p>
        </w:tc>
        <w:tc>
          <w:tcPr>
            <w:tcW w:w="1477" w:type="dxa"/>
            <w:tcBorders>
              <w:tl2br w:val="nil"/>
              <w:tr2bl w:val="nil"/>
            </w:tcBorders>
            <w:shd w:val="clear" w:color="auto" w:fill="auto"/>
            <w:vAlign w:val="center"/>
          </w:tcPr>
          <w:p w14:paraId="0A2935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1" w:type="dxa"/>
            <w:tcBorders>
              <w:tl2br w:val="nil"/>
              <w:tr2bl w:val="nil"/>
            </w:tcBorders>
            <w:shd w:val="clear" w:color="auto" w:fill="auto"/>
            <w:vAlign w:val="center"/>
          </w:tcPr>
          <w:p w14:paraId="64346C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Ⅲ</w:t>
            </w:r>
          </w:p>
        </w:tc>
        <w:tc>
          <w:tcPr>
            <w:tcW w:w="1281" w:type="dxa"/>
            <w:tcBorders>
              <w:tl2br w:val="nil"/>
              <w:tr2bl w:val="nil"/>
            </w:tcBorders>
            <w:shd w:val="clear" w:color="auto" w:fill="D7D7D7"/>
            <w:vAlign w:val="center"/>
          </w:tcPr>
          <w:p w14:paraId="3DF478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Ⅱ</w:t>
            </w:r>
          </w:p>
        </w:tc>
        <w:tc>
          <w:tcPr>
            <w:tcW w:w="1284" w:type="dxa"/>
            <w:tcBorders>
              <w:tl2br w:val="nil"/>
              <w:tr2bl w:val="nil"/>
            </w:tcBorders>
            <w:shd w:val="clear" w:color="auto" w:fill="auto"/>
            <w:vAlign w:val="center"/>
          </w:tcPr>
          <w:p w14:paraId="281D5F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Ⅰ</w:t>
            </w:r>
          </w:p>
        </w:tc>
      </w:tr>
    </w:tbl>
    <w:p w14:paraId="284D2FF7">
      <w:pPr>
        <w:numPr>
          <w:ilvl w:val="0"/>
          <w:numId w:val="4"/>
        </w:numPr>
        <w:bidi w:val="0"/>
        <w:spacing w:line="520" w:lineRule="exact"/>
        <w:outlineLvl w:val="0"/>
        <w:rPr>
          <w:rFonts w:hint="default" w:ascii="Times New Roman" w:hAnsi="Times New Roman" w:eastAsia="宋体" w:cs="Times New Roman"/>
          <w:b/>
          <w:color w:val="auto"/>
          <w:spacing w:val="0"/>
          <w:w w:val="100"/>
          <w:kern w:val="21"/>
          <w:position w:val="0"/>
          <w:sz w:val="30"/>
          <w:szCs w:val="30"/>
          <w:u w:val="none" w:color="auto"/>
        </w:rPr>
      </w:pPr>
      <w:r>
        <w:rPr>
          <w:rFonts w:hint="default" w:ascii="Times New Roman" w:hAnsi="Times New Roman" w:eastAsia="宋体" w:cs="Times New Roman"/>
          <w:b/>
          <w:color w:val="auto"/>
          <w:spacing w:val="0"/>
          <w:w w:val="100"/>
          <w:kern w:val="21"/>
          <w:position w:val="0"/>
          <w:sz w:val="30"/>
          <w:szCs w:val="30"/>
          <w:u w:val="none" w:color="auto"/>
        </w:rPr>
        <w:t>评价工作等级划分</w:t>
      </w:r>
    </w:p>
    <w:p w14:paraId="76E202F7">
      <w:pPr>
        <w:bidi w:val="0"/>
        <w:spacing w:line="460" w:lineRule="exact"/>
        <w:ind w:left="0" w:leftChars="0" w:firstLine="0" w:firstLineChars="0"/>
        <w:rPr>
          <w:rFonts w:hint="default" w:ascii="Times New Roman" w:hAnsi="Times New Roman" w:eastAsia="宋体" w:cs="Times New Roman"/>
          <w:b/>
          <w:bCs/>
          <w:color w:val="auto"/>
          <w:spacing w:val="0"/>
          <w:w w:val="100"/>
          <w:kern w:val="21"/>
          <w:position w:val="0"/>
          <w:sz w:val="28"/>
          <w:szCs w:val="28"/>
          <w:u w:val="none" w:color="auto"/>
          <w:lang w:val="en-US" w:eastAsia="zh-CN"/>
        </w:rPr>
      </w:pPr>
      <w:r>
        <w:rPr>
          <w:rFonts w:hint="eastAsia" w:ascii="Times New Roman" w:hAnsi="Times New Roman" w:eastAsia="宋体" w:cs="Times New Roman"/>
          <w:b/>
          <w:bCs/>
          <w:color w:val="auto"/>
          <w:spacing w:val="0"/>
          <w:w w:val="100"/>
          <w:kern w:val="21"/>
          <w:position w:val="0"/>
          <w:sz w:val="28"/>
          <w:szCs w:val="28"/>
          <w:u w:val="none" w:color="auto"/>
          <w:lang w:val="en-US" w:eastAsia="zh-CN"/>
        </w:rPr>
        <w:t>4</w:t>
      </w:r>
      <w:r>
        <w:rPr>
          <w:rFonts w:hint="default" w:ascii="Times New Roman" w:hAnsi="Times New Roman" w:eastAsia="宋体" w:cs="Times New Roman"/>
          <w:b/>
          <w:bCs/>
          <w:color w:val="auto"/>
          <w:spacing w:val="0"/>
          <w:w w:val="100"/>
          <w:kern w:val="21"/>
          <w:position w:val="0"/>
          <w:sz w:val="28"/>
          <w:szCs w:val="28"/>
          <w:u w:val="none" w:color="auto"/>
          <w:lang w:val="en-US" w:eastAsia="zh-CN"/>
        </w:rPr>
        <w:t>.1评价等级</w:t>
      </w:r>
    </w:p>
    <w:p w14:paraId="240536D1">
      <w:pPr>
        <w:bidi w:val="0"/>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rPr>
      </w:pPr>
      <w:r>
        <w:rPr>
          <w:rFonts w:hint="default" w:ascii="Times New Roman" w:hAnsi="Times New Roman" w:eastAsia="宋体" w:cs="Times New Roman"/>
          <w:color w:val="auto"/>
          <w:spacing w:val="0"/>
          <w:w w:val="100"/>
          <w:kern w:val="21"/>
          <w:position w:val="0"/>
          <w:sz w:val="24"/>
          <w:u w:val="none" w:color="auto"/>
        </w:rPr>
        <w:t>环境风险评价工作等级划分为一级、二级、三级。根据建设项目涉及的物质及工艺系统危险性和所在地的环境敏感性确定环境风险潜势，按照下表确定评价工作等级。风险潜势为IV及以上，进行一级评价；风险潜势为III，进行二级评价；风险潜势为II，进行三级评价；风险潜势为I，可开展简单分析。根据《建设项目环境风险评价技术导则》（HJ169-2018），判定本项目环境风险评价工作等级为</w:t>
      </w:r>
      <w:r>
        <w:rPr>
          <w:rFonts w:hint="eastAsia" w:ascii="Times New Roman" w:hAnsi="Times New Roman" w:eastAsia="宋体" w:cs="Times New Roman"/>
          <w:color w:val="auto"/>
          <w:spacing w:val="0"/>
          <w:w w:val="100"/>
          <w:kern w:val="21"/>
          <w:position w:val="0"/>
          <w:sz w:val="24"/>
          <w:u w:val="none" w:color="auto"/>
          <w:lang w:val="en-US" w:eastAsia="zh-CN"/>
        </w:rPr>
        <w:t>二</w:t>
      </w:r>
      <w:r>
        <w:rPr>
          <w:rFonts w:hint="default" w:ascii="Times New Roman" w:hAnsi="Times New Roman" w:eastAsia="宋体" w:cs="Times New Roman"/>
          <w:color w:val="auto"/>
          <w:spacing w:val="0"/>
          <w:w w:val="100"/>
          <w:kern w:val="21"/>
          <w:position w:val="0"/>
          <w:sz w:val="24"/>
          <w:u w:val="none" w:color="auto"/>
        </w:rPr>
        <w:t>级，评价等级结果见下表。</w:t>
      </w:r>
    </w:p>
    <w:p w14:paraId="6FA47999">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default" w:ascii="Times New Roman" w:hAnsi="Times New Roman" w:eastAsia="黑体" w:cs="Times New Roman"/>
          <w:color w:val="auto"/>
          <w:spacing w:val="0"/>
          <w:w w:val="100"/>
          <w:kern w:val="21"/>
          <w:position w:val="0"/>
          <w:sz w:val="24"/>
          <w:szCs w:val="24"/>
          <w:u w:val="none" w:color="auto"/>
          <w:lang w:val="en-US" w:eastAsia="zh-CN"/>
        </w:rPr>
        <w:t>评价工作等级划分表</w:t>
      </w:r>
    </w:p>
    <w:tbl>
      <w:tblPr>
        <w:tblStyle w:val="32"/>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1846"/>
        <w:gridCol w:w="1847"/>
        <w:gridCol w:w="1847"/>
        <w:gridCol w:w="1848"/>
        <w:gridCol w:w="1854"/>
      </w:tblGrid>
      <w:tr w14:paraId="3982AE0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97" w:hRule="atLeast"/>
          <w:jc w:val="center"/>
        </w:trPr>
        <w:tc>
          <w:tcPr>
            <w:tcW w:w="999" w:type="pct"/>
            <w:noWrap/>
            <w:vAlign w:val="center"/>
          </w:tcPr>
          <w:p w14:paraId="14638292">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环境风险潜势</w:t>
            </w:r>
          </w:p>
        </w:tc>
        <w:tc>
          <w:tcPr>
            <w:tcW w:w="999" w:type="pct"/>
            <w:noWrap w:val="0"/>
            <w:vAlign w:val="center"/>
          </w:tcPr>
          <w:p w14:paraId="659EBD0F">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IV、IV+</w:t>
            </w:r>
          </w:p>
        </w:tc>
        <w:tc>
          <w:tcPr>
            <w:tcW w:w="999" w:type="pct"/>
            <w:noWrap w:val="0"/>
            <w:vAlign w:val="center"/>
          </w:tcPr>
          <w:p w14:paraId="179E9DD9">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III</w:t>
            </w:r>
          </w:p>
        </w:tc>
        <w:tc>
          <w:tcPr>
            <w:tcW w:w="1000" w:type="pct"/>
            <w:noWrap w:val="0"/>
            <w:vAlign w:val="center"/>
          </w:tcPr>
          <w:p w14:paraId="2A93F73C">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II</w:t>
            </w:r>
          </w:p>
        </w:tc>
        <w:tc>
          <w:tcPr>
            <w:tcW w:w="1000" w:type="pct"/>
            <w:noWrap w:val="0"/>
            <w:vAlign w:val="center"/>
          </w:tcPr>
          <w:p w14:paraId="474D4FB1">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
                <w:bCs/>
                <w:color w:val="auto"/>
                <w:spacing w:val="0"/>
                <w:w w:val="100"/>
                <w:kern w:val="21"/>
                <w:position w:val="0"/>
                <w:sz w:val="21"/>
                <w:szCs w:val="21"/>
                <w:u w:val="none" w:color="auto"/>
                <w:shd w:val="clear" w:color="auto" w:fill="FFFFFF"/>
                <w:lang w:val="en-US" w:eastAsia="zh-CN" w:bidi="ar-SA"/>
              </w:rPr>
              <w:t>I</w:t>
            </w:r>
          </w:p>
        </w:tc>
      </w:tr>
      <w:tr w14:paraId="25809D4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99" w:type="pct"/>
            <w:shd w:val="clear" w:color="auto" w:fill="auto"/>
            <w:noWrap/>
            <w:vAlign w:val="center"/>
          </w:tcPr>
          <w:p w14:paraId="1F5938EB">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评价工作等级</w:t>
            </w:r>
          </w:p>
        </w:tc>
        <w:tc>
          <w:tcPr>
            <w:tcW w:w="999" w:type="pct"/>
            <w:shd w:val="clear" w:color="auto" w:fill="auto"/>
            <w:noWrap w:val="0"/>
            <w:vAlign w:val="center"/>
          </w:tcPr>
          <w:p w14:paraId="4DCA8A21">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一</w:t>
            </w:r>
          </w:p>
        </w:tc>
        <w:tc>
          <w:tcPr>
            <w:tcW w:w="999" w:type="pct"/>
            <w:shd w:val="clear" w:color="auto" w:fill="D7D7D7"/>
            <w:noWrap w:val="0"/>
            <w:vAlign w:val="center"/>
          </w:tcPr>
          <w:p w14:paraId="41F5BE74">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二</w:t>
            </w:r>
          </w:p>
        </w:tc>
        <w:tc>
          <w:tcPr>
            <w:tcW w:w="1000" w:type="pct"/>
            <w:noWrap w:val="0"/>
            <w:vAlign w:val="center"/>
          </w:tcPr>
          <w:p w14:paraId="489C5CBD">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三</w:t>
            </w:r>
          </w:p>
        </w:tc>
        <w:tc>
          <w:tcPr>
            <w:tcW w:w="1000" w:type="pct"/>
            <w:noWrap w:val="0"/>
            <w:vAlign w:val="center"/>
          </w:tcPr>
          <w:p w14:paraId="23508D8E">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pPr>
            <w:r>
              <w:rPr>
                <w:rFonts w:hint="default" w:ascii="Times New Roman" w:hAnsi="Times New Roman" w:eastAsia="宋体" w:cs="Times New Roman"/>
                <w:bCs/>
                <w:color w:val="auto"/>
                <w:spacing w:val="0"/>
                <w:w w:val="100"/>
                <w:kern w:val="21"/>
                <w:position w:val="0"/>
                <w:sz w:val="21"/>
                <w:szCs w:val="21"/>
                <w:u w:val="none" w:color="auto"/>
                <w:shd w:val="clear" w:color="auto" w:fill="FFFFFF"/>
                <w:lang w:val="en-US" w:eastAsia="zh-CN" w:bidi="ar-SA"/>
              </w:rPr>
              <w:t>简单分析a</w:t>
            </w:r>
          </w:p>
        </w:tc>
      </w:tr>
      <w:tr w14:paraId="41D6F0C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00" w:type="pct"/>
            <w:gridSpan w:val="5"/>
            <w:noWrap/>
            <w:vAlign w:val="center"/>
          </w:tcPr>
          <w:p w14:paraId="715AEEE9">
            <w:pPr>
              <w:keepNext w:val="0"/>
              <w:keepLines w:val="0"/>
              <w:widowControl/>
              <w:suppressLineNumbers w:val="0"/>
              <w:bidi w:val="0"/>
              <w:spacing w:before="0" w:beforeAutospacing="0" w:after="0" w:afterAutospacing="0" w:line="240" w:lineRule="auto"/>
              <w:ind w:left="0" w:right="0" w:firstLine="361" w:firstLineChars="200"/>
              <w:jc w:val="center"/>
              <w:rPr>
                <w:rFonts w:hint="default" w:ascii="Times New Roman" w:hAnsi="Times New Roman" w:eastAsia="宋体" w:cs="Times New Roman"/>
                <w:b/>
                <w:bCs/>
                <w:color w:val="auto"/>
                <w:spacing w:val="0"/>
                <w:w w:val="100"/>
                <w:kern w:val="21"/>
                <w:position w:val="0"/>
                <w:sz w:val="18"/>
                <w:szCs w:val="21"/>
                <w:u w:val="none" w:color="auto"/>
              </w:rPr>
            </w:pPr>
            <w:r>
              <w:rPr>
                <w:rFonts w:hint="default" w:ascii="Times New Roman" w:hAnsi="Times New Roman" w:eastAsia="宋体" w:cs="Times New Roman"/>
                <w:b/>
                <w:bCs/>
                <w:color w:val="auto"/>
                <w:spacing w:val="0"/>
                <w:w w:val="100"/>
                <w:kern w:val="21"/>
                <w:position w:val="0"/>
                <w:sz w:val="18"/>
                <w:szCs w:val="21"/>
                <w:u w:val="none" w:color="auto"/>
              </w:rPr>
              <w:t>a是相对于详细评价工作内容而言，在描述危险物质、环境影响途径、环境危害后果、风险防范措施等方面给出定性的说明。见附录A。</w:t>
            </w:r>
          </w:p>
        </w:tc>
      </w:tr>
    </w:tbl>
    <w:p w14:paraId="2F8A1B2E">
      <w:pPr>
        <w:keepNext w:val="0"/>
        <w:keepLines w:val="0"/>
        <w:pageBreakBefore w:val="0"/>
        <w:kinsoku/>
        <w:wordWrap/>
        <w:overflowPunct/>
        <w:autoSpaceDE/>
        <w:autoSpaceDN/>
        <w:bidi w:val="0"/>
        <w:spacing w:line="440" w:lineRule="exact"/>
        <w:ind w:left="0" w:leftChars="0" w:firstLine="0" w:firstLineChars="0"/>
        <w:textAlignment w:val="auto"/>
        <w:rPr>
          <w:rFonts w:hint="default" w:ascii="Times New Roman" w:hAnsi="Times New Roman" w:eastAsia="宋体" w:cs="Times New Roman"/>
          <w:b/>
          <w:bCs/>
          <w:color w:val="auto"/>
          <w:spacing w:val="0"/>
          <w:w w:val="100"/>
          <w:kern w:val="21"/>
          <w:position w:val="0"/>
          <w:sz w:val="28"/>
          <w:szCs w:val="28"/>
          <w:u w:val="none" w:color="auto"/>
          <w:lang w:val="en-US" w:eastAsia="zh-CN"/>
        </w:rPr>
      </w:pPr>
      <w:r>
        <w:rPr>
          <w:rFonts w:hint="eastAsia" w:ascii="Times New Roman" w:hAnsi="Times New Roman" w:eastAsia="宋体" w:cs="Times New Roman"/>
          <w:b/>
          <w:bCs/>
          <w:color w:val="auto"/>
          <w:spacing w:val="0"/>
          <w:w w:val="100"/>
          <w:kern w:val="21"/>
          <w:position w:val="0"/>
          <w:sz w:val="28"/>
          <w:szCs w:val="28"/>
          <w:u w:val="none" w:color="auto"/>
          <w:lang w:val="en-US" w:eastAsia="zh-CN"/>
        </w:rPr>
        <w:t>4</w:t>
      </w:r>
      <w:r>
        <w:rPr>
          <w:rFonts w:hint="default" w:ascii="Times New Roman" w:hAnsi="Times New Roman" w:eastAsia="宋体" w:cs="Times New Roman"/>
          <w:b/>
          <w:bCs/>
          <w:color w:val="auto"/>
          <w:spacing w:val="0"/>
          <w:w w:val="100"/>
          <w:kern w:val="21"/>
          <w:position w:val="0"/>
          <w:sz w:val="28"/>
          <w:szCs w:val="28"/>
          <w:u w:val="none" w:color="auto"/>
          <w:lang w:val="en-US" w:eastAsia="zh-CN"/>
        </w:rPr>
        <w:t>.</w:t>
      </w:r>
      <w:r>
        <w:rPr>
          <w:rFonts w:hint="eastAsia" w:ascii="Times New Roman" w:hAnsi="Times New Roman" w:eastAsia="宋体" w:cs="Times New Roman"/>
          <w:b/>
          <w:bCs/>
          <w:color w:val="auto"/>
          <w:spacing w:val="0"/>
          <w:w w:val="100"/>
          <w:kern w:val="21"/>
          <w:position w:val="0"/>
          <w:sz w:val="28"/>
          <w:szCs w:val="28"/>
          <w:u w:val="none" w:color="auto"/>
          <w:lang w:val="en-US" w:eastAsia="zh-CN"/>
        </w:rPr>
        <w:t>2</w:t>
      </w:r>
      <w:r>
        <w:rPr>
          <w:rFonts w:hint="default" w:ascii="Times New Roman" w:hAnsi="Times New Roman" w:eastAsia="宋体" w:cs="Times New Roman"/>
          <w:b/>
          <w:bCs/>
          <w:color w:val="auto"/>
          <w:spacing w:val="0"/>
          <w:w w:val="100"/>
          <w:kern w:val="21"/>
          <w:position w:val="0"/>
          <w:sz w:val="28"/>
          <w:szCs w:val="28"/>
          <w:u w:val="none" w:color="auto"/>
          <w:lang w:val="en-US" w:eastAsia="zh-CN"/>
        </w:rPr>
        <w:t>评价</w:t>
      </w:r>
      <w:r>
        <w:rPr>
          <w:rFonts w:hint="eastAsia" w:ascii="Times New Roman" w:hAnsi="Times New Roman" w:eastAsia="宋体" w:cs="Times New Roman"/>
          <w:b/>
          <w:bCs/>
          <w:color w:val="auto"/>
          <w:spacing w:val="0"/>
          <w:w w:val="100"/>
          <w:kern w:val="21"/>
          <w:position w:val="0"/>
          <w:sz w:val="28"/>
          <w:szCs w:val="28"/>
          <w:u w:val="none" w:color="auto"/>
          <w:lang w:val="en-US" w:eastAsia="zh-CN"/>
        </w:rPr>
        <w:t>范围</w:t>
      </w:r>
    </w:p>
    <w:p w14:paraId="679C4D05">
      <w:pPr>
        <w:bidi w:val="0"/>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color w:val="auto"/>
          <w:spacing w:val="0"/>
          <w:w w:val="100"/>
          <w:kern w:val="21"/>
          <w:position w:val="0"/>
          <w:sz w:val="24"/>
          <w:u w:val="none" w:color="auto"/>
          <w:lang w:val="en-US" w:eastAsia="zh-CN"/>
        </w:rPr>
        <w:t>（1）大气环境</w:t>
      </w:r>
    </w:p>
    <w:p w14:paraId="567748C6">
      <w:pPr>
        <w:bidi w:val="0"/>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color w:val="auto"/>
          <w:spacing w:val="0"/>
          <w:w w:val="100"/>
          <w:kern w:val="21"/>
          <w:position w:val="0"/>
          <w:sz w:val="24"/>
          <w:u w:val="none" w:color="auto"/>
          <w:lang w:val="en-US" w:eastAsia="zh-CN"/>
        </w:rPr>
        <w:t>根据《建设项目环境风险评价技术导则》（HJ169-2018），确定本项目大气环境风险评价范围为距拟建项目边界外5km 范围。</w:t>
      </w:r>
    </w:p>
    <w:p w14:paraId="6B116DA5">
      <w:pPr>
        <w:bidi w:val="0"/>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color w:val="auto"/>
          <w:spacing w:val="0"/>
          <w:w w:val="100"/>
          <w:kern w:val="21"/>
          <w:position w:val="0"/>
          <w:sz w:val="24"/>
          <w:u w:val="none" w:color="auto"/>
          <w:lang w:val="en-US" w:eastAsia="zh-CN"/>
        </w:rPr>
        <w:t>（2）地表水环境</w:t>
      </w:r>
    </w:p>
    <w:p w14:paraId="3ACF9EDE">
      <w:pPr>
        <w:bidi w:val="0"/>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color w:val="auto"/>
          <w:spacing w:val="0"/>
          <w:w w:val="100"/>
          <w:kern w:val="21"/>
          <w:position w:val="0"/>
          <w:sz w:val="24"/>
          <w:u w:val="none" w:color="auto"/>
          <w:lang w:val="en-US" w:eastAsia="zh-CN"/>
        </w:rPr>
        <w:t>拟建项目</w:t>
      </w:r>
      <w:r>
        <w:rPr>
          <w:rFonts w:hint="eastAsia" w:ascii="Times New Roman" w:hAnsi="Times New Roman" w:eastAsia="宋体" w:cs="Times New Roman"/>
          <w:color w:val="auto"/>
          <w:spacing w:val="0"/>
          <w:w w:val="100"/>
          <w:kern w:val="21"/>
          <w:position w:val="0"/>
          <w:sz w:val="24"/>
          <w:u w:val="none" w:color="auto"/>
          <w:lang w:val="en-US" w:eastAsia="zh-CN"/>
        </w:rPr>
        <w:t>企业废水经处理后排入新乡市贾屯污水处理厂进一步处理，为间接排放</w:t>
      </w:r>
      <w:r>
        <w:rPr>
          <w:rFonts w:hint="default" w:ascii="Times New Roman" w:hAnsi="Times New Roman" w:eastAsia="宋体" w:cs="Times New Roman"/>
          <w:color w:val="auto"/>
          <w:spacing w:val="0"/>
          <w:w w:val="100"/>
          <w:kern w:val="21"/>
          <w:position w:val="0"/>
          <w:sz w:val="24"/>
          <w:u w:val="none" w:color="auto"/>
          <w:lang w:val="en-US" w:eastAsia="zh-CN"/>
        </w:rPr>
        <w:t>，按三级B评价，地表水环境评价范围</w:t>
      </w:r>
      <w:r>
        <w:rPr>
          <w:rFonts w:hint="eastAsia" w:ascii="Times New Roman" w:hAnsi="Times New Roman" w:eastAsia="宋体" w:cs="Times New Roman"/>
          <w:color w:val="auto"/>
          <w:spacing w:val="0"/>
          <w:w w:val="100"/>
          <w:kern w:val="21"/>
          <w:position w:val="0"/>
          <w:sz w:val="24"/>
          <w:u w:val="none" w:color="auto"/>
          <w:lang w:val="en-US" w:eastAsia="zh-CN"/>
        </w:rPr>
        <w:t>为</w:t>
      </w:r>
      <w:r>
        <w:rPr>
          <w:rFonts w:hint="default" w:ascii="Times New Roman" w:hAnsi="Times New Roman" w:eastAsia="宋体" w:cs="Times New Roman"/>
          <w:color w:val="auto"/>
          <w:spacing w:val="0"/>
          <w:w w:val="100"/>
          <w:kern w:val="21"/>
          <w:position w:val="0"/>
          <w:sz w:val="24"/>
          <w:u w:val="none" w:color="auto"/>
          <w:lang w:val="en-US" w:eastAsia="zh-CN"/>
        </w:rPr>
        <w:t>HJ2.3-2018中三级B评价范围。</w:t>
      </w:r>
    </w:p>
    <w:p w14:paraId="3B4D63B5">
      <w:pPr>
        <w:keepNext w:val="0"/>
        <w:keepLines w:val="0"/>
        <w:pageBreakBefore w:val="0"/>
        <w:numPr>
          <w:ilvl w:val="0"/>
          <w:numId w:val="4"/>
        </w:numPr>
        <w:kinsoku/>
        <w:wordWrap/>
        <w:overflowPunct/>
        <w:autoSpaceDE/>
        <w:autoSpaceDN/>
        <w:bidi w:val="0"/>
        <w:spacing w:line="440" w:lineRule="exact"/>
        <w:textAlignment w:val="auto"/>
        <w:outlineLvl w:val="0"/>
        <w:rPr>
          <w:rFonts w:hint="eastAsia" w:ascii="Times New Roman" w:hAnsi="Times New Roman" w:eastAsia="宋体" w:cs="Times New Roman"/>
          <w:b/>
          <w:color w:val="auto"/>
          <w:spacing w:val="0"/>
          <w:w w:val="100"/>
          <w:kern w:val="21"/>
          <w:position w:val="0"/>
          <w:sz w:val="30"/>
          <w:szCs w:val="30"/>
          <w:u w:val="none" w:color="auto"/>
        </w:rPr>
      </w:pPr>
      <w:r>
        <w:rPr>
          <w:rFonts w:hint="eastAsia" w:ascii="Times New Roman" w:hAnsi="Times New Roman" w:eastAsia="宋体" w:cs="Times New Roman"/>
          <w:b/>
          <w:color w:val="auto"/>
          <w:spacing w:val="0"/>
          <w:w w:val="100"/>
          <w:kern w:val="21"/>
          <w:position w:val="0"/>
          <w:sz w:val="30"/>
          <w:szCs w:val="30"/>
          <w:u w:val="none" w:color="auto"/>
        </w:rPr>
        <w:t>风险识别</w:t>
      </w:r>
    </w:p>
    <w:p w14:paraId="34EA1AB3">
      <w:pPr>
        <w:keepNext w:val="0"/>
        <w:keepLines w:val="0"/>
        <w:pageBreakBefore w:val="0"/>
        <w:kinsoku/>
        <w:wordWrap/>
        <w:overflowPunct/>
        <w:autoSpaceDE/>
        <w:autoSpaceDN/>
        <w:bidi w:val="0"/>
        <w:spacing w:line="440" w:lineRule="exact"/>
        <w:ind w:left="0" w:leftChars="0" w:firstLine="0" w:firstLineChars="0"/>
        <w:textAlignment w:val="auto"/>
        <w:rPr>
          <w:rFonts w:hint="default" w:ascii="Times New Roman" w:hAnsi="Times New Roman" w:eastAsia="宋体" w:cs="Times New Roman"/>
          <w:b/>
          <w:bCs/>
          <w:color w:val="auto"/>
          <w:spacing w:val="0"/>
          <w:w w:val="100"/>
          <w:kern w:val="21"/>
          <w:position w:val="0"/>
          <w:sz w:val="28"/>
          <w:szCs w:val="28"/>
          <w:u w:val="none" w:color="auto"/>
          <w:lang w:val="en-US" w:eastAsia="zh-CN"/>
        </w:rPr>
      </w:pPr>
      <w:r>
        <w:rPr>
          <w:rFonts w:hint="eastAsia" w:ascii="Times New Roman" w:hAnsi="Times New Roman" w:eastAsia="宋体" w:cs="Times New Roman"/>
          <w:b/>
          <w:bCs/>
          <w:color w:val="auto"/>
          <w:spacing w:val="0"/>
          <w:w w:val="100"/>
          <w:kern w:val="21"/>
          <w:position w:val="0"/>
          <w:sz w:val="28"/>
          <w:szCs w:val="28"/>
          <w:u w:val="none" w:color="auto"/>
          <w:lang w:val="en-US" w:eastAsia="zh-CN"/>
        </w:rPr>
        <w:t>5.1</w:t>
      </w:r>
      <w:r>
        <w:rPr>
          <w:rFonts w:hint="eastAsia" w:cs="Times New Roman"/>
          <w:b/>
          <w:bCs/>
          <w:color w:val="auto"/>
          <w:spacing w:val="0"/>
          <w:w w:val="100"/>
          <w:kern w:val="21"/>
          <w:position w:val="0"/>
          <w:sz w:val="28"/>
          <w:szCs w:val="28"/>
          <w:u w:val="none" w:color="auto"/>
          <w:lang w:val="en-US" w:eastAsia="zh-CN"/>
        </w:rPr>
        <w:t>风险识别内容</w:t>
      </w:r>
    </w:p>
    <w:p w14:paraId="24B2F4F8">
      <w:pPr>
        <w:bidi w:val="0"/>
        <w:spacing w:line="460" w:lineRule="exact"/>
        <w:ind w:firstLine="480" w:firstLineChars="200"/>
        <w:rPr>
          <w:rFonts w:hint="eastAsia" w:ascii="Times New Roman" w:hAnsi="Times New Roman" w:eastAsia="宋体" w:cs="Times New Roman"/>
          <w:color w:val="auto"/>
          <w:spacing w:val="0"/>
          <w:w w:val="100"/>
          <w:kern w:val="21"/>
          <w:position w:val="0"/>
          <w:sz w:val="24"/>
          <w:u w:val="none" w:color="auto"/>
          <w:lang w:val="en-US" w:eastAsia="zh-CN"/>
        </w:rPr>
      </w:pPr>
      <w:r>
        <w:rPr>
          <w:rFonts w:hint="eastAsia" w:ascii="Times New Roman" w:hAnsi="Times New Roman" w:eastAsia="宋体" w:cs="Times New Roman"/>
          <w:color w:val="auto"/>
          <w:spacing w:val="0"/>
          <w:w w:val="100"/>
          <w:kern w:val="21"/>
          <w:position w:val="0"/>
          <w:sz w:val="24"/>
          <w:u w:val="none" w:color="auto"/>
          <w:lang w:val="en-US" w:eastAsia="zh-CN"/>
        </w:rPr>
        <w:t>根据(HJ169-2018)，风险识别内容主要包括物质危险性识别、生产系统危险性识别和危险物质向环境转移的途径识别。</w:t>
      </w:r>
    </w:p>
    <w:p w14:paraId="4BFD8ECC">
      <w:pPr>
        <w:bidi w:val="0"/>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cs="Times New Roman"/>
          <w:color w:val="auto"/>
          <w:spacing w:val="0"/>
          <w:w w:val="100"/>
          <w:kern w:val="21"/>
          <w:position w:val="0"/>
          <w:sz w:val="24"/>
          <w:u w:val="none" w:color="auto"/>
          <w:lang w:val="en-US" w:eastAsia="zh-CN"/>
        </w:rPr>
        <w:t>（1）</w:t>
      </w:r>
      <w:r>
        <w:rPr>
          <w:rFonts w:hint="eastAsia" w:ascii="Times New Roman" w:hAnsi="Times New Roman" w:eastAsia="宋体" w:cs="Times New Roman"/>
          <w:color w:val="auto"/>
          <w:spacing w:val="0"/>
          <w:w w:val="100"/>
          <w:kern w:val="21"/>
          <w:position w:val="0"/>
          <w:sz w:val="24"/>
          <w:u w:val="none" w:color="auto"/>
          <w:lang w:val="en-US" w:eastAsia="zh-CN"/>
        </w:rPr>
        <w:t>危险物质识别</w:t>
      </w:r>
    </w:p>
    <w:p w14:paraId="5F3E0848">
      <w:pPr>
        <w:bidi w:val="0"/>
        <w:spacing w:line="460" w:lineRule="exact"/>
        <w:ind w:firstLine="960" w:firstLineChars="400"/>
        <w:rPr>
          <w:rFonts w:hint="eastAsia" w:ascii="Times New Roman" w:hAnsi="Times New Roman" w:eastAsia="宋体" w:cs="Times New Roman"/>
          <w:color w:val="auto"/>
          <w:spacing w:val="0"/>
          <w:w w:val="100"/>
          <w:kern w:val="21"/>
          <w:position w:val="0"/>
          <w:sz w:val="24"/>
          <w:u w:val="none" w:color="auto"/>
          <w:lang w:val="en-US" w:eastAsia="zh-CN"/>
        </w:rPr>
      </w:pPr>
      <w:r>
        <w:rPr>
          <w:rFonts w:hint="eastAsia" w:ascii="Times New Roman" w:hAnsi="Times New Roman" w:eastAsia="宋体" w:cs="Times New Roman"/>
          <w:color w:val="auto"/>
          <w:spacing w:val="0"/>
          <w:w w:val="100"/>
          <w:kern w:val="21"/>
          <w:position w:val="0"/>
          <w:sz w:val="24"/>
          <w:u w:val="none" w:color="auto"/>
          <w:lang w:val="en-US" w:eastAsia="zh-CN"/>
        </w:rPr>
        <w:t>根据《建设项目环境风险评价技术导则》（HJ169-2018）中的附录B、《企业突发环境事件分级方法》（HJ941-2018）附录A“突发环境事件风险物质及临界量清单”和《危险化学品重大危险源辨识》（GB18218-2018），结合本项目各种化学品的理化性质及毒理毒性，对项目所涉及化学品进行物质危险性判定，识别出项目环境风险物质主要为NMP、NMP回收液、电解液、锰酸锂以及镍钴锰酸锂。</w:t>
      </w:r>
    </w:p>
    <w:p w14:paraId="73A9310B">
      <w:pPr>
        <w:bidi w:val="0"/>
        <w:spacing w:line="460" w:lineRule="exact"/>
        <w:ind w:firstLine="480" w:firstLineChars="200"/>
        <w:rPr>
          <w:rFonts w:hint="default" w:ascii="Times New Roman" w:hAnsi="Times New Roman" w:eastAsia="宋体" w:cs="Times New Roman"/>
          <w:color w:val="auto"/>
          <w:spacing w:val="0"/>
          <w:w w:val="100"/>
          <w:kern w:val="21"/>
          <w:position w:val="0"/>
          <w:sz w:val="24"/>
          <w:u w:val="none" w:color="auto"/>
          <w:lang w:val="en-US" w:eastAsia="zh-CN"/>
        </w:rPr>
      </w:pPr>
      <w:r>
        <w:rPr>
          <w:rFonts w:hint="eastAsia" w:ascii="Times New Roman" w:hAnsi="Times New Roman" w:eastAsia="宋体" w:cs="Times New Roman"/>
          <w:color w:val="auto"/>
          <w:spacing w:val="0"/>
          <w:w w:val="100"/>
          <w:kern w:val="21"/>
          <w:position w:val="0"/>
          <w:sz w:val="24"/>
          <w:u w:val="none" w:color="auto"/>
          <w:lang w:val="en-US" w:eastAsia="zh-CN"/>
        </w:rPr>
        <w:t>（2）根据锂电池行业的特点，项目生产过程中不需要高温、高压，且主要原材料大部分为低毒的物质，因此在生产过程中存在的风险较小，项目主要的环境风险为原料库区、</w:t>
      </w:r>
      <w:r>
        <w:rPr>
          <w:rFonts w:hint="default" w:ascii="Times New Roman" w:hAnsi="Times New Roman" w:eastAsia="宋体" w:cs="Times New Roman"/>
          <w:color w:val="auto"/>
          <w:spacing w:val="0"/>
          <w:w w:val="100"/>
          <w:kern w:val="21"/>
          <w:position w:val="0"/>
          <w:sz w:val="24"/>
          <w:u w:val="none" w:color="auto"/>
          <w:lang w:val="en-US" w:eastAsia="zh-CN"/>
        </w:rPr>
        <w:t>NMP回收液中转罐区及暂存区，原料在厂房原材料库分区存放，原料中电解液、N-甲基吡咯烷酮（NMP）遇高热、明火或氧化剂接触，有引起燃烧的危险，由物料的燃烧会引起火灾，对环境产生影响。本工程生产工序繁多，各生产装置属连续性操作装置，部分生产装置如果生产不善或操作失误，易发生火灾、爆炸事故，危及人身安全，污染环境。</w:t>
      </w:r>
    </w:p>
    <w:p w14:paraId="6AE84103">
      <w:pPr>
        <w:bidi w:val="0"/>
        <w:spacing w:line="460" w:lineRule="exact"/>
        <w:ind w:firstLine="480" w:firstLineChars="200"/>
        <w:rPr>
          <w:rFonts w:hint="eastAsia" w:ascii="宋体" w:hAnsi="宋体" w:eastAsia="宋体" w:cs="宋体"/>
          <w:sz w:val="24"/>
          <w:szCs w:val="24"/>
          <w:u w:val="none" w:color="auto"/>
          <w:lang w:val="en-US" w:eastAsia="zh-CN"/>
        </w:rPr>
      </w:pPr>
      <w:r>
        <w:rPr>
          <w:rFonts w:hint="eastAsia" w:ascii="Times New Roman" w:hAnsi="Times New Roman" w:eastAsia="宋体" w:cs="Times New Roman"/>
          <w:color w:val="auto"/>
          <w:spacing w:val="0"/>
          <w:w w:val="100"/>
          <w:kern w:val="21"/>
          <w:position w:val="0"/>
          <w:sz w:val="24"/>
          <w:u w:val="none" w:color="auto"/>
          <w:lang w:val="en-US" w:eastAsia="zh-CN"/>
        </w:rPr>
        <w:t>（3）危险物质向环境转</w:t>
      </w:r>
      <w:r>
        <w:rPr>
          <w:rFonts w:hint="eastAsia" w:ascii="宋体" w:hAnsi="宋体" w:eastAsia="宋体"/>
          <w:spacing w:val="0"/>
          <w:w w:val="100"/>
          <w:kern w:val="21"/>
          <w:position w:val="0"/>
          <w:sz w:val="24"/>
          <w:szCs w:val="24"/>
          <w:u w:val="none" w:color="auto"/>
        </w:rPr>
        <w:t>移的途径识别：</w:t>
      </w:r>
      <w:r>
        <w:rPr>
          <w:rFonts w:ascii="宋体" w:hAnsi="宋体" w:eastAsia="宋体" w:cs="宋体"/>
          <w:sz w:val="24"/>
          <w:szCs w:val="24"/>
          <w:u w:val="none" w:color="auto"/>
        </w:rPr>
        <w:t>本项目事故风险主要是</w:t>
      </w:r>
      <w:r>
        <w:rPr>
          <w:rFonts w:hint="default" w:ascii="Times New Roman" w:hAnsi="Times New Roman" w:eastAsia="宋体" w:cs="Times New Roman"/>
          <w:sz w:val="24"/>
          <w:szCs w:val="24"/>
          <w:u w:val="none" w:color="auto"/>
        </w:rPr>
        <w:t>因电解液、NMP</w:t>
      </w:r>
      <w:r>
        <w:rPr>
          <w:rFonts w:ascii="宋体" w:hAnsi="宋体" w:eastAsia="宋体" w:cs="宋体"/>
          <w:sz w:val="24"/>
          <w:szCs w:val="24"/>
          <w:u w:val="none" w:color="auto"/>
        </w:rPr>
        <w:t>泄漏而造成的环境污染、人员健康危害以及火灾等事故，一旦发生泄漏不能及时发现处理，则有可能通过地表径流进入周围水体环境，造成地表水体和地下水体污染</w:t>
      </w:r>
      <w:r>
        <w:rPr>
          <w:rFonts w:hint="eastAsia" w:ascii="宋体" w:hAnsi="宋体" w:eastAsia="宋体" w:cs="宋体"/>
          <w:sz w:val="24"/>
          <w:szCs w:val="24"/>
          <w:u w:val="none" w:color="auto"/>
          <w:lang w:eastAsia="zh-CN"/>
        </w:rPr>
        <w:t>。</w:t>
      </w:r>
    </w:p>
    <w:p w14:paraId="4980BBCA">
      <w:pPr>
        <w:keepNext w:val="0"/>
        <w:keepLines w:val="0"/>
        <w:pageBreakBefore w:val="0"/>
        <w:numPr>
          <w:ilvl w:val="0"/>
          <w:numId w:val="4"/>
        </w:numPr>
        <w:kinsoku/>
        <w:wordWrap/>
        <w:overflowPunct/>
        <w:autoSpaceDE/>
        <w:autoSpaceDN/>
        <w:bidi w:val="0"/>
        <w:spacing w:line="440" w:lineRule="exact"/>
        <w:textAlignment w:val="auto"/>
        <w:outlineLvl w:val="0"/>
        <w:rPr>
          <w:rFonts w:hint="default" w:ascii="Times New Roman" w:hAnsi="Times New Roman" w:eastAsia="宋体" w:cs="Times New Roman"/>
          <w:b/>
          <w:color w:val="auto"/>
          <w:spacing w:val="0"/>
          <w:w w:val="100"/>
          <w:kern w:val="21"/>
          <w:position w:val="0"/>
          <w:sz w:val="30"/>
          <w:szCs w:val="30"/>
          <w:u w:val="none" w:color="auto"/>
          <w:lang w:val="en-US" w:eastAsia="zh-CN"/>
        </w:rPr>
      </w:pPr>
      <w:r>
        <w:rPr>
          <w:rFonts w:hint="eastAsia" w:ascii="Times New Roman" w:hAnsi="Times New Roman" w:eastAsia="宋体" w:cs="Times New Roman"/>
          <w:b/>
          <w:color w:val="auto"/>
          <w:spacing w:val="0"/>
          <w:w w:val="100"/>
          <w:kern w:val="21"/>
          <w:position w:val="0"/>
          <w:sz w:val="30"/>
          <w:szCs w:val="30"/>
          <w:u w:val="none" w:color="auto"/>
          <w:lang w:val="en-US" w:eastAsia="zh-CN"/>
        </w:rPr>
        <w:t>风险识别方法</w:t>
      </w:r>
    </w:p>
    <w:p w14:paraId="0C9D91BE">
      <w:pPr>
        <w:pStyle w:val="128"/>
        <w:numPr>
          <w:ilvl w:val="2"/>
          <w:numId w:val="0"/>
        </w:numPr>
        <w:bidi w:val="0"/>
        <w:ind w:leftChars="0"/>
        <w:outlineLvl w:val="2"/>
        <w:rPr>
          <w:rFonts w:hint="eastAsia" w:ascii="Times New Roman" w:hAnsi="Times New Roman" w:eastAsia="宋体" w:cs="Times New Roman"/>
          <w:color w:val="auto"/>
          <w:spacing w:val="0"/>
          <w:w w:val="100"/>
          <w:kern w:val="21"/>
          <w:position w:val="0"/>
          <w:u w:val="none" w:color="auto"/>
          <w:lang w:val="en-US" w:eastAsia="zh-CN"/>
        </w:rPr>
      </w:pPr>
      <w:r>
        <w:rPr>
          <w:rFonts w:hint="eastAsia" w:ascii="Times New Roman" w:hAnsi="Times New Roman" w:eastAsia="宋体" w:cs="Times New Roman"/>
          <w:color w:val="auto"/>
          <w:spacing w:val="0"/>
          <w:w w:val="100"/>
          <w:kern w:val="21"/>
          <w:position w:val="0"/>
          <w:u w:val="none" w:color="auto"/>
          <w:lang w:val="en-US" w:eastAsia="zh-CN"/>
        </w:rPr>
        <w:t>6.1同类事故资料统计</w:t>
      </w:r>
    </w:p>
    <w:p w14:paraId="73FF953A">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b w:val="0"/>
          <w:color w:val="auto"/>
          <w:spacing w:val="0"/>
          <w:w w:val="100"/>
          <w:kern w:val="21"/>
          <w:position w:val="0"/>
          <w:sz w:val="24"/>
          <w:szCs w:val="24"/>
          <w:u w:val="none" w:color="auto"/>
          <w:lang w:val="en-US" w:eastAsia="zh-CN" w:bidi="ar-SA"/>
        </w:rPr>
      </w:pPr>
      <w:r>
        <w:rPr>
          <w:rFonts w:ascii="宋体" w:hAnsi="宋体" w:eastAsia="宋体" w:cs="宋体"/>
          <w:sz w:val="24"/>
          <w:szCs w:val="24"/>
          <w:u w:val="none" w:color="auto"/>
        </w:rPr>
        <w:t>根据相关资料及报道，本次评价列举几起电池生产厂家泄漏火灾事故如下：</w:t>
      </w:r>
    </w:p>
    <w:p w14:paraId="1A8B2650">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eastAsia="黑体" w:cs="Times New Roman"/>
          <w:color w:val="auto"/>
          <w:spacing w:val="0"/>
          <w:w w:val="100"/>
          <w:kern w:val="21"/>
          <w:position w:val="0"/>
          <w:sz w:val="24"/>
          <w:szCs w:val="24"/>
          <w:u w:val="none" w:color="auto"/>
          <w:lang w:val="en-US" w:eastAsia="zh-CN"/>
        </w:rPr>
        <w:t>典型事故案例一览表</w:t>
      </w:r>
    </w:p>
    <w:tbl>
      <w:tblPr>
        <w:tblStyle w:val="3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75"/>
        <w:gridCol w:w="2743"/>
        <w:gridCol w:w="1226"/>
        <w:gridCol w:w="1849"/>
        <w:gridCol w:w="1849"/>
      </w:tblGrid>
      <w:tr w14:paraId="4CF26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tcBorders>
              <w:tl2br w:val="nil"/>
              <w:tr2bl w:val="nil"/>
            </w:tcBorders>
            <w:vAlign w:val="center"/>
          </w:tcPr>
          <w:p w14:paraId="22DC79A6">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t>时间</w:t>
            </w:r>
          </w:p>
        </w:tc>
        <w:tc>
          <w:tcPr>
            <w:tcW w:w="2743" w:type="dxa"/>
            <w:tcBorders>
              <w:tl2br w:val="nil"/>
              <w:tr2bl w:val="nil"/>
            </w:tcBorders>
            <w:vAlign w:val="center"/>
          </w:tcPr>
          <w:p w14:paraId="1CE5FE75">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t>企业名称</w:t>
            </w:r>
          </w:p>
        </w:tc>
        <w:tc>
          <w:tcPr>
            <w:tcW w:w="1226" w:type="dxa"/>
            <w:tcBorders>
              <w:tl2br w:val="nil"/>
              <w:tr2bl w:val="nil"/>
            </w:tcBorders>
            <w:vAlign w:val="center"/>
          </w:tcPr>
          <w:p w14:paraId="25C3158C">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t>事故类别</w:t>
            </w:r>
          </w:p>
        </w:tc>
        <w:tc>
          <w:tcPr>
            <w:tcW w:w="1849" w:type="dxa"/>
            <w:tcBorders>
              <w:tl2br w:val="nil"/>
              <w:tr2bl w:val="nil"/>
            </w:tcBorders>
            <w:vAlign w:val="center"/>
          </w:tcPr>
          <w:p w14:paraId="41CBD9D8">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t>事故原因</w:t>
            </w:r>
          </w:p>
        </w:tc>
        <w:tc>
          <w:tcPr>
            <w:tcW w:w="1849" w:type="dxa"/>
            <w:tcBorders>
              <w:tl2br w:val="nil"/>
              <w:tr2bl w:val="nil"/>
            </w:tcBorders>
            <w:vAlign w:val="center"/>
          </w:tcPr>
          <w:p w14:paraId="5959DB29">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t>后果</w:t>
            </w:r>
          </w:p>
        </w:tc>
      </w:tr>
      <w:tr w14:paraId="6B7A1E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tcBorders>
              <w:tl2br w:val="nil"/>
              <w:tr2bl w:val="nil"/>
            </w:tcBorders>
            <w:vAlign w:val="center"/>
          </w:tcPr>
          <w:p w14:paraId="56022E56">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t>2017.4.18</w:t>
            </w:r>
          </w:p>
        </w:tc>
        <w:tc>
          <w:tcPr>
            <w:tcW w:w="2743" w:type="dxa"/>
            <w:tcBorders>
              <w:tl2br w:val="nil"/>
              <w:tr2bl w:val="nil"/>
            </w:tcBorders>
            <w:vAlign w:val="center"/>
          </w:tcPr>
          <w:p w14:paraId="0661E273">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t>特斯拉超级电池厂</w:t>
            </w:r>
          </w:p>
        </w:tc>
        <w:tc>
          <w:tcPr>
            <w:tcW w:w="1226" w:type="dxa"/>
            <w:tcBorders>
              <w:tl2br w:val="nil"/>
              <w:tr2bl w:val="nil"/>
            </w:tcBorders>
            <w:vAlign w:val="center"/>
          </w:tcPr>
          <w:p w14:paraId="69EDD5F9">
            <w:pPr>
              <w:numPr>
                <w:ilvl w:val="0"/>
                <w:numId w:val="0"/>
              </w:numPr>
              <w:bidi w:val="0"/>
              <w:spacing w:line="240" w:lineRule="auto"/>
              <w:jc w:val="center"/>
              <w:rPr>
                <w:rFonts w:hint="eastAsia"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溶剂</w:t>
            </w:r>
            <w:r>
              <w:rPr>
                <w:rFonts w:hint="eastAsia" w:ascii="Times New Roman" w:hAnsi="Times New Roman" w:eastAsia="宋体" w:cs="Times New Roman"/>
                <w:sz w:val="21"/>
                <w:szCs w:val="21"/>
                <w:u w:val="none" w:color="auto"/>
                <w:lang w:eastAsia="zh-CN"/>
              </w:rPr>
              <w:t>泄漏</w:t>
            </w:r>
          </w:p>
        </w:tc>
        <w:tc>
          <w:tcPr>
            <w:tcW w:w="1849" w:type="dxa"/>
            <w:tcBorders>
              <w:tl2br w:val="nil"/>
              <w:tr2bl w:val="nil"/>
            </w:tcBorders>
            <w:vAlign w:val="center"/>
          </w:tcPr>
          <w:p w14:paraId="579C8F22">
            <w:pPr>
              <w:numPr>
                <w:ilvl w:val="0"/>
                <w:numId w:val="0"/>
              </w:numPr>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原料间员工操作失误</w:t>
            </w:r>
          </w:p>
        </w:tc>
        <w:tc>
          <w:tcPr>
            <w:tcW w:w="1849" w:type="dxa"/>
            <w:tcBorders>
              <w:tl2br w:val="nil"/>
              <w:tr2bl w:val="nil"/>
            </w:tcBorders>
            <w:vAlign w:val="center"/>
          </w:tcPr>
          <w:p w14:paraId="50F109D1">
            <w:pPr>
              <w:numPr>
                <w:ilvl w:val="0"/>
                <w:numId w:val="0"/>
              </w:numPr>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财产损失，未造成人员伤亡</w:t>
            </w:r>
          </w:p>
        </w:tc>
      </w:tr>
      <w:tr w14:paraId="7777D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tcBorders>
              <w:tl2br w:val="nil"/>
              <w:tr2bl w:val="nil"/>
            </w:tcBorders>
            <w:vAlign w:val="center"/>
          </w:tcPr>
          <w:p w14:paraId="3EFFFA98">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2014.10.3</w:t>
            </w:r>
          </w:p>
        </w:tc>
        <w:tc>
          <w:tcPr>
            <w:tcW w:w="2743" w:type="dxa"/>
            <w:tcBorders>
              <w:tl2br w:val="nil"/>
              <w:tr2bl w:val="nil"/>
            </w:tcBorders>
            <w:vAlign w:val="center"/>
          </w:tcPr>
          <w:p w14:paraId="0DF4314E">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常州锂霸电池有限公司</w:t>
            </w:r>
          </w:p>
        </w:tc>
        <w:tc>
          <w:tcPr>
            <w:tcW w:w="1226" w:type="dxa"/>
            <w:tcBorders>
              <w:tl2br w:val="nil"/>
              <w:tr2bl w:val="nil"/>
            </w:tcBorders>
            <w:vAlign w:val="center"/>
          </w:tcPr>
          <w:p w14:paraId="40D6276A">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火灾</w:t>
            </w:r>
          </w:p>
        </w:tc>
        <w:tc>
          <w:tcPr>
            <w:tcW w:w="1849" w:type="dxa"/>
            <w:tcBorders>
              <w:tl2br w:val="nil"/>
              <w:tr2bl w:val="nil"/>
            </w:tcBorders>
            <w:vAlign w:val="center"/>
          </w:tcPr>
          <w:p w14:paraId="1A916418">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放锂电池</w:t>
            </w:r>
            <w:r>
              <w:rPr>
                <w:rFonts w:hint="default" w:ascii="Times New Roman" w:hAnsi="Times New Roman" w:eastAsia="宋体" w:cs="Times New Roman"/>
                <w:sz w:val="21"/>
                <w:szCs w:val="21"/>
                <w:u w:val="none" w:color="auto"/>
                <w:lang w:val="en-US" w:eastAsia="zh-CN"/>
              </w:rPr>
              <w:t>仓库起火</w:t>
            </w:r>
          </w:p>
        </w:tc>
        <w:tc>
          <w:tcPr>
            <w:tcW w:w="1849" w:type="dxa"/>
            <w:tcBorders>
              <w:tl2br w:val="nil"/>
              <w:tr2bl w:val="nil"/>
            </w:tcBorders>
            <w:vAlign w:val="center"/>
          </w:tcPr>
          <w:p w14:paraId="4B1FF39E">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财产损失，未造成人员伤亡</w:t>
            </w:r>
          </w:p>
        </w:tc>
      </w:tr>
      <w:tr w14:paraId="5B654F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tcBorders>
              <w:tl2br w:val="nil"/>
              <w:tr2bl w:val="nil"/>
            </w:tcBorders>
            <w:vAlign w:val="center"/>
          </w:tcPr>
          <w:p w14:paraId="1AE7CCB6">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2013.10.11</w:t>
            </w:r>
          </w:p>
        </w:tc>
        <w:tc>
          <w:tcPr>
            <w:tcW w:w="2743" w:type="dxa"/>
            <w:tcBorders>
              <w:tl2br w:val="nil"/>
              <w:tr2bl w:val="nil"/>
            </w:tcBorders>
            <w:vAlign w:val="center"/>
          </w:tcPr>
          <w:p w14:paraId="2985CE30">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惠州泰格威电池厂</w:t>
            </w:r>
          </w:p>
        </w:tc>
        <w:tc>
          <w:tcPr>
            <w:tcW w:w="1226" w:type="dxa"/>
            <w:tcBorders>
              <w:tl2br w:val="nil"/>
              <w:tr2bl w:val="nil"/>
            </w:tcBorders>
            <w:vAlign w:val="center"/>
          </w:tcPr>
          <w:p w14:paraId="0A2780A9">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火灾</w:t>
            </w:r>
          </w:p>
        </w:tc>
        <w:tc>
          <w:tcPr>
            <w:tcW w:w="1849" w:type="dxa"/>
            <w:tcBorders>
              <w:tl2br w:val="nil"/>
              <w:tr2bl w:val="nil"/>
            </w:tcBorders>
            <w:vAlign w:val="center"/>
          </w:tcPr>
          <w:p w14:paraId="2BEF1236">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仓库起</w:t>
            </w:r>
            <w:r>
              <w:rPr>
                <w:rFonts w:hint="default" w:ascii="Times New Roman" w:hAnsi="Times New Roman" w:eastAsia="宋体" w:cs="Times New Roman"/>
                <w:sz w:val="21"/>
                <w:szCs w:val="21"/>
                <w:u w:val="none" w:color="auto"/>
                <w:lang w:val="en-US" w:eastAsia="zh-CN"/>
              </w:rPr>
              <w:t>火</w:t>
            </w:r>
          </w:p>
        </w:tc>
        <w:tc>
          <w:tcPr>
            <w:tcW w:w="1849" w:type="dxa"/>
            <w:tcBorders>
              <w:tl2br w:val="nil"/>
              <w:tr2bl w:val="nil"/>
            </w:tcBorders>
            <w:vAlign w:val="center"/>
          </w:tcPr>
          <w:p w14:paraId="204AACD6">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财产损失，未造成人员伤亡</w:t>
            </w:r>
          </w:p>
        </w:tc>
      </w:tr>
      <w:tr w14:paraId="0EB236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tcBorders>
              <w:tl2br w:val="nil"/>
              <w:tr2bl w:val="nil"/>
            </w:tcBorders>
            <w:vAlign w:val="center"/>
          </w:tcPr>
          <w:p w14:paraId="0923A1E4">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2013.9.25</w:t>
            </w:r>
          </w:p>
        </w:tc>
        <w:tc>
          <w:tcPr>
            <w:tcW w:w="2743" w:type="dxa"/>
            <w:tcBorders>
              <w:tl2br w:val="nil"/>
              <w:tr2bl w:val="nil"/>
            </w:tcBorders>
            <w:vAlign w:val="center"/>
          </w:tcPr>
          <w:p w14:paraId="2B02BBCC">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江苏无锡明杨电池厂</w:t>
            </w:r>
          </w:p>
        </w:tc>
        <w:tc>
          <w:tcPr>
            <w:tcW w:w="1226" w:type="dxa"/>
            <w:tcBorders>
              <w:tl2br w:val="nil"/>
              <w:tr2bl w:val="nil"/>
            </w:tcBorders>
            <w:vAlign w:val="center"/>
          </w:tcPr>
          <w:p w14:paraId="56695761">
            <w:pPr>
              <w:numPr>
                <w:ilvl w:val="0"/>
                <w:numId w:val="0"/>
              </w:numPr>
              <w:tabs>
                <w:tab w:val="left" w:pos="420"/>
                <w:tab w:val="center" w:pos="4420"/>
              </w:tabs>
              <w:bidi w:val="0"/>
              <w:spacing w:line="240" w:lineRule="auto"/>
              <w:ind w:left="0" w:leftChars="0" w:firstLine="0" w:firstLineChars="0"/>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火灾</w:t>
            </w:r>
          </w:p>
        </w:tc>
        <w:tc>
          <w:tcPr>
            <w:tcW w:w="1849" w:type="dxa"/>
            <w:tcBorders>
              <w:tl2br w:val="nil"/>
              <w:tr2bl w:val="nil"/>
            </w:tcBorders>
            <w:vAlign w:val="center"/>
          </w:tcPr>
          <w:p w14:paraId="2C05B743">
            <w:pPr>
              <w:numPr>
                <w:ilvl w:val="0"/>
                <w:numId w:val="0"/>
              </w:numPr>
              <w:tabs>
                <w:tab w:val="left" w:pos="420"/>
                <w:tab w:val="center" w:pos="4420"/>
              </w:tabs>
              <w:bidi w:val="0"/>
              <w:spacing w:line="240" w:lineRule="auto"/>
              <w:ind w:left="0" w:leftChars="0" w:firstLine="0" w:firstLineChars="0"/>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仓库起</w:t>
            </w:r>
            <w:r>
              <w:rPr>
                <w:rFonts w:hint="default" w:ascii="Times New Roman" w:hAnsi="Times New Roman" w:eastAsia="宋体" w:cs="Times New Roman"/>
                <w:sz w:val="21"/>
                <w:szCs w:val="21"/>
                <w:u w:val="none" w:color="auto"/>
                <w:lang w:val="en-US" w:eastAsia="zh-CN"/>
              </w:rPr>
              <w:t>火</w:t>
            </w:r>
          </w:p>
        </w:tc>
        <w:tc>
          <w:tcPr>
            <w:tcW w:w="1849" w:type="dxa"/>
            <w:tcBorders>
              <w:tl2br w:val="nil"/>
              <w:tr2bl w:val="nil"/>
            </w:tcBorders>
            <w:vAlign w:val="center"/>
          </w:tcPr>
          <w:p w14:paraId="7A7430BF">
            <w:pPr>
              <w:numPr>
                <w:ilvl w:val="0"/>
                <w:numId w:val="0"/>
              </w:numPr>
              <w:tabs>
                <w:tab w:val="left" w:pos="420"/>
                <w:tab w:val="center" w:pos="4420"/>
              </w:tabs>
              <w:bidi w:val="0"/>
              <w:spacing w:line="240" w:lineRule="auto"/>
              <w:ind w:left="0" w:leftChars="0" w:firstLine="0" w:firstLineChars="0"/>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财产损失，未造成人员伤亡</w:t>
            </w:r>
          </w:p>
        </w:tc>
      </w:tr>
      <w:tr w14:paraId="07452F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tcBorders>
              <w:tl2br w:val="nil"/>
              <w:tr2bl w:val="nil"/>
            </w:tcBorders>
            <w:vAlign w:val="center"/>
          </w:tcPr>
          <w:p w14:paraId="22D21FA4">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2013.7.20</w:t>
            </w:r>
          </w:p>
        </w:tc>
        <w:tc>
          <w:tcPr>
            <w:tcW w:w="2743" w:type="dxa"/>
            <w:tcBorders>
              <w:tl2br w:val="nil"/>
              <w:tr2bl w:val="nil"/>
            </w:tcBorders>
            <w:vAlign w:val="center"/>
          </w:tcPr>
          <w:p w14:paraId="243A4DE7">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深圳市龙岗区坪地街道 威力长宜电池厂</w:t>
            </w:r>
          </w:p>
        </w:tc>
        <w:tc>
          <w:tcPr>
            <w:tcW w:w="1226" w:type="dxa"/>
            <w:tcBorders>
              <w:tl2br w:val="nil"/>
              <w:tr2bl w:val="nil"/>
            </w:tcBorders>
            <w:vAlign w:val="center"/>
          </w:tcPr>
          <w:p w14:paraId="06EADB25">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火灾</w:t>
            </w:r>
          </w:p>
        </w:tc>
        <w:tc>
          <w:tcPr>
            <w:tcW w:w="1849" w:type="dxa"/>
            <w:tcBorders>
              <w:tl2br w:val="nil"/>
              <w:tr2bl w:val="nil"/>
            </w:tcBorders>
            <w:vAlign w:val="center"/>
          </w:tcPr>
          <w:p w14:paraId="3C9BB0A7">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成品库房电池自燃起火</w:t>
            </w:r>
          </w:p>
        </w:tc>
        <w:tc>
          <w:tcPr>
            <w:tcW w:w="1849" w:type="dxa"/>
            <w:tcBorders>
              <w:tl2br w:val="nil"/>
              <w:tr2bl w:val="nil"/>
            </w:tcBorders>
            <w:vAlign w:val="center"/>
          </w:tcPr>
          <w:p w14:paraId="3CD2C710">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财产损失，未造成人员伤亡</w:t>
            </w:r>
          </w:p>
        </w:tc>
      </w:tr>
      <w:tr w14:paraId="7C28A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tcBorders>
              <w:tl2br w:val="nil"/>
              <w:tr2bl w:val="nil"/>
            </w:tcBorders>
            <w:vAlign w:val="center"/>
          </w:tcPr>
          <w:p w14:paraId="1D28D859">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2013.7.7</w:t>
            </w:r>
          </w:p>
        </w:tc>
        <w:tc>
          <w:tcPr>
            <w:tcW w:w="2743" w:type="dxa"/>
            <w:tcBorders>
              <w:tl2br w:val="nil"/>
              <w:tr2bl w:val="nil"/>
            </w:tcBorders>
            <w:vAlign w:val="center"/>
          </w:tcPr>
          <w:p w14:paraId="448E0192">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深圳优特利电源</w:t>
            </w:r>
          </w:p>
        </w:tc>
        <w:tc>
          <w:tcPr>
            <w:tcW w:w="1226" w:type="dxa"/>
            <w:tcBorders>
              <w:tl2br w:val="nil"/>
              <w:tr2bl w:val="nil"/>
            </w:tcBorders>
            <w:vAlign w:val="center"/>
          </w:tcPr>
          <w:p w14:paraId="64D6C197">
            <w:pPr>
              <w:numPr>
                <w:ilvl w:val="0"/>
                <w:numId w:val="0"/>
              </w:numPr>
              <w:tabs>
                <w:tab w:val="left" w:pos="420"/>
                <w:tab w:val="center" w:pos="4420"/>
              </w:tabs>
              <w:bidi w:val="0"/>
              <w:spacing w:line="240" w:lineRule="auto"/>
              <w:ind w:left="0" w:leftChars="0" w:firstLine="0" w:firstLineChars="0"/>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火灾</w:t>
            </w:r>
          </w:p>
        </w:tc>
        <w:tc>
          <w:tcPr>
            <w:tcW w:w="1849" w:type="dxa"/>
            <w:tcBorders>
              <w:tl2br w:val="nil"/>
              <w:tr2bl w:val="nil"/>
            </w:tcBorders>
            <w:vAlign w:val="center"/>
          </w:tcPr>
          <w:p w14:paraId="379FB56F">
            <w:pPr>
              <w:numPr>
                <w:ilvl w:val="0"/>
                <w:numId w:val="0"/>
              </w:numPr>
              <w:tabs>
                <w:tab w:val="left" w:pos="420"/>
                <w:tab w:val="center" w:pos="4420"/>
              </w:tabs>
              <w:bidi w:val="0"/>
              <w:spacing w:line="240" w:lineRule="auto"/>
              <w:ind w:left="0" w:leftChars="0" w:firstLine="0" w:firstLineChars="0"/>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仓库起</w:t>
            </w:r>
            <w:r>
              <w:rPr>
                <w:rFonts w:hint="default" w:ascii="Times New Roman" w:hAnsi="Times New Roman" w:eastAsia="宋体" w:cs="Times New Roman"/>
                <w:sz w:val="21"/>
                <w:szCs w:val="21"/>
                <w:u w:val="none" w:color="auto"/>
                <w:lang w:val="en-US" w:eastAsia="zh-CN"/>
              </w:rPr>
              <w:t>火</w:t>
            </w:r>
          </w:p>
        </w:tc>
        <w:tc>
          <w:tcPr>
            <w:tcW w:w="1849" w:type="dxa"/>
            <w:tcBorders>
              <w:tl2br w:val="nil"/>
              <w:tr2bl w:val="nil"/>
            </w:tcBorders>
            <w:vAlign w:val="center"/>
          </w:tcPr>
          <w:p w14:paraId="2E2FF429">
            <w:pPr>
              <w:numPr>
                <w:ilvl w:val="0"/>
                <w:numId w:val="0"/>
              </w:numPr>
              <w:tabs>
                <w:tab w:val="left" w:pos="420"/>
                <w:tab w:val="center" w:pos="4420"/>
              </w:tabs>
              <w:bidi w:val="0"/>
              <w:spacing w:line="240" w:lineRule="auto"/>
              <w:ind w:left="0" w:leftChars="0" w:firstLine="0" w:firstLineChars="0"/>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财产损失，未造成人员伤亡</w:t>
            </w:r>
          </w:p>
        </w:tc>
      </w:tr>
      <w:tr w14:paraId="706802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75" w:type="dxa"/>
            <w:tcBorders>
              <w:tl2br w:val="nil"/>
              <w:tr2bl w:val="nil"/>
            </w:tcBorders>
            <w:vAlign w:val="center"/>
          </w:tcPr>
          <w:p w14:paraId="639B1BA3">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2010.9.30</w:t>
            </w:r>
          </w:p>
        </w:tc>
        <w:tc>
          <w:tcPr>
            <w:tcW w:w="2743" w:type="dxa"/>
            <w:tcBorders>
              <w:tl2br w:val="nil"/>
              <w:tr2bl w:val="nil"/>
            </w:tcBorders>
            <w:vAlign w:val="center"/>
          </w:tcPr>
          <w:p w14:paraId="68403031">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武汉力兴电源股份有限公司</w:t>
            </w:r>
          </w:p>
        </w:tc>
        <w:tc>
          <w:tcPr>
            <w:tcW w:w="1226" w:type="dxa"/>
            <w:tcBorders>
              <w:tl2br w:val="nil"/>
              <w:tr2bl w:val="nil"/>
            </w:tcBorders>
            <w:vAlign w:val="center"/>
          </w:tcPr>
          <w:p w14:paraId="11C912A2">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火灾</w:t>
            </w:r>
          </w:p>
        </w:tc>
        <w:tc>
          <w:tcPr>
            <w:tcW w:w="1849" w:type="dxa"/>
            <w:tcBorders>
              <w:tl2br w:val="nil"/>
              <w:tr2bl w:val="nil"/>
            </w:tcBorders>
            <w:vAlign w:val="center"/>
          </w:tcPr>
          <w:p w14:paraId="697A97E0">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成品库房电池自燃 起火</w:t>
            </w:r>
          </w:p>
        </w:tc>
        <w:tc>
          <w:tcPr>
            <w:tcW w:w="1849" w:type="dxa"/>
            <w:tcBorders>
              <w:tl2br w:val="nil"/>
              <w:tr2bl w:val="nil"/>
            </w:tcBorders>
            <w:vAlign w:val="center"/>
          </w:tcPr>
          <w:p w14:paraId="3F40E0B1">
            <w:pPr>
              <w:numPr>
                <w:ilvl w:val="0"/>
                <w:numId w:val="0"/>
              </w:numPr>
              <w:tabs>
                <w:tab w:val="left" w:pos="420"/>
                <w:tab w:val="center" w:pos="4420"/>
              </w:tabs>
              <w:bidi w:val="0"/>
              <w:spacing w:line="240" w:lineRule="auto"/>
              <w:jc w:val="center"/>
              <w:rPr>
                <w:rFonts w:hint="default" w:ascii="Times New Roman" w:hAnsi="Times New Roman" w:eastAsia="宋体" w:cs="Times New Roman"/>
                <w:color w:val="auto"/>
                <w:spacing w:val="0"/>
                <w:w w:val="100"/>
                <w:kern w:val="21"/>
                <w:position w:val="0"/>
                <w:sz w:val="21"/>
                <w:szCs w:val="21"/>
                <w:u w:val="none" w:color="auto"/>
                <w:vertAlign w:val="baseline"/>
                <w:lang w:val="en-US" w:eastAsia="zh-CN"/>
              </w:rPr>
            </w:pPr>
            <w:r>
              <w:rPr>
                <w:rFonts w:hint="default" w:ascii="Times New Roman" w:hAnsi="Times New Roman" w:eastAsia="宋体" w:cs="Times New Roman"/>
                <w:sz w:val="21"/>
                <w:szCs w:val="21"/>
                <w:u w:val="none" w:color="auto"/>
              </w:rPr>
              <w:t>财产损失，未造成人员伤亡</w:t>
            </w:r>
          </w:p>
        </w:tc>
      </w:tr>
    </w:tbl>
    <w:p w14:paraId="62EA9C81">
      <w:pPr>
        <w:pStyle w:val="128"/>
        <w:numPr>
          <w:ilvl w:val="2"/>
          <w:numId w:val="0"/>
        </w:numPr>
        <w:bidi w:val="0"/>
        <w:ind w:leftChars="0"/>
        <w:outlineLvl w:val="2"/>
        <w:rPr>
          <w:rFonts w:hint="default" w:ascii="Times New Roman" w:hAnsi="Times New Roman" w:eastAsia="宋体" w:cs="Times New Roman"/>
          <w:color w:val="auto"/>
          <w:spacing w:val="0"/>
          <w:w w:val="100"/>
          <w:kern w:val="21"/>
          <w:position w:val="0"/>
          <w:u w:val="none" w:color="auto"/>
          <w:lang w:val="en-US" w:eastAsia="zh-CN"/>
        </w:rPr>
      </w:pPr>
      <w:r>
        <w:rPr>
          <w:rFonts w:hint="default" w:ascii="Times New Roman" w:hAnsi="Times New Roman" w:eastAsia="宋体" w:cs="Times New Roman"/>
          <w:color w:val="auto"/>
          <w:spacing w:val="0"/>
          <w:w w:val="100"/>
          <w:kern w:val="21"/>
          <w:position w:val="0"/>
          <w:u w:val="none" w:color="auto"/>
          <w:lang w:val="en-US" w:eastAsia="zh-CN"/>
        </w:rPr>
        <w:t>6.2物质危险性识别</w:t>
      </w:r>
    </w:p>
    <w:p w14:paraId="3B13B7DD">
      <w:pPr>
        <w:keepNext w:val="0"/>
        <w:keepLines w:val="0"/>
        <w:pageBreakBefore w:val="0"/>
        <w:numPr>
          <w:ilvl w:val="0"/>
          <w:numId w:val="0"/>
        </w:numPr>
        <w:kinsoku/>
        <w:wordWrap/>
        <w:overflowPunct/>
        <w:autoSpaceDE/>
        <w:autoSpaceDN/>
        <w:bidi w:val="0"/>
        <w:spacing w:line="440" w:lineRule="exact"/>
        <w:textAlignment w:val="auto"/>
        <w:rPr>
          <w:rFonts w:hint="default" w:ascii="Times New Roman" w:hAnsi="Times New Roman" w:eastAsia="宋体" w:cs="Times New Roman"/>
          <w:b w:val="0"/>
          <w:bCs w:val="0"/>
          <w:sz w:val="24"/>
          <w:szCs w:val="24"/>
          <w:u w:val="none" w:color="auto"/>
        </w:rPr>
      </w:pPr>
      <w:r>
        <w:rPr>
          <w:rFonts w:hint="default" w:ascii="Times New Roman" w:hAnsi="Times New Roman" w:eastAsia="宋体" w:cs="Times New Roman"/>
          <w:b w:val="0"/>
          <w:bCs w:val="0"/>
          <w:sz w:val="24"/>
          <w:szCs w:val="24"/>
          <w:u w:val="none" w:color="auto"/>
        </w:rPr>
        <w:t>一、危险物质识别</w:t>
      </w:r>
    </w:p>
    <w:p w14:paraId="4D44A8AF">
      <w:pPr>
        <w:keepNext w:val="0"/>
        <w:keepLines w:val="0"/>
        <w:pageBreakBefore w:val="0"/>
        <w:numPr>
          <w:ilvl w:val="0"/>
          <w:numId w:val="0"/>
        </w:numPr>
        <w:kinsoku/>
        <w:wordWrap/>
        <w:overflowPunct/>
        <w:autoSpaceDE/>
        <w:autoSpaceDN/>
        <w:bidi w:val="0"/>
        <w:spacing w:line="440" w:lineRule="exact"/>
        <w:ind w:firstLine="480" w:firstLineChars="200"/>
        <w:textAlignment w:val="auto"/>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b w:val="0"/>
          <w:bCs w:val="0"/>
          <w:sz w:val="24"/>
          <w:szCs w:val="24"/>
          <w:u w:val="none" w:color="auto"/>
        </w:rPr>
        <w:t>根据设计资料，对照《建设项目环境影响评价技术导则》（HJ169-2018）附录B，结合风险物质调查结果，识别出本项目主要危险物质</w:t>
      </w:r>
      <w:r>
        <w:rPr>
          <w:rFonts w:hint="eastAsia" w:ascii="Times New Roman" w:hAnsi="Times New Roman" w:eastAsia="宋体" w:cs="Times New Roman"/>
          <w:b w:val="0"/>
          <w:bCs w:val="0"/>
          <w:sz w:val="24"/>
          <w:szCs w:val="24"/>
          <w:u w:val="none" w:color="auto"/>
          <w:lang w:val="en-US" w:eastAsia="zh-CN"/>
        </w:rPr>
        <w:t>为</w:t>
      </w:r>
      <w:r>
        <w:rPr>
          <w:rFonts w:hint="eastAsia" w:ascii="Times New Roman" w:hAnsi="Times New Roman" w:eastAsia="宋体" w:cs="Times New Roman"/>
          <w:color w:val="auto"/>
          <w:spacing w:val="0"/>
          <w:w w:val="100"/>
          <w:kern w:val="21"/>
          <w:position w:val="0"/>
          <w:sz w:val="24"/>
          <w:u w:val="none" w:color="auto"/>
          <w:lang w:val="en-US" w:eastAsia="zh-CN"/>
        </w:rPr>
        <w:t>NMP、NMP回收液、电解液、锰酸锂以及镍钴锰酸锂，其物质的理化性质已在表1-表4列明。</w:t>
      </w:r>
    </w:p>
    <w:p w14:paraId="42D48AFC">
      <w:pPr>
        <w:keepNext w:val="0"/>
        <w:keepLines w:val="0"/>
        <w:pageBreakBefore w:val="0"/>
        <w:numPr>
          <w:ilvl w:val="0"/>
          <w:numId w:val="0"/>
        </w:numPr>
        <w:kinsoku/>
        <w:wordWrap/>
        <w:overflowPunct/>
        <w:autoSpaceDE/>
        <w:autoSpaceDN/>
        <w:bidi w:val="0"/>
        <w:spacing w:line="440" w:lineRule="exact"/>
        <w:ind w:firstLine="480" w:firstLineChars="200"/>
        <w:textAlignment w:val="auto"/>
        <w:rPr>
          <w:rFonts w:hint="default" w:ascii="Times New Roman" w:hAnsi="Times New Roman" w:eastAsia="宋体" w:cs="Times New Roman"/>
          <w:b w:val="0"/>
          <w:color w:val="auto"/>
          <w:spacing w:val="0"/>
          <w:w w:val="100"/>
          <w:kern w:val="21"/>
          <w:position w:val="0"/>
          <w:sz w:val="24"/>
          <w:szCs w:val="24"/>
          <w:u w:val="none" w:color="auto"/>
          <w:lang w:val="en-US" w:eastAsia="zh-CN" w:bidi="ar-SA"/>
        </w:rPr>
      </w:pPr>
      <w:r>
        <w:rPr>
          <w:rFonts w:hint="eastAsia" w:ascii="Times New Roman" w:hAnsi="Times New Roman" w:eastAsia="宋体" w:cs="Times New Roman"/>
          <w:color w:val="auto"/>
          <w:spacing w:val="0"/>
          <w:w w:val="100"/>
          <w:kern w:val="21"/>
          <w:position w:val="0"/>
          <w:sz w:val="24"/>
          <w:u w:val="none" w:color="auto"/>
          <w:lang w:val="en-US" w:eastAsia="zh-CN"/>
        </w:rPr>
        <w:t>NMP 火灾危害显著低于电解液，</w:t>
      </w:r>
      <w:r>
        <w:rPr>
          <w:rFonts w:hint="default" w:ascii="Times New Roman" w:hAnsi="Times New Roman" w:eastAsia="宋体" w:cs="Times New Roman"/>
          <w:b w:val="0"/>
          <w:color w:val="auto"/>
          <w:spacing w:val="0"/>
          <w:w w:val="100"/>
          <w:kern w:val="21"/>
          <w:position w:val="0"/>
          <w:sz w:val="24"/>
          <w:szCs w:val="24"/>
          <w:u w:val="none" w:color="auto"/>
          <w:lang w:val="en-US" w:eastAsia="zh-CN" w:bidi="ar-SA"/>
        </w:rPr>
        <w:t>一旦发生泄漏，或发生爆炸时伴生CO等物质产生，可能会对周边大气、地表水、地下水环境造成一定影响。</w:t>
      </w:r>
    </w:p>
    <w:p w14:paraId="1B9B010C">
      <w:pPr>
        <w:pStyle w:val="128"/>
        <w:numPr>
          <w:ilvl w:val="2"/>
          <w:numId w:val="0"/>
        </w:numPr>
        <w:bidi w:val="0"/>
        <w:ind w:leftChars="0"/>
        <w:outlineLvl w:val="2"/>
        <w:rPr>
          <w:rFonts w:hint="default" w:cs="Times New Roman"/>
          <w:color w:val="auto"/>
          <w:spacing w:val="0"/>
          <w:w w:val="100"/>
          <w:kern w:val="21"/>
          <w:position w:val="0"/>
          <w:u w:val="none" w:color="auto"/>
          <w:lang w:val="en-US" w:eastAsia="zh-CN"/>
        </w:rPr>
      </w:pPr>
      <w:r>
        <w:rPr>
          <w:rFonts w:hint="default" w:cs="Times New Roman"/>
          <w:color w:val="auto"/>
          <w:spacing w:val="0"/>
          <w:w w:val="100"/>
          <w:kern w:val="21"/>
          <w:position w:val="0"/>
          <w:u w:val="none" w:color="auto"/>
          <w:lang w:val="en-US" w:eastAsia="zh-CN"/>
        </w:rPr>
        <w:t>6.</w:t>
      </w:r>
      <w:r>
        <w:rPr>
          <w:rFonts w:hint="eastAsia" w:cs="Times New Roman"/>
          <w:color w:val="auto"/>
          <w:spacing w:val="0"/>
          <w:w w:val="100"/>
          <w:kern w:val="21"/>
          <w:position w:val="0"/>
          <w:u w:val="none" w:color="auto"/>
          <w:lang w:val="en-US" w:eastAsia="zh-CN"/>
        </w:rPr>
        <w:t>3生产系统危险性识别</w:t>
      </w:r>
    </w:p>
    <w:p w14:paraId="479FDB0C">
      <w:pPr>
        <w:keepNext w:val="0"/>
        <w:keepLines w:val="0"/>
        <w:pageBreakBefore w:val="0"/>
        <w:numPr>
          <w:ilvl w:val="0"/>
          <w:numId w:val="0"/>
        </w:numPr>
        <w:kinsoku/>
        <w:wordWrap/>
        <w:overflowPunct/>
        <w:autoSpaceDE/>
        <w:autoSpaceDN/>
        <w:bidi w:val="0"/>
        <w:spacing w:line="440" w:lineRule="exact"/>
        <w:ind w:firstLine="480" w:firstLineChars="200"/>
        <w:textAlignment w:val="auto"/>
        <w:rPr>
          <w:rFonts w:hint="default" w:ascii="Times New Roman" w:hAnsi="Times New Roman" w:eastAsia="宋体" w:cs="Times New Roman"/>
          <w:color w:val="auto"/>
          <w:spacing w:val="0"/>
          <w:w w:val="100"/>
          <w:kern w:val="21"/>
          <w:position w:val="0"/>
          <w:sz w:val="24"/>
          <w:u w:val="none" w:color="auto"/>
          <w:lang w:val="en-US" w:eastAsia="zh-CN"/>
        </w:rPr>
      </w:pPr>
      <w:r>
        <w:rPr>
          <w:rFonts w:hint="default" w:ascii="Times New Roman" w:hAnsi="Times New Roman" w:eastAsia="宋体" w:cs="Times New Roman"/>
          <w:color w:val="auto"/>
          <w:spacing w:val="0"/>
          <w:w w:val="100"/>
          <w:kern w:val="21"/>
          <w:position w:val="0"/>
          <w:sz w:val="24"/>
          <w:u w:val="none" w:color="auto"/>
          <w:lang w:val="en-US" w:eastAsia="zh-CN"/>
        </w:rPr>
        <w:t>对照《国家安全监管总局关于公布首批重点监管的危险化工工艺目录的通知》《国家安全监管总局关于公布第二批重点监管危险化工工艺目录和调整首批重点监管危险化工工艺中部分典型工艺的通知》中规定的危险工艺，本次生产工艺不涉及高温（≥300℃），不涉及高压（≥10.0MPa）的操作条件，故本次</w:t>
      </w:r>
      <w:r>
        <w:rPr>
          <w:rFonts w:hint="eastAsia" w:ascii="Times New Roman" w:hAnsi="Times New Roman" w:eastAsia="宋体" w:cs="Times New Roman"/>
          <w:color w:val="auto"/>
          <w:spacing w:val="0"/>
          <w:w w:val="100"/>
          <w:kern w:val="21"/>
          <w:position w:val="0"/>
          <w:sz w:val="24"/>
          <w:u w:val="none" w:color="auto"/>
          <w:lang w:val="en-US" w:eastAsia="zh-CN"/>
        </w:rPr>
        <w:t>项目</w:t>
      </w:r>
      <w:r>
        <w:rPr>
          <w:rFonts w:hint="default" w:ascii="Times New Roman" w:hAnsi="Times New Roman" w:eastAsia="宋体" w:cs="Times New Roman"/>
          <w:color w:val="auto"/>
          <w:spacing w:val="0"/>
          <w:w w:val="100"/>
          <w:kern w:val="21"/>
          <w:position w:val="0"/>
          <w:sz w:val="24"/>
          <w:u w:val="none" w:color="auto"/>
          <w:lang w:val="en-US" w:eastAsia="zh-CN"/>
        </w:rPr>
        <w:t>不涉及危险工艺。</w:t>
      </w:r>
    </w:p>
    <w:p w14:paraId="28589050">
      <w:pPr>
        <w:pStyle w:val="128"/>
        <w:numPr>
          <w:ilvl w:val="2"/>
          <w:numId w:val="0"/>
        </w:numPr>
        <w:bidi w:val="0"/>
        <w:ind w:leftChars="0"/>
        <w:outlineLvl w:val="2"/>
        <w:rPr>
          <w:rFonts w:hint="default" w:cs="Times New Roman"/>
          <w:color w:val="auto"/>
          <w:spacing w:val="0"/>
          <w:w w:val="100"/>
          <w:kern w:val="21"/>
          <w:position w:val="0"/>
          <w:u w:val="none" w:color="auto"/>
          <w:lang w:val="en-US" w:eastAsia="zh-CN"/>
        </w:rPr>
      </w:pPr>
      <w:r>
        <w:rPr>
          <w:rFonts w:hint="default" w:cs="Times New Roman"/>
          <w:color w:val="auto"/>
          <w:spacing w:val="0"/>
          <w:w w:val="100"/>
          <w:kern w:val="21"/>
          <w:position w:val="0"/>
          <w:u w:val="none" w:color="auto"/>
          <w:lang w:val="en-US" w:eastAsia="zh-CN"/>
        </w:rPr>
        <w:t>6.4环境风险类型及危害分析</w:t>
      </w:r>
    </w:p>
    <w:p w14:paraId="19D4D8E4">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一、环境风险类型</w:t>
      </w:r>
    </w:p>
    <w:p w14:paraId="7ECA7236">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环境风险类型包括危险物质的泄漏，以及火灾、爆炸等引发的伴生/次生污染物排放。</w:t>
      </w:r>
    </w:p>
    <w:p w14:paraId="308C0726">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（1）物质泄漏</w:t>
      </w:r>
    </w:p>
    <w:p w14:paraId="30BB5294">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该类事故通常的起因是设备（包括管线、阀门或其它设施）出现故障或操作失误、仪表失灵等，使有毒、易燃或可燃物料泄漏，弥散在空气中，此时的直接危险是有毒有害物质的扩散对周围环境的污染；</w:t>
      </w:r>
    </w:p>
    <w:p w14:paraId="33284F28">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事故发生后，通常采取切断泄漏源、切断火源，隔离泄漏场所的措施，通过适当方式合理通风，加速有害物质的扩散，降低泄漏点的浓度，避免引起爆炸。</w:t>
      </w:r>
    </w:p>
    <w:p w14:paraId="0E4DDD93">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（2）火灾、爆炸等引发的伴生/次生污染</w:t>
      </w:r>
    </w:p>
    <w:p w14:paraId="07B475BA">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易燃或可燃泄漏物若遇明火将会引发火灾、爆炸，发生次生灾害，火灾燃烧时伴生污染物，将会对周围环境造成一定污染。</w:t>
      </w:r>
    </w:p>
    <w:p w14:paraId="25B36E70">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发生火灾时，一方面对着火点实施救火，同时应对周围设施喷淋降温，倒空物料，事故废气送入火炬系统，火炬的燃烧也将产生伴生烟气污染。</w:t>
      </w:r>
    </w:p>
    <w:p w14:paraId="4C0B5E6B">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二、环境风险事故影响途径和影响方式</w:t>
      </w:r>
    </w:p>
    <w:p w14:paraId="4669CE5C">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项目危险物质主要是</w:t>
      </w:r>
      <w:r>
        <w:rPr>
          <w:rFonts w:hint="eastAsia" w:ascii="Times New Roman" w:hAnsi="Times New Roman" w:eastAsia="宋体" w:cs="Times New Roman"/>
          <w:color w:val="000000"/>
          <w:sz w:val="24"/>
          <w:szCs w:val="24"/>
          <w:u w:val="none" w:color="auto"/>
          <w:lang w:val="en-US" w:eastAsia="zh-CN"/>
        </w:rPr>
        <w:t>电解液</w:t>
      </w:r>
      <w:r>
        <w:rPr>
          <w:rFonts w:hint="default" w:ascii="Times New Roman" w:hAnsi="Times New Roman" w:eastAsia="宋体" w:cs="Times New Roman"/>
          <w:color w:val="000000"/>
          <w:sz w:val="24"/>
          <w:szCs w:val="24"/>
          <w:u w:val="none" w:color="auto"/>
          <w:lang w:val="en-US" w:eastAsia="zh-CN"/>
        </w:rPr>
        <w:t>等，一旦泄漏，危险物质在大气输送扩散作用下将对环境空气及人群健康造成危害；其次，项目生产过程中使用的物料，</w:t>
      </w:r>
      <w:r>
        <w:rPr>
          <w:rFonts w:hint="eastAsia" w:ascii="Times New Roman" w:hAnsi="Times New Roman" w:eastAsia="宋体" w:cs="Times New Roman"/>
          <w:color w:val="000000"/>
          <w:sz w:val="24"/>
          <w:szCs w:val="24"/>
          <w:u w:val="none" w:color="auto"/>
          <w:lang w:val="en-US" w:eastAsia="zh-CN"/>
        </w:rPr>
        <w:t>电解液</w:t>
      </w:r>
      <w:r>
        <w:rPr>
          <w:rFonts w:hint="default" w:ascii="Times New Roman" w:hAnsi="Times New Roman" w:eastAsia="宋体" w:cs="Times New Roman"/>
          <w:color w:val="000000"/>
          <w:sz w:val="24"/>
          <w:szCs w:val="24"/>
          <w:u w:val="none" w:color="auto"/>
          <w:lang w:val="en-US" w:eastAsia="zh-CN"/>
        </w:rPr>
        <w:t>属于可燃、易燃物料，一旦发生物料泄漏事故，在明火状况下发生火灾事故，不完全燃烧的状况下，将会伴生CO等污染物，对区域大气环境造成不利影响。</w:t>
      </w:r>
    </w:p>
    <w:p w14:paraId="7B0D9A95">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此外，在事故应急处置过程中产生的事故消防废水，如未加截流、收集而随意排放，在没有防渗措施的情况下将对土壤、地下水造成污染；如排水管网设置不当，使消防废水进入雨水管网，排入外界水体造成污染。</w:t>
      </w:r>
    </w:p>
    <w:p w14:paraId="44FE8B58">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所设定的事故情况下，其污染物的转移途径和影响方式形式见下表。</w:t>
      </w:r>
    </w:p>
    <w:p w14:paraId="43FD0014">
      <w:pPr>
        <w:pStyle w:val="124"/>
        <w:bidi w:val="0"/>
        <w:jc w:val="center"/>
        <w:rPr>
          <w:rFonts w:hint="default" w:cs="Times New Roman"/>
          <w:color w:val="auto"/>
          <w:spacing w:val="0"/>
          <w:w w:val="100"/>
          <w:kern w:val="21"/>
          <w:position w:val="0"/>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default" w:cs="Times New Roman"/>
          <w:color w:val="auto"/>
          <w:spacing w:val="0"/>
          <w:w w:val="100"/>
          <w:kern w:val="21"/>
          <w:position w:val="0"/>
          <w:u w:val="none" w:color="auto"/>
          <w:lang w:val="en-US" w:eastAsia="zh-CN"/>
        </w:rPr>
        <w:t>事故污染物转移途径及影响方式</w:t>
      </w:r>
    </w:p>
    <w:tbl>
      <w:tblPr>
        <w:tblStyle w:val="32"/>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742"/>
        <w:gridCol w:w="1378"/>
        <w:gridCol w:w="1192"/>
        <w:gridCol w:w="1063"/>
        <w:gridCol w:w="1681"/>
        <w:gridCol w:w="1513"/>
        <w:gridCol w:w="1673"/>
      </w:tblGrid>
      <w:tr w14:paraId="5445EA6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2" w:type="dxa"/>
            <w:vMerge w:val="restart"/>
            <w:tcBorders>
              <w:tl2br w:val="nil"/>
              <w:tr2bl w:val="nil"/>
            </w:tcBorders>
            <w:noWrap w:val="0"/>
            <w:vAlign w:val="center"/>
          </w:tcPr>
          <w:p w14:paraId="7D7158B0">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val="0"/>
                <w:bCs w:val="0"/>
                <w:snapToGrid w:val="0"/>
                <w:spacing w:val="0"/>
                <w:w w:val="100"/>
                <w:kern w:val="21"/>
                <w:position w:val="0"/>
                <w:sz w:val="21"/>
                <w:szCs w:val="21"/>
                <w:u w:val="none" w:color="auto"/>
              </w:rPr>
            </w:pPr>
            <w:r>
              <w:rPr>
                <w:rFonts w:hint="eastAsia"/>
                <w:b w:val="0"/>
                <w:bCs w:val="0"/>
                <w:snapToGrid w:val="0"/>
                <w:spacing w:val="0"/>
                <w:w w:val="100"/>
                <w:kern w:val="21"/>
                <w:position w:val="0"/>
                <w:sz w:val="21"/>
                <w:szCs w:val="21"/>
                <w:u w:val="none" w:color="auto"/>
              </w:rPr>
              <w:t>事故类别</w:t>
            </w:r>
          </w:p>
        </w:tc>
        <w:tc>
          <w:tcPr>
            <w:tcW w:w="1378" w:type="dxa"/>
            <w:vMerge w:val="restart"/>
            <w:tcBorders>
              <w:tl2br w:val="nil"/>
              <w:tr2bl w:val="nil"/>
            </w:tcBorders>
            <w:noWrap w:val="0"/>
            <w:vAlign w:val="center"/>
          </w:tcPr>
          <w:p w14:paraId="2BD12B5F">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val="0"/>
                <w:bCs w:val="0"/>
                <w:snapToGrid w:val="0"/>
                <w:spacing w:val="0"/>
                <w:w w:val="100"/>
                <w:kern w:val="21"/>
                <w:position w:val="0"/>
                <w:sz w:val="21"/>
                <w:szCs w:val="21"/>
                <w:u w:val="none" w:color="auto"/>
              </w:rPr>
            </w:pPr>
            <w:r>
              <w:rPr>
                <w:rFonts w:hint="eastAsia"/>
                <w:b w:val="0"/>
                <w:bCs w:val="0"/>
                <w:snapToGrid w:val="0"/>
                <w:spacing w:val="0"/>
                <w:w w:val="100"/>
                <w:kern w:val="21"/>
                <w:position w:val="0"/>
                <w:sz w:val="21"/>
                <w:szCs w:val="21"/>
                <w:u w:val="none" w:color="auto"/>
              </w:rPr>
              <w:t>事故位置</w:t>
            </w:r>
          </w:p>
        </w:tc>
        <w:tc>
          <w:tcPr>
            <w:tcW w:w="1192" w:type="dxa"/>
            <w:vMerge w:val="restart"/>
            <w:tcBorders>
              <w:tl2br w:val="nil"/>
              <w:tr2bl w:val="nil"/>
            </w:tcBorders>
            <w:noWrap w:val="0"/>
            <w:vAlign w:val="center"/>
          </w:tcPr>
          <w:p w14:paraId="4342F50C">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val="0"/>
                <w:bCs w:val="0"/>
                <w:snapToGrid w:val="0"/>
                <w:spacing w:val="0"/>
                <w:w w:val="100"/>
                <w:kern w:val="21"/>
                <w:position w:val="0"/>
                <w:sz w:val="21"/>
                <w:szCs w:val="21"/>
                <w:u w:val="none" w:color="auto"/>
              </w:rPr>
            </w:pPr>
            <w:r>
              <w:rPr>
                <w:rFonts w:hint="eastAsia"/>
                <w:b w:val="0"/>
                <w:bCs w:val="0"/>
                <w:snapToGrid w:val="0"/>
                <w:spacing w:val="0"/>
                <w:w w:val="100"/>
                <w:kern w:val="21"/>
                <w:position w:val="0"/>
                <w:sz w:val="21"/>
                <w:szCs w:val="21"/>
                <w:u w:val="none" w:color="auto"/>
              </w:rPr>
              <w:t>事故危害类型</w:t>
            </w:r>
          </w:p>
        </w:tc>
        <w:tc>
          <w:tcPr>
            <w:tcW w:w="4257" w:type="dxa"/>
            <w:gridSpan w:val="3"/>
            <w:tcBorders>
              <w:tl2br w:val="nil"/>
              <w:tr2bl w:val="nil"/>
            </w:tcBorders>
            <w:noWrap w:val="0"/>
            <w:vAlign w:val="center"/>
          </w:tcPr>
          <w:p w14:paraId="42389442">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val="0"/>
                <w:bCs w:val="0"/>
                <w:snapToGrid w:val="0"/>
                <w:spacing w:val="0"/>
                <w:w w:val="100"/>
                <w:kern w:val="21"/>
                <w:position w:val="0"/>
                <w:sz w:val="21"/>
                <w:szCs w:val="21"/>
                <w:u w:val="none" w:color="auto"/>
              </w:rPr>
            </w:pPr>
            <w:r>
              <w:rPr>
                <w:rFonts w:hint="eastAsia"/>
                <w:b w:val="0"/>
                <w:bCs w:val="0"/>
                <w:snapToGrid w:val="0"/>
                <w:spacing w:val="0"/>
                <w:w w:val="100"/>
                <w:kern w:val="21"/>
                <w:position w:val="0"/>
                <w:sz w:val="21"/>
                <w:szCs w:val="21"/>
                <w:u w:val="none" w:color="auto"/>
              </w:rPr>
              <w:t>污染物转移途径</w:t>
            </w:r>
          </w:p>
        </w:tc>
        <w:tc>
          <w:tcPr>
            <w:tcW w:w="1673" w:type="dxa"/>
            <w:vMerge w:val="restart"/>
            <w:tcBorders>
              <w:tl2br w:val="nil"/>
              <w:tr2bl w:val="nil"/>
            </w:tcBorders>
            <w:noWrap w:val="0"/>
            <w:vAlign w:val="center"/>
          </w:tcPr>
          <w:p w14:paraId="0F063522">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bCs/>
                <w:snapToGrid w:val="0"/>
                <w:spacing w:val="0"/>
                <w:w w:val="100"/>
                <w:kern w:val="21"/>
                <w:position w:val="0"/>
                <w:sz w:val="21"/>
                <w:szCs w:val="21"/>
                <w:u w:val="none" w:color="auto"/>
              </w:rPr>
            </w:pPr>
            <w:r>
              <w:rPr>
                <w:rFonts w:hint="eastAsia"/>
                <w:b w:val="0"/>
                <w:bCs w:val="0"/>
                <w:snapToGrid w:val="0"/>
                <w:spacing w:val="0"/>
                <w:w w:val="100"/>
                <w:kern w:val="21"/>
                <w:position w:val="0"/>
                <w:sz w:val="21"/>
                <w:szCs w:val="21"/>
                <w:u w:val="none" w:color="auto"/>
              </w:rPr>
              <w:t>影响方式</w:t>
            </w:r>
          </w:p>
        </w:tc>
      </w:tr>
      <w:tr w14:paraId="176A0C2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2" w:type="dxa"/>
            <w:vMerge w:val="continue"/>
            <w:tcBorders>
              <w:tl2br w:val="nil"/>
              <w:tr2bl w:val="nil"/>
            </w:tcBorders>
            <w:noWrap w:val="0"/>
            <w:vAlign w:val="center"/>
          </w:tcPr>
          <w:p w14:paraId="33D8A024">
            <w:pPr>
              <w:pStyle w:val="30"/>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b w:val="0"/>
                <w:bCs w:val="0"/>
                <w:snapToGrid w:val="0"/>
                <w:spacing w:val="0"/>
                <w:w w:val="100"/>
                <w:kern w:val="21"/>
                <w:position w:val="0"/>
                <w:sz w:val="21"/>
                <w:szCs w:val="21"/>
                <w:u w:val="none" w:color="auto"/>
              </w:rPr>
            </w:pPr>
          </w:p>
        </w:tc>
        <w:tc>
          <w:tcPr>
            <w:tcW w:w="1378" w:type="dxa"/>
            <w:vMerge w:val="continue"/>
            <w:tcBorders>
              <w:tl2br w:val="nil"/>
              <w:tr2bl w:val="nil"/>
            </w:tcBorders>
            <w:noWrap w:val="0"/>
            <w:vAlign w:val="center"/>
          </w:tcPr>
          <w:p w14:paraId="240B49E0">
            <w:pPr>
              <w:pStyle w:val="30"/>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b w:val="0"/>
                <w:bCs w:val="0"/>
                <w:snapToGrid w:val="0"/>
                <w:spacing w:val="0"/>
                <w:w w:val="100"/>
                <w:kern w:val="21"/>
                <w:position w:val="0"/>
                <w:sz w:val="21"/>
                <w:szCs w:val="21"/>
                <w:u w:val="none" w:color="auto"/>
              </w:rPr>
            </w:pPr>
          </w:p>
        </w:tc>
        <w:tc>
          <w:tcPr>
            <w:tcW w:w="1192" w:type="dxa"/>
            <w:vMerge w:val="continue"/>
            <w:tcBorders>
              <w:tl2br w:val="nil"/>
              <w:tr2bl w:val="nil"/>
            </w:tcBorders>
            <w:noWrap w:val="0"/>
            <w:vAlign w:val="center"/>
          </w:tcPr>
          <w:p w14:paraId="148EF47E">
            <w:pPr>
              <w:pStyle w:val="30"/>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b w:val="0"/>
                <w:bCs w:val="0"/>
                <w:snapToGrid w:val="0"/>
                <w:spacing w:val="0"/>
                <w:w w:val="100"/>
                <w:kern w:val="21"/>
                <w:position w:val="0"/>
                <w:sz w:val="21"/>
                <w:szCs w:val="21"/>
                <w:u w:val="none" w:color="auto"/>
              </w:rPr>
            </w:pPr>
          </w:p>
        </w:tc>
        <w:tc>
          <w:tcPr>
            <w:tcW w:w="1063" w:type="dxa"/>
            <w:tcBorders>
              <w:tl2br w:val="nil"/>
              <w:tr2bl w:val="nil"/>
            </w:tcBorders>
            <w:noWrap w:val="0"/>
            <w:vAlign w:val="center"/>
          </w:tcPr>
          <w:p w14:paraId="6A0A894C">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val="0"/>
                <w:bCs w:val="0"/>
                <w:snapToGrid w:val="0"/>
                <w:spacing w:val="0"/>
                <w:w w:val="100"/>
                <w:kern w:val="21"/>
                <w:position w:val="0"/>
                <w:sz w:val="21"/>
                <w:szCs w:val="21"/>
                <w:u w:val="none" w:color="auto"/>
              </w:rPr>
            </w:pPr>
            <w:r>
              <w:rPr>
                <w:rFonts w:hint="eastAsia"/>
                <w:b w:val="0"/>
                <w:bCs w:val="0"/>
                <w:snapToGrid w:val="0"/>
                <w:spacing w:val="0"/>
                <w:w w:val="100"/>
                <w:kern w:val="21"/>
                <w:position w:val="0"/>
                <w:sz w:val="21"/>
                <w:szCs w:val="21"/>
                <w:u w:val="none" w:color="auto"/>
              </w:rPr>
              <w:t>大气</w:t>
            </w:r>
          </w:p>
        </w:tc>
        <w:tc>
          <w:tcPr>
            <w:tcW w:w="1681" w:type="dxa"/>
            <w:tcBorders>
              <w:tl2br w:val="nil"/>
              <w:tr2bl w:val="nil"/>
            </w:tcBorders>
            <w:noWrap w:val="0"/>
            <w:vAlign w:val="center"/>
          </w:tcPr>
          <w:p w14:paraId="1B19A91F">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val="0"/>
                <w:bCs w:val="0"/>
                <w:snapToGrid w:val="0"/>
                <w:spacing w:val="0"/>
                <w:w w:val="100"/>
                <w:kern w:val="21"/>
                <w:position w:val="0"/>
                <w:sz w:val="21"/>
                <w:szCs w:val="21"/>
                <w:u w:val="none" w:color="auto"/>
              </w:rPr>
            </w:pPr>
            <w:r>
              <w:rPr>
                <w:rFonts w:hint="eastAsia"/>
                <w:b w:val="0"/>
                <w:bCs w:val="0"/>
                <w:snapToGrid w:val="0"/>
                <w:spacing w:val="0"/>
                <w:w w:val="100"/>
                <w:kern w:val="21"/>
                <w:position w:val="0"/>
                <w:sz w:val="21"/>
                <w:szCs w:val="21"/>
                <w:u w:val="none" w:color="auto"/>
              </w:rPr>
              <w:t>地表水</w:t>
            </w:r>
          </w:p>
        </w:tc>
        <w:tc>
          <w:tcPr>
            <w:tcW w:w="1513" w:type="dxa"/>
            <w:tcBorders>
              <w:tl2br w:val="nil"/>
              <w:tr2bl w:val="nil"/>
            </w:tcBorders>
            <w:noWrap w:val="0"/>
            <w:vAlign w:val="center"/>
          </w:tcPr>
          <w:p w14:paraId="5609DEC7">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b w:val="0"/>
                <w:bCs w:val="0"/>
                <w:snapToGrid w:val="0"/>
                <w:spacing w:val="0"/>
                <w:w w:val="100"/>
                <w:kern w:val="21"/>
                <w:position w:val="0"/>
                <w:sz w:val="21"/>
                <w:szCs w:val="21"/>
                <w:u w:val="none" w:color="auto"/>
              </w:rPr>
            </w:pPr>
            <w:r>
              <w:rPr>
                <w:rFonts w:hint="eastAsia"/>
                <w:b w:val="0"/>
                <w:bCs w:val="0"/>
                <w:snapToGrid w:val="0"/>
                <w:spacing w:val="0"/>
                <w:w w:val="100"/>
                <w:kern w:val="21"/>
                <w:position w:val="0"/>
                <w:sz w:val="21"/>
                <w:szCs w:val="21"/>
                <w:u w:val="none" w:color="auto"/>
              </w:rPr>
              <w:t>地下水</w:t>
            </w:r>
          </w:p>
        </w:tc>
        <w:tc>
          <w:tcPr>
            <w:tcW w:w="1673" w:type="dxa"/>
            <w:vMerge w:val="continue"/>
            <w:tcBorders>
              <w:tl2br w:val="nil"/>
              <w:tr2bl w:val="nil"/>
            </w:tcBorders>
            <w:noWrap w:val="0"/>
            <w:vAlign w:val="center"/>
          </w:tcPr>
          <w:p w14:paraId="1750C5E7">
            <w:pPr>
              <w:pStyle w:val="30"/>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b/>
                <w:bCs/>
                <w:snapToGrid w:val="0"/>
                <w:spacing w:val="0"/>
                <w:w w:val="100"/>
                <w:kern w:val="21"/>
                <w:position w:val="0"/>
                <w:sz w:val="21"/>
                <w:szCs w:val="21"/>
                <w:u w:val="none" w:color="auto"/>
              </w:rPr>
            </w:pPr>
          </w:p>
        </w:tc>
      </w:tr>
      <w:tr w14:paraId="793D21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2" w:type="dxa"/>
            <w:vMerge w:val="restart"/>
            <w:tcBorders>
              <w:tl2br w:val="nil"/>
              <w:tr2bl w:val="nil"/>
            </w:tcBorders>
            <w:noWrap w:val="0"/>
            <w:vAlign w:val="center"/>
          </w:tcPr>
          <w:p w14:paraId="47F4CACD">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napToGrid w:val="0"/>
                <w:spacing w:val="0"/>
                <w:w w:val="100"/>
                <w:kern w:val="21"/>
                <w:position w:val="0"/>
                <w:sz w:val="21"/>
                <w:szCs w:val="21"/>
                <w:u w:val="none" w:color="auto"/>
              </w:rPr>
            </w:pPr>
            <w:r>
              <w:rPr>
                <w:rFonts w:hint="eastAsia"/>
                <w:snapToGrid w:val="0"/>
                <w:spacing w:val="0"/>
                <w:w w:val="100"/>
                <w:kern w:val="21"/>
                <w:position w:val="0"/>
                <w:sz w:val="21"/>
                <w:szCs w:val="21"/>
                <w:u w:val="none" w:color="auto"/>
              </w:rPr>
              <w:t>有毒有害物质泄漏</w:t>
            </w:r>
          </w:p>
        </w:tc>
        <w:tc>
          <w:tcPr>
            <w:tcW w:w="1378" w:type="dxa"/>
            <w:vMerge w:val="restart"/>
            <w:tcBorders>
              <w:tl2br w:val="nil"/>
              <w:tr2bl w:val="nil"/>
            </w:tcBorders>
            <w:noWrap w:val="0"/>
            <w:vAlign w:val="center"/>
          </w:tcPr>
          <w:p w14:paraId="5BB9A2D7">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eastAsia" w:ascii="Times New Roman" w:hAnsi="Times New Roman" w:eastAsia="宋体" w:cs="Times New Roman"/>
                <w:snapToGrid w:val="0"/>
                <w:spacing w:val="0"/>
                <w:w w:val="100"/>
                <w:kern w:val="21"/>
                <w:position w:val="0"/>
                <w:sz w:val="21"/>
                <w:szCs w:val="21"/>
                <w:u w:val="none" w:color="auto"/>
                <w:lang w:val="en-US" w:eastAsia="zh-CN"/>
              </w:rPr>
              <w:t>电解液原料区、NMP储罐区</w:t>
            </w:r>
          </w:p>
        </w:tc>
        <w:tc>
          <w:tcPr>
            <w:tcW w:w="1192" w:type="dxa"/>
            <w:tcBorders>
              <w:tl2br w:val="nil"/>
              <w:tr2bl w:val="nil"/>
            </w:tcBorders>
            <w:noWrap w:val="0"/>
            <w:vAlign w:val="center"/>
          </w:tcPr>
          <w:p w14:paraId="23D9D872">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w w:val="100"/>
                <w:kern w:val="21"/>
                <w:position w:val="0"/>
                <w:sz w:val="21"/>
                <w:szCs w:val="21"/>
                <w:u w:val="none" w:color="auto"/>
                <w:lang w:val="en-US" w:eastAsia="zh-CN"/>
              </w:rPr>
            </w:pPr>
            <w:r>
              <w:rPr>
                <w:rFonts w:hint="eastAsia" w:ascii="Times New Roman" w:hAnsi="Times New Roman" w:eastAsia="宋体" w:cs="Times New Roman"/>
                <w:snapToGrid w:val="0"/>
                <w:spacing w:val="0"/>
                <w:w w:val="100"/>
                <w:kern w:val="21"/>
                <w:position w:val="0"/>
                <w:sz w:val="21"/>
                <w:szCs w:val="21"/>
                <w:u w:val="none" w:color="auto"/>
                <w:lang w:val="en-US" w:eastAsia="zh-CN"/>
              </w:rPr>
              <w:t>气态毒物</w:t>
            </w:r>
          </w:p>
        </w:tc>
        <w:tc>
          <w:tcPr>
            <w:tcW w:w="1063" w:type="dxa"/>
            <w:tcBorders>
              <w:tl2br w:val="nil"/>
              <w:tr2bl w:val="nil"/>
            </w:tcBorders>
            <w:noWrap w:val="0"/>
            <w:vAlign w:val="center"/>
          </w:tcPr>
          <w:p w14:paraId="144C0B50">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w w:val="100"/>
                <w:kern w:val="21"/>
                <w:position w:val="0"/>
                <w:sz w:val="21"/>
                <w:szCs w:val="21"/>
                <w:u w:val="none" w:color="auto"/>
                <w:lang w:val="en-US" w:eastAsia="zh-CN"/>
              </w:rPr>
            </w:pPr>
            <w:r>
              <w:rPr>
                <w:rFonts w:hint="eastAsia" w:ascii="Times New Roman" w:hAnsi="Times New Roman" w:eastAsia="宋体" w:cs="Times New Roman"/>
                <w:snapToGrid w:val="0"/>
                <w:spacing w:val="0"/>
                <w:w w:val="100"/>
                <w:kern w:val="21"/>
                <w:position w:val="0"/>
                <w:sz w:val="21"/>
                <w:szCs w:val="21"/>
                <w:u w:val="none" w:color="auto"/>
                <w:lang w:val="en-US" w:eastAsia="zh-CN"/>
              </w:rPr>
              <w:t>扩散</w:t>
            </w:r>
          </w:p>
        </w:tc>
        <w:tc>
          <w:tcPr>
            <w:tcW w:w="1681" w:type="dxa"/>
            <w:tcBorders>
              <w:tl2br w:val="nil"/>
              <w:tr2bl w:val="nil"/>
            </w:tcBorders>
            <w:noWrap w:val="0"/>
            <w:vAlign w:val="center"/>
          </w:tcPr>
          <w:p w14:paraId="676F0085">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snapToGrid w:val="0"/>
                <w:spacing w:val="0"/>
                <w:w w:val="100"/>
                <w:kern w:val="21"/>
                <w:position w:val="0"/>
                <w:sz w:val="21"/>
                <w:szCs w:val="21"/>
                <w:u w:val="none" w:color="auto"/>
              </w:rPr>
            </w:pPr>
            <w:r>
              <w:rPr>
                <w:rFonts w:hint="default" w:ascii="Times New Roman" w:hAnsi="Times New Roman" w:eastAsia="Times New Roman"/>
                <w:snapToGrid w:val="0"/>
                <w:spacing w:val="0"/>
                <w:w w:val="100"/>
                <w:kern w:val="21"/>
                <w:position w:val="0"/>
                <w:sz w:val="21"/>
                <w:szCs w:val="21"/>
                <w:u w:val="none" w:color="auto"/>
              </w:rPr>
              <w:t>—</w:t>
            </w:r>
          </w:p>
        </w:tc>
        <w:tc>
          <w:tcPr>
            <w:tcW w:w="1513" w:type="dxa"/>
            <w:tcBorders>
              <w:tl2br w:val="nil"/>
              <w:tr2bl w:val="nil"/>
            </w:tcBorders>
            <w:noWrap w:val="0"/>
            <w:vAlign w:val="center"/>
          </w:tcPr>
          <w:p w14:paraId="37EF425A">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snapToGrid w:val="0"/>
                <w:spacing w:val="0"/>
                <w:w w:val="100"/>
                <w:kern w:val="21"/>
                <w:position w:val="0"/>
                <w:sz w:val="21"/>
                <w:szCs w:val="21"/>
                <w:u w:val="none" w:color="auto"/>
              </w:rPr>
            </w:pPr>
          </w:p>
        </w:tc>
        <w:tc>
          <w:tcPr>
            <w:tcW w:w="1673" w:type="dxa"/>
            <w:tcBorders>
              <w:tl2br w:val="nil"/>
              <w:tr2bl w:val="nil"/>
            </w:tcBorders>
            <w:noWrap w:val="0"/>
            <w:vAlign w:val="center"/>
          </w:tcPr>
          <w:p w14:paraId="65FB74FC">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napToGrid w:val="0"/>
                <w:spacing w:val="0"/>
                <w:w w:val="100"/>
                <w:kern w:val="21"/>
                <w:position w:val="0"/>
                <w:sz w:val="21"/>
                <w:szCs w:val="21"/>
                <w:u w:val="none" w:color="auto"/>
              </w:rPr>
            </w:pPr>
            <w:r>
              <w:rPr>
                <w:rFonts w:hint="eastAsia"/>
                <w:snapToGrid w:val="0"/>
                <w:spacing w:val="0"/>
                <w:w w:val="100"/>
                <w:kern w:val="21"/>
                <w:position w:val="0"/>
                <w:sz w:val="21"/>
                <w:szCs w:val="21"/>
                <w:u w:val="none" w:color="auto"/>
              </w:rPr>
              <w:t>人员伤亡，大气环境污染</w:t>
            </w:r>
          </w:p>
        </w:tc>
      </w:tr>
      <w:tr w14:paraId="1195DBB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2" w:type="dxa"/>
            <w:vMerge w:val="continue"/>
            <w:tcBorders>
              <w:tl2br w:val="nil"/>
              <w:tr2bl w:val="nil"/>
            </w:tcBorders>
            <w:noWrap w:val="0"/>
            <w:vAlign w:val="center"/>
          </w:tcPr>
          <w:p w14:paraId="571F8135">
            <w:pPr>
              <w:pStyle w:val="30"/>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snapToGrid w:val="0"/>
                <w:spacing w:val="0"/>
                <w:w w:val="100"/>
                <w:kern w:val="21"/>
                <w:position w:val="0"/>
                <w:sz w:val="21"/>
                <w:szCs w:val="21"/>
                <w:u w:val="none" w:color="auto"/>
              </w:rPr>
            </w:pPr>
          </w:p>
        </w:tc>
        <w:tc>
          <w:tcPr>
            <w:tcW w:w="1378" w:type="dxa"/>
            <w:vMerge w:val="continue"/>
            <w:tcBorders>
              <w:tl2br w:val="nil"/>
              <w:tr2bl w:val="nil"/>
            </w:tcBorders>
            <w:noWrap w:val="0"/>
            <w:vAlign w:val="center"/>
          </w:tcPr>
          <w:p w14:paraId="3BCD7DD6">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p>
        </w:tc>
        <w:tc>
          <w:tcPr>
            <w:tcW w:w="1192" w:type="dxa"/>
            <w:tcBorders>
              <w:tl2br w:val="nil"/>
              <w:tr2bl w:val="nil"/>
            </w:tcBorders>
            <w:noWrap w:val="0"/>
            <w:vAlign w:val="center"/>
          </w:tcPr>
          <w:p w14:paraId="060DBFB3">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w w:val="100"/>
                <w:kern w:val="21"/>
                <w:position w:val="0"/>
                <w:sz w:val="21"/>
                <w:szCs w:val="21"/>
                <w:u w:val="none" w:color="auto"/>
                <w:lang w:val="en-US" w:eastAsia="zh-CN"/>
              </w:rPr>
            </w:pPr>
            <w:r>
              <w:rPr>
                <w:rFonts w:hint="eastAsia" w:ascii="Times New Roman" w:hAnsi="Times New Roman" w:eastAsia="宋体" w:cs="Times New Roman"/>
                <w:snapToGrid w:val="0"/>
                <w:spacing w:val="0"/>
                <w:w w:val="100"/>
                <w:kern w:val="21"/>
                <w:position w:val="0"/>
                <w:sz w:val="21"/>
                <w:szCs w:val="21"/>
                <w:u w:val="none" w:color="auto"/>
                <w:lang w:val="en-US" w:eastAsia="zh-CN"/>
              </w:rPr>
              <w:t>液态毒物</w:t>
            </w:r>
          </w:p>
        </w:tc>
        <w:tc>
          <w:tcPr>
            <w:tcW w:w="1063" w:type="dxa"/>
            <w:tcBorders>
              <w:tl2br w:val="nil"/>
              <w:tr2bl w:val="nil"/>
            </w:tcBorders>
            <w:noWrap w:val="0"/>
            <w:vAlign w:val="center"/>
          </w:tcPr>
          <w:p w14:paraId="0ABBFD27">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w w:val="100"/>
                <w:kern w:val="21"/>
                <w:position w:val="0"/>
                <w:sz w:val="21"/>
                <w:szCs w:val="21"/>
                <w:u w:val="none" w:color="auto"/>
                <w:lang w:val="en-US" w:eastAsia="zh-CN"/>
              </w:rPr>
            </w:pPr>
            <w:r>
              <w:rPr>
                <w:rFonts w:hint="eastAsia" w:ascii="Times New Roman" w:hAnsi="Times New Roman" w:eastAsia="宋体" w:cs="Times New Roman"/>
                <w:snapToGrid w:val="0"/>
                <w:spacing w:val="0"/>
                <w:w w:val="100"/>
                <w:kern w:val="21"/>
                <w:position w:val="0"/>
                <w:sz w:val="21"/>
                <w:szCs w:val="21"/>
                <w:u w:val="none" w:color="auto"/>
                <w:lang w:val="en-US" w:eastAsia="zh-CN"/>
              </w:rPr>
              <w:t>扩散</w:t>
            </w:r>
          </w:p>
        </w:tc>
        <w:tc>
          <w:tcPr>
            <w:tcW w:w="1681" w:type="dxa"/>
            <w:tcBorders>
              <w:tl2br w:val="nil"/>
              <w:tr2bl w:val="nil"/>
            </w:tcBorders>
            <w:noWrap w:val="0"/>
            <w:vAlign w:val="center"/>
          </w:tcPr>
          <w:p w14:paraId="79BA5B33">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napToGrid w:val="0"/>
                <w:spacing w:val="0"/>
                <w:w w:val="100"/>
                <w:kern w:val="21"/>
                <w:position w:val="0"/>
                <w:sz w:val="21"/>
                <w:szCs w:val="21"/>
                <w:u w:val="none" w:color="auto"/>
              </w:rPr>
            </w:pPr>
            <w:r>
              <w:rPr>
                <w:rFonts w:hint="eastAsia"/>
                <w:snapToGrid w:val="0"/>
                <w:spacing w:val="0"/>
                <w:w w:val="100"/>
                <w:kern w:val="21"/>
                <w:position w:val="0"/>
                <w:sz w:val="21"/>
                <w:szCs w:val="21"/>
                <w:u w:val="none" w:color="auto"/>
              </w:rPr>
              <w:t>生产废水、雨水、消防水</w:t>
            </w:r>
          </w:p>
        </w:tc>
        <w:tc>
          <w:tcPr>
            <w:tcW w:w="1513" w:type="dxa"/>
            <w:tcBorders>
              <w:tl2br w:val="nil"/>
              <w:tr2bl w:val="nil"/>
            </w:tcBorders>
            <w:noWrap w:val="0"/>
            <w:vAlign w:val="center"/>
          </w:tcPr>
          <w:p w14:paraId="5792682A">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napToGrid w:val="0"/>
                <w:spacing w:val="0"/>
                <w:w w:val="100"/>
                <w:kern w:val="21"/>
                <w:position w:val="0"/>
                <w:sz w:val="21"/>
                <w:szCs w:val="21"/>
                <w:u w:val="none" w:color="auto"/>
              </w:rPr>
            </w:pPr>
            <w:r>
              <w:rPr>
                <w:rFonts w:hint="eastAsia"/>
                <w:snapToGrid w:val="0"/>
                <w:spacing w:val="0"/>
                <w:w w:val="100"/>
                <w:kern w:val="21"/>
                <w:position w:val="0"/>
                <w:sz w:val="21"/>
                <w:szCs w:val="21"/>
                <w:u w:val="none" w:color="auto"/>
              </w:rPr>
              <w:t>水渗透、吸收</w:t>
            </w:r>
          </w:p>
        </w:tc>
        <w:tc>
          <w:tcPr>
            <w:tcW w:w="1673" w:type="dxa"/>
            <w:tcBorders>
              <w:tl2br w:val="nil"/>
              <w:tr2bl w:val="nil"/>
            </w:tcBorders>
            <w:noWrap w:val="0"/>
            <w:vAlign w:val="center"/>
          </w:tcPr>
          <w:p w14:paraId="31962D66">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snapToGrid w:val="0"/>
                <w:spacing w:val="0"/>
                <w:w w:val="100"/>
                <w:kern w:val="21"/>
                <w:position w:val="0"/>
                <w:sz w:val="21"/>
                <w:szCs w:val="21"/>
                <w:u w:val="none" w:color="auto"/>
              </w:rPr>
            </w:pPr>
            <w:r>
              <w:rPr>
                <w:rFonts w:hint="default" w:ascii="Times New Roman" w:hAnsi="Times New Roman" w:eastAsia="Times New Roman"/>
                <w:snapToGrid w:val="0"/>
                <w:spacing w:val="0"/>
                <w:w w:val="100"/>
                <w:kern w:val="21"/>
                <w:position w:val="0"/>
                <w:sz w:val="21"/>
                <w:szCs w:val="21"/>
                <w:u w:val="none" w:color="auto"/>
              </w:rPr>
              <w:t>—</w:t>
            </w:r>
          </w:p>
        </w:tc>
      </w:tr>
      <w:tr w14:paraId="4B160D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2" w:type="dxa"/>
            <w:vMerge w:val="restart"/>
            <w:tcBorders>
              <w:tl2br w:val="nil"/>
              <w:tr2bl w:val="nil"/>
            </w:tcBorders>
            <w:noWrap w:val="0"/>
            <w:vAlign w:val="center"/>
          </w:tcPr>
          <w:p w14:paraId="057719B7">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napToGrid w:val="0"/>
                <w:spacing w:val="0"/>
                <w:w w:val="100"/>
                <w:kern w:val="21"/>
                <w:position w:val="0"/>
                <w:sz w:val="21"/>
                <w:szCs w:val="21"/>
                <w:u w:val="none" w:color="auto"/>
              </w:rPr>
            </w:pPr>
            <w:r>
              <w:rPr>
                <w:rFonts w:hint="eastAsia"/>
                <w:snapToGrid w:val="0"/>
                <w:spacing w:val="0"/>
                <w:w w:val="100"/>
                <w:kern w:val="21"/>
                <w:position w:val="0"/>
                <w:sz w:val="21"/>
                <w:szCs w:val="21"/>
                <w:u w:val="none" w:color="auto"/>
              </w:rPr>
              <w:t>火灾</w:t>
            </w:r>
          </w:p>
        </w:tc>
        <w:tc>
          <w:tcPr>
            <w:tcW w:w="1378" w:type="dxa"/>
            <w:vMerge w:val="restart"/>
            <w:tcBorders>
              <w:tl2br w:val="nil"/>
              <w:tr2bl w:val="nil"/>
            </w:tcBorders>
            <w:noWrap w:val="0"/>
            <w:vAlign w:val="center"/>
          </w:tcPr>
          <w:p w14:paraId="3E7499A6">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eastAsia" w:ascii="Times New Roman" w:hAnsi="Times New Roman" w:eastAsia="宋体" w:cs="Times New Roman"/>
                <w:snapToGrid w:val="0"/>
                <w:spacing w:val="0"/>
                <w:w w:val="100"/>
                <w:kern w:val="21"/>
                <w:position w:val="0"/>
                <w:sz w:val="21"/>
                <w:szCs w:val="21"/>
                <w:u w:val="none" w:color="auto"/>
                <w:lang w:val="en-US" w:eastAsia="zh-CN"/>
              </w:rPr>
              <w:t>电解液原料区</w:t>
            </w:r>
          </w:p>
        </w:tc>
        <w:tc>
          <w:tcPr>
            <w:tcW w:w="1192" w:type="dxa"/>
            <w:tcBorders>
              <w:tl2br w:val="nil"/>
              <w:tr2bl w:val="nil"/>
            </w:tcBorders>
            <w:noWrap w:val="0"/>
            <w:vAlign w:val="center"/>
          </w:tcPr>
          <w:p w14:paraId="74781116">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w w:val="100"/>
                <w:kern w:val="21"/>
                <w:position w:val="0"/>
                <w:sz w:val="21"/>
                <w:szCs w:val="21"/>
                <w:u w:val="none" w:color="auto"/>
                <w:lang w:val="en-US" w:eastAsia="zh-CN"/>
              </w:rPr>
            </w:pPr>
            <w:r>
              <w:rPr>
                <w:rFonts w:hint="eastAsia" w:ascii="Times New Roman" w:hAnsi="Times New Roman" w:eastAsia="宋体" w:cs="Times New Roman"/>
                <w:snapToGrid w:val="0"/>
                <w:spacing w:val="0"/>
                <w:w w:val="100"/>
                <w:kern w:val="21"/>
                <w:position w:val="0"/>
                <w:sz w:val="21"/>
                <w:szCs w:val="21"/>
                <w:u w:val="none" w:color="auto"/>
                <w:lang w:val="en-US" w:eastAsia="zh-CN"/>
              </w:rPr>
              <w:t>毒物蒸发、伴生毒物</w:t>
            </w:r>
          </w:p>
        </w:tc>
        <w:tc>
          <w:tcPr>
            <w:tcW w:w="1063" w:type="dxa"/>
            <w:tcBorders>
              <w:tl2br w:val="nil"/>
              <w:tr2bl w:val="nil"/>
            </w:tcBorders>
            <w:noWrap w:val="0"/>
            <w:vAlign w:val="center"/>
          </w:tcPr>
          <w:p w14:paraId="4F2D1416">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w w:val="100"/>
                <w:kern w:val="21"/>
                <w:position w:val="0"/>
                <w:sz w:val="21"/>
                <w:szCs w:val="21"/>
                <w:u w:val="none" w:color="auto"/>
                <w:lang w:val="en-US" w:eastAsia="zh-CN"/>
              </w:rPr>
            </w:pPr>
            <w:r>
              <w:rPr>
                <w:rFonts w:hint="eastAsia" w:ascii="Times New Roman" w:hAnsi="Times New Roman" w:eastAsia="宋体" w:cs="Times New Roman"/>
                <w:snapToGrid w:val="0"/>
                <w:spacing w:val="0"/>
                <w:w w:val="100"/>
                <w:kern w:val="21"/>
                <w:position w:val="0"/>
                <w:sz w:val="21"/>
                <w:szCs w:val="21"/>
                <w:u w:val="none" w:color="auto"/>
                <w:lang w:val="en-US" w:eastAsia="zh-CN"/>
              </w:rPr>
              <w:t>扩散</w:t>
            </w:r>
          </w:p>
        </w:tc>
        <w:tc>
          <w:tcPr>
            <w:tcW w:w="1681" w:type="dxa"/>
            <w:tcBorders>
              <w:tl2br w:val="nil"/>
              <w:tr2bl w:val="nil"/>
            </w:tcBorders>
            <w:noWrap w:val="0"/>
            <w:vAlign w:val="center"/>
          </w:tcPr>
          <w:p w14:paraId="4D43CE2E">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snapToGrid w:val="0"/>
                <w:spacing w:val="0"/>
                <w:w w:val="100"/>
                <w:kern w:val="21"/>
                <w:position w:val="0"/>
                <w:sz w:val="21"/>
                <w:szCs w:val="21"/>
                <w:u w:val="none" w:color="auto"/>
              </w:rPr>
            </w:pPr>
            <w:r>
              <w:rPr>
                <w:rFonts w:hint="default" w:ascii="Times New Roman" w:hAnsi="Times New Roman" w:eastAsia="Times New Roman"/>
                <w:snapToGrid w:val="0"/>
                <w:spacing w:val="0"/>
                <w:w w:val="100"/>
                <w:kern w:val="21"/>
                <w:position w:val="0"/>
                <w:sz w:val="21"/>
                <w:szCs w:val="21"/>
                <w:u w:val="none" w:color="auto"/>
              </w:rPr>
              <w:t>—</w:t>
            </w:r>
          </w:p>
        </w:tc>
        <w:tc>
          <w:tcPr>
            <w:tcW w:w="1513" w:type="dxa"/>
            <w:tcBorders>
              <w:tl2br w:val="nil"/>
              <w:tr2bl w:val="nil"/>
            </w:tcBorders>
            <w:noWrap w:val="0"/>
            <w:vAlign w:val="center"/>
          </w:tcPr>
          <w:p w14:paraId="0F299B7D">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Times New Roman"/>
                <w:snapToGrid w:val="0"/>
                <w:spacing w:val="0"/>
                <w:w w:val="100"/>
                <w:kern w:val="21"/>
                <w:position w:val="0"/>
                <w:sz w:val="21"/>
                <w:szCs w:val="21"/>
                <w:u w:val="none" w:color="auto"/>
              </w:rPr>
            </w:pPr>
          </w:p>
        </w:tc>
        <w:tc>
          <w:tcPr>
            <w:tcW w:w="1673" w:type="dxa"/>
            <w:tcBorders>
              <w:tl2br w:val="nil"/>
              <w:tr2bl w:val="nil"/>
            </w:tcBorders>
            <w:noWrap w:val="0"/>
            <w:vAlign w:val="center"/>
          </w:tcPr>
          <w:p w14:paraId="38A85B92">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napToGrid w:val="0"/>
                <w:spacing w:val="0"/>
                <w:w w:val="100"/>
                <w:kern w:val="21"/>
                <w:position w:val="0"/>
                <w:sz w:val="21"/>
                <w:szCs w:val="21"/>
                <w:u w:val="none" w:color="auto"/>
              </w:rPr>
            </w:pPr>
            <w:r>
              <w:rPr>
                <w:rFonts w:hint="eastAsia"/>
                <w:snapToGrid w:val="0"/>
                <w:spacing w:val="0"/>
                <w:w w:val="100"/>
                <w:kern w:val="21"/>
                <w:position w:val="0"/>
                <w:sz w:val="21"/>
                <w:szCs w:val="21"/>
                <w:u w:val="none" w:color="auto"/>
              </w:rPr>
              <w:t>人员伤亡</w:t>
            </w:r>
          </w:p>
        </w:tc>
      </w:tr>
      <w:tr w14:paraId="610DBF7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42" w:type="dxa"/>
            <w:vMerge w:val="continue"/>
            <w:tcBorders>
              <w:tl2br w:val="nil"/>
              <w:tr2bl w:val="nil"/>
            </w:tcBorders>
            <w:noWrap w:val="0"/>
            <w:vAlign w:val="center"/>
          </w:tcPr>
          <w:p w14:paraId="61696ACE">
            <w:pPr>
              <w:pStyle w:val="30"/>
              <w:keepNext w:val="0"/>
              <w:keepLines w:val="0"/>
              <w:pageBreakBefore w:val="0"/>
              <w:widowControl/>
              <w:kinsoku/>
              <w:wordWrap/>
              <w:overflowPunct/>
              <w:topLinePunct/>
              <w:autoSpaceDE/>
              <w:autoSpaceDN/>
              <w:bidi w:val="0"/>
              <w:adjustRightInd w:val="0"/>
              <w:snapToGrid w:val="0"/>
              <w:spacing w:before="0" w:beforeLines="0" w:afterLines="0" w:line="240" w:lineRule="auto"/>
              <w:ind w:left="0" w:right="0" w:firstLine="0" w:firstLineChars="0"/>
              <w:jc w:val="center"/>
              <w:textAlignment w:val="auto"/>
              <w:rPr>
                <w:rFonts w:hint="default"/>
                <w:snapToGrid w:val="0"/>
                <w:spacing w:val="0"/>
                <w:w w:val="100"/>
                <w:kern w:val="21"/>
                <w:position w:val="0"/>
                <w:sz w:val="21"/>
                <w:szCs w:val="21"/>
                <w:u w:val="none" w:color="auto"/>
              </w:rPr>
            </w:pPr>
          </w:p>
        </w:tc>
        <w:tc>
          <w:tcPr>
            <w:tcW w:w="1378" w:type="dxa"/>
            <w:vMerge w:val="continue"/>
            <w:tcBorders>
              <w:tl2br w:val="nil"/>
              <w:tr2bl w:val="nil"/>
            </w:tcBorders>
            <w:noWrap w:val="0"/>
            <w:vAlign w:val="center"/>
          </w:tcPr>
          <w:p w14:paraId="3C6C7733">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p>
        </w:tc>
        <w:tc>
          <w:tcPr>
            <w:tcW w:w="1192" w:type="dxa"/>
            <w:tcBorders>
              <w:tl2br w:val="nil"/>
              <w:tr2bl w:val="nil"/>
            </w:tcBorders>
            <w:noWrap w:val="0"/>
            <w:vAlign w:val="center"/>
          </w:tcPr>
          <w:p w14:paraId="1EF2DC5D">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Times New Roman" w:hAnsi="Times New Roman" w:eastAsia="宋体" w:cs="Times New Roman"/>
                <w:snapToGrid w:val="0"/>
                <w:spacing w:val="0"/>
                <w:w w:val="100"/>
                <w:kern w:val="21"/>
                <w:position w:val="0"/>
                <w:sz w:val="21"/>
                <w:szCs w:val="21"/>
                <w:u w:val="none" w:color="auto"/>
                <w:lang w:val="en-US" w:eastAsia="zh-CN"/>
              </w:rPr>
            </w:pPr>
            <w:r>
              <w:rPr>
                <w:rFonts w:hint="eastAsia" w:ascii="Times New Roman" w:hAnsi="Times New Roman" w:eastAsia="宋体" w:cs="Times New Roman"/>
                <w:snapToGrid w:val="0"/>
                <w:spacing w:val="0"/>
                <w:w w:val="100"/>
                <w:kern w:val="21"/>
                <w:position w:val="0"/>
                <w:sz w:val="21"/>
                <w:szCs w:val="21"/>
                <w:u w:val="none" w:color="auto"/>
                <w:lang w:val="en-US" w:eastAsia="zh-CN"/>
              </w:rPr>
              <w:t>消防水</w:t>
            </w:r>
          </w:p>
        </w:tc>
        <w:tc>
          <w:tcPr>
            <w:tcW w:w="1063" w:type="dxa"/>
            <w:tcBorders>
              <w:tl2br w:val="nil"/>
              <w:tr2bl w:val="nil"/>
            </w:tcBorders>
            <w:noWrap w:val="0"/>
            <w:vAlign w:val="center"/>
          </w:tcPr>
          <w:p w14:paraId="16B85F4E">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w:t>
            </w:r>
          </w:p>
        </w:tc>
        <w:tc>
          <w:tcPr>
            <w:tcW w:w="1681" w:type="dxa"/>
            <w:tcBorders>
              <w:tl2br w:val="nil"/>
              <w:tr2bl w:val="nil"/>
            </w:tcBorders>
            <w:noWrap w:val="0"/>
            <w:vAlign w:val="center"/>
          </w:tcPr>
          <w:p w14:paraId="7CEB3926">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napToGrid w:val="0"/>
                <w:spacing w:val="0"/>
                <w:w w:val="100"/>
                <w:kern w:val="21"/>
                <w:position w:val="0"/>
                <w:sz w:val="21"/>
                <w:szCs w:val="21"/>
                <w:u w:val="none" w:color="auto"/>
              </w:rPr>
            </w:pPr>
            <w:r>
              <w:rPr>
                <w:rFonts w:hint="eastAsia"/>
                <w:snapToGrid w:val="0"/>
                <w:spacing w:val="0"/>
                <w:w w:val="100"/>
                <w:kern w:val="21"/>
                <w:position w:val="0"/>
                <w:sz w:val="21"/>
                <w:szCs w:val="21"/>
                <w:u w:val="none" w:color="auto"/>
              </w:rPr>
              <w:t>生产废水、雨水、消防水</w:t>
            </w:r>
          </w:p>
        </w:tc>
        <w:tc>
          <w:tcPr>
            <w:tcW w:w="1513" w:type="dxa"/>
            <w:tcBorders>
              <w:tl2br w:val="nil"/>
              <w:tr2bl w:val="nil"/>
            </w:tcBorders>
            <w:noWrap w:val="0"/>
            <w:vAlign w:val="center"/>
          </w:tcPr>
          <w:p w14:paraId="1FDCE97A">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napToGrid w:val="0"/>
                <w:spacing w:val="0"/>
                <w:w w:val="100"/>
                <w:kern w:val="21"/>
                <w:position w:val="0"/>
                <w:sz w:val="21"/>
                <w:szCs w:val="21"/>
                <w:u w:val="none" w:color="auto"/>
              </w:rPr>
            </w:pPr>
            <w:r>
              <w:rPr>
                <w:rFonts w:hint="eastAsia"/>
                <w:snapToGrid w:val="0"/>
                <w:spacing w:val="0"/>
                <w:w w:val="100"/>
                <w:kern w:val="21"/>
                <w:position w:val="0"/>
                <w:sz w:val="21"/>
                <w:szCs w:val="21"/>
                <w:u w:val="none" w:color="auto"/>
              </w:rPr>
              <w:t>水渗透、吸收</w:t>
            </w:r>
          </w:p>
        </w:tc>
        <w:tc>
          <w:tcPr>
            <w:tcW w:w="1673" w:type="dxa"/>
            <w:tcBorders>
              <w:tl2br w:val="nil"/>
              <w:tr2bl w:val="nil"/>
            </w:tcBorders>
            <w:noWrap w:val="0"/>
            <w:vAlign w:val="center"/>
          </w:tcPr>
          <w:p w14:paraId="22461488">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snapToGrid w:val="0"/>
                <w:spacing w:val="0"/>
                <w:w w:val="100"/>
                <w:kern w:val="21"/>
                <w:position w:val="0"/>
                <w:sz w:val="21"/>
                <w:szCs w:val="21"/>
                <w:u w:val="none" w:color="auto"/>
              </w:rPr>
            </w:pPr>
            <w:r>
              <w:rPr>
                <w:rFonts w:hint="eastAsia"/>
                <w:snapToGrid w:val="0"/>
                <w:spacing w:val="0"/>
                <w:w w:val="100"/>
                <w:kern w:val="21"/>
                <w:position w:val="0"/>
                <w:sz w:val="21"/>
                <w:szCs w:val="21"/>
                <w:u w:val="none" w:color="auto"/>
              </w:rPr>
              <w:t>地表水环境污染地下</w:t>
            </w:r>
            <w:r>
              <w:rPr>
                <w:rFonts w:hint="eastAsia"/>
                <w:snapToGrid w:val="0"/>
                <w:spacing w:val="0"/>
                <w:w w:val="100"/>
                <w:kern w:val="21"/>
                <w:position w:val="0"/>
                <w:sz w:val="21"/>
                <w:szCs w:val="21"/>
                <w:u w:val="none" w:color="auto"/>
                <w:lang w:eastAsia="zh-CN"/>
              </w:rPr>
              <w:t>、</w:t>
            </w:r>
            <w:r>
              <w:rPr>
                <w:rFonts w:hint="eastAsia"/>
                <w:snapToGrid w:val="0"/>
                <w:spacing w:val="0"/>
                <w:w w:val="100"/>
                <w:kern w:val="21"/>
                <w:position w:val="0"/>
                <w:sz w:val="21"/>
                <w:szCs w:val="21"/>
                <w:u w:val="none" w:color="auto"/>
              </w:rPr>
              <w:t>水环境污染</w:t>
            </w:r>
          </w:p>
        </w:tc>
      </w:tr>
    </w:tbl>
    <w:p w14:paraId="481E5148">
      <w:pPr>
        <w:pStyle w:val="128"/>
        <w:numPr>
          <w:ilvl w:val="2"/>
          <w:numId w:val="0"/>
        </w:numPr>
        <w:bidi w:val="0"/>
        <w:ind w:leftChars="0"/>
        <w:outlineLvl w:val="2"/>
        <w:rPr>
          <w:rFonts w:hint="eastAsia" w:ascii="Times New Roman" w:hAnsi="Times New Roman" w:eastAsia="宋体" w:cs="Times New Roman"/>
          <w:color w:val="auto"/>
          <w:spacing w:val="0"/>
          <w:w w:val="100"/>
          <w:kern w:val="21"/>
          <w:position w:val="0"/>
          <w:u w:val="none" w:color="auto"/>
          <w:lang w:val="en-US" w:eastAsia="zh-CN"/>
        </w:rPr>
      </w:pPr>
      <w:r>
        <w:rPr>
          <w:rFonts w:hint="eastAsia" w:ascii="Times New Roman" w:hAnsi="Times New Roman" w:eastAsia="宋体" w:cs="Times New Roman"/>
          <w:color w:val="auto"/>
          <w:spacing w:val="0"/>
          <w:w w:val="100"/>
          <w:kern w:val="21"/>
          <w:position w:val="0"/>
          <w:u w:val="none" w:color="auto"/>
          <w:lang w:val="en-US" w:eastAsia="zh-CN"/>
        </w:rPr>
        <w:t>6.5环境风险识别结果</w:t>
      </w:r>
    </w:p>
    <w:p w14:paraId="54555618">
      <w:pPr>
        <w:keepNext w:val="0"/>
        <w:keepLines w:val="0"/>
        <w:pageBreakBefore w:val="0"/>
        <w:numPr>
          <w:ilvl w:val="0"/>
          <w:numId w:val="0"/>
        </w:numPr>
        <w:kinsoku/>
        <w:wordWrap/>
        <w:overflowPunct/>
        <w:autoSpaceDE/>
        <w:autoSpaceDN/>
        <w:bidi w:val="0"/>
        <w:spacing w:line="440" w:lineRule="exact"/>
        <w:ind w:firstLine="480" w:firstLineChars="200"/>
        <w:textAlignment w:val="auto"/>
        <w:rPr>
          <w:rFonts w:hint="default" w:ascii="Times New Roman" w:hAnsi="Times New Roman" w:eastAsia="宋体" w:cs="Times New Roman"/>
          <w:b w:val="0"/>
          <w:color w:val="auto"/>
          <w:spacing w:val="0"/>
          <w:w w:val="100"/>
          <w:kern w:val="21"/>
          <w:position w:val="0"/>
          <w:sz w:val="24"/>
          <w:szCs w:val="24"/>
          <w:u w:val="none" w:color="auto"/>
          <w:lang w:val="en-US" w:eastAsia="zh-CN" w:bidi="ar-SA"/>
        </w:rPr>
      </w:pPr>
      <w:r>
        <w:rPr>
          <w:rFonts w:hint="default" w:ascii="Times New Roman" w:hAnsi="Times New Roman" w:eastAsia="宋体" w:cs="Times New Roman"/>
          <w:b w:val="0"/>
          <w:color w:val="auto"/>
          <w:spacing w:val="0"/>
          <w:w w:val="100"/>
          <w:kern w:val="21"/>
          <w:position w:val="0"/>
          <w:sz w:val="24"/>
          <w:szCs w:val="24"/>
          <w:u w:val="none" w:color="auto"/>
          <w:lang w:val="en-US" w:eastAsia="zh-CN" w:bidi="ar-SA"/>
        </w:rPr>
        <w:t>根据《建设项目环境风险评价技术导则》（HJ169-2018）要求，环境风险识别结果应包括危险单元、风险源、主要危险物质、环境风险类型、环境影响途径、可能受影响的环境敏感目标。</w:t>
      </w:r>
    </w:p>
    <w:p w14:paraId="6B721D9B">
      <w:pPr>
        <w:keepNext w:val="0"/>
        <w:keepLines w:val="0"/>
        <w:pageBreakBefore w:val="0"/>
        <w:numPr>
          <w:ilvl w:val="0"/>
          <w:numId w:val="0"/>
        </w:numPr>
        <w:kinsoku/>
        <w:wordWrap/>
        <w:overflowPunct/>
        <w:autoSpaceDE/>
        <w:autoSpaceDN/>
        <w:bidi w:val="0"/>
        <w:spacing w:line="440" w:lineRule="exact"/>
        <w:ind w:firstLine="480" w:firstLineChars="200"/>
        <w:textAlignment w:val="auto"/>
        <w:rPr>
          <w:rFonts w:hint="default" w:ascii="Times New Roman" w:hAnsi="Times New Roman" w:eastAsia="宋体" w:cs="Times New Roman"/>
          <w:b w:val="0"/>
          <w:color w:val="auto"/>
          <w:spacing w:val="0"/>
          <w:w w:val="100"/>
          <w:kern w:val="21"/>
          <w:position w:val="0"/>
          <w:sz w:val="24"/>
          <w:szCs w:val="24"/>
          <w:u w:val="none" w:color="auto"/>
          <w:lang w:val="en-US" w:eastAsia="zh-CN" w:bidi="ar-SA"/>
        </w:rPr>
      </w:pPr>
      <w:r>
        <w:rPr>
          <w:rFonts w:hint="default" w:ascii="Times New Roman" w:hAnsi="Times New Roman" w:eastAsia="宋体" w:cs="Times New Roman"/>
          <w:b w:val="0"/>
          <w:color w:val="auto"/>
          <w:spacing w:val="0"/>
          <w:w w:val="100"/>
          <w:kern w:val="21"/>
          <w:position w:val="0"/>
          <w:sz w:val="24"/>
          <w:szCs w:val="24"/>
          <w:u w:val="none" w:color="auto"/>
          <w:lang w:val="en-US" w:eastAsia="zh-CN" w:bidi="ar-SA"/>
        </w:rPr>
        <w:t>综上所述，通过物质危险性识别、生产系统危险性识别和环境风险类型识别，汇总拟建项目环境风险识别结果见下表所示。</w:t>
      </w:r>
    </w:p>
    <w:p w14:paraId="19B15C8A">
      <w:pPr>
        <w:pStyle w:val="124"/>
        <w:bidi w:val="0"/>
        <w:jc w:val="center"/>
        <w:rPr>
          <w:rFonts w:hint="default" w:cs="Times New Roman"/>
          <w:color w:val="auto"/>
          <w:spacing w:val="0"/>
          <w:w w:val="100"/>
          <w:kern w:val="21"/>
          <w:position w:val="0"/>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default" w:cs="Times New Roman"/>
          <w:color w:val="auto"/>
          <w:spacing w:val="0"/>
          <w:w w:val="100"/>
          <w:kern w:val="21"/>
          <w:position w:val="0"/>
          <w:u w:val="none" w:color="auto"/>
          <w:lang w:val="en-US" w:eastAsia="zh-CN"/>
        </w:rPr>
        <w:t>事故污染物转移途径及影响方式</w:t>
      </w:r>
    </w:p>
    <w:tbl>
      <w:tblPr>
        <w:tblStyle w:val="3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2"/>
        <w:gridCol w:w="878"/>
        <w:gridCol w:w="1187"/>
        <w:gridCol w:w="1642"/>
        <w:gridCol w:w="1836"/>
        <w:gridCol w:w="1437"/>
        <w:gridCol w:w="1616"/>
      </w:tblGrid>
      <w:tr w14:paraId="53948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34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D9746EC">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宋体" w:hAnsi="宋体" w:eastAsia="宋体"/>
                <w:b/>
                <w:bCs/>
                <w:snapToGrid w:val="0"/>
                <w:spacing w:val="0"/>
                <w:w w:val="100"/>
                <w:kern w:val="21"/>
                <w:position w:val="0"/>
                <w:sz w:val="21"/>
                <w:szCs w:val="21"/>
                <w:u w:val="none" w:color="auto"/>
              </w:rPr>
            </w:pPr>
            <w:r>
              <w:rPr>
                <w:rFonts w:hint="eastAsia" w:ascii="宋体" w:hAnsi="宋体" w:eastAsia="宋体"/>
                <w:b/>
                <w:bCs/>
                <w:snapToGrid w:val="0"/>
                <w:spacing w:val="0"/>
                <w:w w:val="100"/>
                <w:kern w:val="21"/>
                <w:position w:val="0"/>
                <w:sz w:val="21"/>
                <w:szCs w:val="21"/>
                <w:u w:val="none" w:color="auto"/>
              </w:rPr>
              <w:t>序号</w:t>
            </w:r>
          </w:p>
        </w:tc>
        <w:tc>
          <w:tcPr>
            <w:tcW w:w="47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7C3474">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宋体" w:hAnsi="宋体" w:eastAsia="宋体"/>
                <w:b/>
                <w:bCs/>
                <w:snapToGrid w:val="0"/>
                <w:spacing w:val="0"/>
                <w:w w:val="100"/>
                <w:kern w:val="21"/>
                <w:position w:val="0"/>
                <w:sz w:val="21"/>
                <w:szCs w:val="21"/>
                <w:u w:val="none" w:color="auto"/>
              </w:rPr>
            </w:pPr>
            <w:r>
              <w:rPr>
                <w:rFonts w:hint="eastAsia" w:ascii="宋体" w:hAnsi="宋体" w:eastAsia="宋体"/>
                <w:b/>
                <w:bCs/>
                <w:snapToGrid w:val="0"/>
                <w:spacing w:val="0"/>
                <w:w w:val="100"/>
                <w:kern w:val="21"/>
                <w:position w:val="0"/>
                <w:sz w:val="21"/>
                <w:szCs w:val="21"/>
                <w:u w:val="none" w:color="auto"/>
              </w:rPr>
              <w:t>危险单元</w:t>
            </w:r>
          </w:p>
        </w:tc>
        <w:tc>
          <w:tcPr>
            <w:tcW w:w="64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74B631">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宋体" w:hAnsi="宋体" w:eastAsia="宋体"/>
                <w:b/>
                <w:bCs/>
                <w:snapToGrid w:val="0"/>
                <w:spacing w:val="0"/>
                <w:w w:val="100"/>
                <w:kern w:val="21"/>
                <w:position w:val="0"/>
                <w:sz w:val="21"/>
                <w:szCs w:val="21"/>
                <w:u w:val="none" w:color="auto"/>
              </w:rPr>
            </w:pPr>
            <w:r>
              <w:rPr>
                <w:rFonts w:hint="eastAsia" w:ascii="宋体" w:hAnsi="宋体" w:eastAsia="宋体"/>
                <w:b/>
                <w:bCs/>
                <w:snapToGrid w:val="0"/>
                <w:spacing w:val="0"/>
                <w:w w:val="100"/>
                <w:kern w:val="21"/>
                <w:position w:val="0"/>
                <w:sz w:val="21"/>
                <w:szCs w:val="21"/>
                <w:u w:val="none" w:color="auto"/>
              </w:rPr>
              <w:t>风险源</w:t>
            </w:r>
          </w:p>
        </w:tc>
        <w:tc>
          <w:tcPr>
            <w:tcW w:w="8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CA9497">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宋体" w:hAnsi="宋体" w:eastAsia="宋体"/>
                <w:b/>
                <w:bCs/>
                <w:snapToGrid w:val="0"/>
                <w:spacing w:val="0"/>
                <w:w w:val="100"/>
                <w:kern w:val="21"/>
                <w:position w:val="0"/>
                <w:sz w:val="21"/>
                <w:szCs w:val="21"/>
                <w:u w:val="none" w:color="auto"/>
              </w:rPr>
            </w:pPr>
            <w:r>
              <w:rPr>
                <w:rFonts w:hint="eastAsia" w:ascii="宋体" w:hAnsi="宋体" w:eastAsia="宋体"/>
                <w:b/>
                <w:bCs/>
                <w:snapToGrid w:val="0"/>
                <w:spacing w:val="0"/>
                <w:w w:val="100"/>
                <w:kern w:val="21"/>
                <w:position w:val="0"/>
                <w:sz w:val="21"/>
                <w:szCs w:val="21"/>
                <w:u w:val="none" w:color="auto"/>
              </w:rPr>
              <w:t>主要危险物质</w:t>
            </w:r>
          </w:p>
        </w:tc>
        <w:tc>
          <w:tcPr>
            <w:tcW w:w="99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B6E1C3">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宋体" w:hAnsi="宋体" w:eastAsia="宋体"/>
                <w:b/>
                <w:bCs/>
                <w:snapToGrid w:val="0"/>
                <w:spacing w:val="0"/>
                <w:w w:val="100"/>
                <w:kern w:val="21"/>
                <w:position w:val="0"/>
                <w:sz w:val="21"/>
                <w:szCs w:val="21"/>
                <w:u w:val="none" w:color="auto"/>
              </w:rPr>
            </w:pPr>
            <w:r>
              <w:rPr>
                <w:rFonts w:hint="eastAsia" w:ascii="宋体" w:hAnsi="宋体" w:eastAsia="宋体"/>
                <w:b/>
                <w:bCs/>
                <w:snapToGrid w:val="0"/>
                <w:spacing w:val="0"/>
                <w:w w:val="100"/>
                <w:kern w:val="21"/>
                <w:position w:val="0"/>
                <w:sz w:val="21"/>
                <w:szCs w:val="21"/>
                <w:u w:val="none" w:color="auto"/>
              </w:rPr>
              <w:t>环境风险类型</w:t>
            </w:r>
          </w:p>
        </w:tc>
        <w:tc>
          <w:tcPr>
            <w:tcW w:w="77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81BB8D">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宋体" w:hAnsi="宋体" w:eastAsia="宋体"/>
                <w:b/>
                <w:bCs/>
                <w:snapToGrid w:val="0"/>
                <w:spacing w:val="0"/>
                <w:w w:val="100"/>
                <w:kern w:val="21"/>
                <w:position w:val="0"/>
                <w:sz w:val="21"/>
                <w:szCs w:val="21"/>
                <w:u w:val="none" w:color="auto"/>
              </w:rPr>
            </w:pPr>
            <w:r>
              <w:rPr>
                <w:rFonts w:hint="eastAsia" w:ascii="宋体" w:hAnsi="宋体" w:eastAsia="宋体"/>
                <w:b/>
                <w:bCs/>
                <w:snapToGrid w:val="0"/>
                <w:spacing w:val="0"/>
                <w:w w:val="100"/>
                <w:kern w:val="21"/>
                <w:position w:val="0"/>
                <w:sz w:val="21"/>
                <w:szCs w:val="21"/>
                <w:u w:val="none" w:color="auto"/>
              </w:rPr>
              <w:t>环境影响途径</w:t>
            </w:r>
          </w:p>
        </w:tc>
        <w:tc>
          <w:tcPr>
            <w:tcW w:w="87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C4A367">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eastAsia" w:ascii="宋体" w:hAnsi="宋体" w:eastAsia="宋体"/>
                <w:b/>
                <w:bCs/>
                <w:snapToGrid w:val="0"/>
                <w:spacing w:val="0"/>
                <w:w w:val="100"/>
                <w:kern w:val="21"/>
                <w:position w:val="0"/>
                <w:sz w:val="21"/>
                <w:szCs w:val="21"/>
                <w:u w:val="none" w:color="auto"/>
              </w:rPr>
            </w:pPr>
            <w:r>
              <w:rPr>
                <w:rFonts w:hint="eastAsia" w:ascii="宋体" w:hAnsi="宋体" w:eastAsia="宋体"/>
                <w:b/>
                <w:bCs/>
                <w:snapToGrid w:val="0"/>
                <w:spacing w:val="0"/>
                <w:w w:val="100"/>
                <w:kern w:val="21"/>
                <w:position w:val="0"/>
                <w:sz w:val="21"/>
                <w:szCs w:val="21"/>
                <w:u w:val="none" w:color="auto"/>
              </w:rPr>
              <w:t>可能受影响的环境敏感目标</w:t>
            </w:r>
          </w:p>
        </w:tc>
      </w:tr>
      <w:tr w14:paraId="2E7D0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34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0E2701">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1</w:t>
            </w:r>
          </w:p>
        </w:tc>
        <w:tc>
          <w:tcPr>
            <w:tcW w:w="47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CE2D4D">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生产单元</w:t>
            </w:r>
          </w:p>
        </w:tc>
        <w:tc>
          <w:tcPr>
            <w:tcW w:w="64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7BED6D">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原料储存区</w:t>
            </w:r>
          </w:p>
        </w:tc>
        <w:tc>
          <w:tcPr>
            <w:tcW w:w="8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961333">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电解液</w:t>
            </w:r>
          </w:p>
        </w:tc>
        <w:tc>
          <w:tcPr>
            <w:tcW w:w="99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0156FD">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泄漏，火灾爆炸伴生污染物</w:t>
            </w:r>
          </w:p>
        </w:tc>
        <w:tc>
          <w:tcPr>
            <w:tcW w:w="77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E3E71E">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大气扩散</w:t>
            </w:r>
          </w:p>
          <w:p w14:paraId="61C897C4">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地表水迁移</w:t>
            </w:r>
          </w:p>
          <w:p w14:paraId="73FE3AFC">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下渗地下水</w:t>
            </w:r>
          </w:p>
        </w:tc>
        <w:tc>
          <w:tcPr>
            <w:tcW w:w="87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6A3422">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下风向居民点地下水</w:t>
            </w:r>
          </w:p>
        </w:tc>
      </w:tr>
      <w:tr w14:paraId="19F11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34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ECF499">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2</w:t>
            </w:r>
          </w:p>
        </w:tc>
        <w:tc>
          <w:tcPr>
            <w:tcW w:w="47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BE17E8">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生产单元</w:t>
            </w:r>
          </w:p>
        </w:tc>
        <w:tc>
          <w:tcPr>
            <w:tcW w:w="64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D9057E">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原料储存区、NMP储罐</w:t>
            </w:r>
          </w:p>
        </w:tc>
        <w:tc>
          <w:tcPr>
            <w:tcW w:w="8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D97C26">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电解液、NMP、NMP回收液</w:t>
            </w:r>
          </w:p>
        </w:tc>
        <w:tc>
          <w:tcPr>
            <w:tcW w:w="99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95E96F">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泄漏</w:t>
            </w:r>
          </w:p>
        </w:tc>
        <w:tc>
          <w:tcPr>
            <w:tcW w:w="77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87A549">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大气扩散</w:t>
            </w:r>
          </w:p>
        </w:tc>
        <w:tc>
          <w:tcPr>
            <w:tcW w:w="87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C99DA6">
            <w:pPr>
              <w:pStyle w:val="74"/>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center"/>
              <w:textAlignment w:val="auto"/>
              <w:rPr>
                <w:rFonts w:hint="default" w:ascii="Times New Roman" w:hAnsi="Times New Roman" w:eastAsia="宋体" w:cs="Times New Roman"/>
                <w:snapToGrid w:val="0"/>
                <w:spacing w:val="0"/>
                <w:w w:val="100"/>
                <w:kern w:val="21"/>
                <w:position w:val="0"/>
                <w:sz w:val="21"/>
                <w:szCs w:val="21"/>
                <w:u w:val="none" w:color="auto"/>
                <w:lang w:val="en-US" w:eastAsia="zh-CN"/>
              </w:rPr>
            </w:pPr>
            <w:r>
              <w:rPr>
                <w:rFonts w:hint="default" w:ascii="Times New Roman" w:hAnsi="Times New Roman" w:eastAsia="宋体" w:cs="Times New Roman"/>
                <w:snapToGrid w:val="0"/>
                <w:spacing w:val="0"/>
                <w:w w:val="100"/>
                <w:kern w:val="21"/>
                <w:position w:val="0"/>
                <w:sz w:val="21"/>
                <w:szCs w:val="21"/>
                <w:u w:val="none" w:color="auto"/>
                <w:lang w:val="en-US" w:eastAsia="zh-CN"/>
              </w:rPr>
              <w:t>下风向居民点</w:t>
            </w:r>
          </w:p>
        </w:tc>
      </w:tr>
    </w:tbl>
    <w:p w14:paraId="67FEE7B2">
      <w:pPr>
        <w:keepNext w:val="0"/>
        <w:keepLines w:val="0"/>
        <w:pageBreakBefore w:val="0"/>
        <w:numPr>
          <w:ilvl w:val="0"/>
          <w:numId w:val="0"/>
        </w:numPr>
        <w:kinsoku/>
        <w:wordWrap/>
        <w:overflowPunct/>
        <w:autoSpaceDE/>
        <w:autoSpaceDN/>
        <w:bidi w:val="0"/>
        <w:spacing w:line="440" w:lineRule="exact"/>
        <w:textAlignment w:val="auto"/>
        <w:rPr>
          <w:rFonts w:hint="default" w:ascii="Times New Roman" w:hAnsi="Times New Roman" w:eastAsia="宋体" w:cs="Times New Roman"/>
          <w:b w:val="0"/>
          <w:color w:val="auto"/>
          <w:spacing w:val="0"/>
          <w:w w:val="100"/>
          <w:kern w:val="21"/>
          <w:position w:val="0"/>
          <w:sz w:val="24"/>
          <w:szCs w:val="24"/>
          <w:u w:val="none" w:color="auto"/>
          <w:lang w:val="en-US" w:eastAsia="zh-CN" w:bidi="ar-SA"/>
        </w:rPr>
      </w:pPr>
    </w:p>
    <w:p w14:paraId="28B04175">
      <w:pPr>
        <w:keepNext w:val="0"/>
        <w:keepLines w:val="0"/>
        <w:pageBreakBefore w:val="0"/>
        <w:numPr>
          <w:ilvl w:val="0"/>
          <w:numId w:val="0"/>
        </w:numPr>
        <w:kinsoku/>
        <w:wordWrap/>
        <w:overflowPunct/>
        <w:autoSpaceDE/>
        <w:autoSpaceDN/>
        <w:bidi w:val="0"/>
        <w:spacing w:line="440" w:lineRule="exact"/>
        <w:textAlignment w:val="auto"/>
        <w:rPr>
          <w:rFonts w:hint="default" w:ascii="Times New Roman" w:hAnsi="Times New Roman" w:eastAsia="宋体" w:cs="Times New Roman"/>
          <w:b w:val="0"/>
          <w:color w:val="auto"/>
          <w:spacing w:val="0"/>
          <w:w w:val="100"/>
          <w:kern w:val="21"/>
          <w:position w:val="0"/>
          <w:sz w:val="24"/>
          <w:szCs w:val="24"/>
          <w:u w:val="none" w:color="auto"/>
          <w:lang w:val="en-US" w:eastAsia="zh-CN" w:bidi="ar-SA"/>
        </w:rPr>
      </w:pPr>
    </w:p>
    <w:p w14:paraId="0B6C2A2C">
      <w:pPr>
        <w:keepNext w:val="0"/>
        <w:keepLines w:val="0"/>
        <w:pageBreakBefore w:val="0"/>
        <w:numPr>
          <w:ilvl w:val="0"/>
          <w:numId w:val="4"/>
        </w:numPr>
        <w:kinsoku/>
        <w:wordWrap/>
        <w:overflowPunct/>
        <w:autoSpaceDE/>
        <w:autoSpaceDN/>
        <w:bidi w:val="0"/>
        <w:spacing w:line="440" w:lineRule="exact"/>
        <w:textAlignment w:val="auto"/>
        <w:outlineLvl w:val="0"/>
        <w:rPr>
          <w:rFonts w:hint="default" w:ascii="Times New Roman" w:hAnsi="Times New Roman" w:eastAsia="宋体" w:cs="Times New Roman"/>
          <w:b/>
          <w:color w:val="auto"/>
          <w:spacing w:val="0"/>
          <w:w w:val="100"/>
          <w:kern w:val="21"/>
          <w:position w:val="0"/>
          <w:sz w:val="30"/>
          <w:szCs w:val="30"/>
          <w:u w:val="none" w:color="auto"/>
          <w:lang w:val="en-US" w:eastAsia="zh-CN"/>
        </w:rPr>
      </w:pPr>
      <w:r>
        <w:rPr>
          <w:rFonts w:hint="eastAsia" w:ascii="Times New Roman" w:hAnsi="Times New Roman" w:eastAsia="宋体" w:cs="Times New Roman"/>
          <w:b/>
          <w:color w:val="auto"/>
          <w:spacing w:val="0"/>
          <w:w w:val="100"/>
          <w:kern w:val="21"/>
          <w:position w:val="0"/>
          <w:sz w:val="30"/>
          <w:szCs w:val="30"/>
          <w:u w:val="none" w:color="auto"/>
          <w:lang w:val="en-US" w:eastAsia="zh-CN"/>
        </w:rPr>
        <w:t>风险事故情形分析</w:t>
      </w:r>
    </w:p>
    <w:p w14:paraId="282DE510">
      <w:pPr>
        <w:pStyle w:val="128"/>
        <w:numPr>
          <w:ilvl w:val="2"/>
          <w:numId w:val="0"/>
        </w:numPr>
        <w:bidi w:val="0"/>
        <w:ind w:leftChars="0"/>
        <w:outlineLvl w:val="2"/>
        <w:rPr>
          <w:rFonts w:hint="eastAsia" w:ascii="Times New Roman" w:hAnsi="Times New Roman" w:eastAsia="宋体" w:cs="Times New Roman"/>
          <w:color w:val="auto"/>
          <w:spacing w:val="0"/>
          <w:w w:val="100"/>
          <w:kern w:val="21"/>
          <w:position w:val="0"/>
          <w:u w:val="none" w:color="auto"/>
          <w:lang w:val="en-US" w:eastAsia="zh-CN"/>
        </w:rPr>
      </w:pPr>
      <w:r>
        <w:rPr>
          <w:rFonts w:hint="eastAsia" w:ascii="Times New Roman" w:hAnsi="Times New Roman" w:eastAsia="宋体" w:cs="Times New Roman"/>
          <w:color w:val="auto"/>
          <w:spacing w:val="0"/>
          <w:w w:val="100"/>
          <w:kern w:val="21"/>
          <w:position w:val="0"/>
          <w:u w:val="none" w:color="auto"/>
          <w:lang w:val="en-US" w:eastAsia="zh-CN"/>
        </w:rPr>
        <w:t xml:space="preserve">7.1 </w:t>
      </w:r>
      <w:r>
        <w:rPr>
          <w:rFonts w:hint="default" w:ascii="Times New Roman" w:hAnsi="Times New Roman" w:eastAsia="宋体" w:cs="Times New Roman"/>
          <w:color w:val="auto"/>
          <w:spacing w:val="0"/>
          <w:w w:val="100"/>
          <w:kern w:val="21"/>
          <w:position w:val="0"/>
          <w:u w:val="none" w:color="auto"/>
          <w:lang w:val="en-US" w:eastAsia="zh-CN"/>
        </w:rPr>
        <w:t>风险事故情形设定原则</w:t>
      </w:r>
    </w:p>
    <w:p w14:paraId="4C6AD7C7">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根据《建设项目环境风险评价技术导则》(HJ169-2018)，本项目环境风险事故设定的原则如下：</w:t>
      </w:r>
    </w:p>
    <w:p w14:paraId="15F5289F">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（1）同一种危险物质可能涉及泄漏，以及火灾等引发的伴生/次生污染物排放等多种环境风险类型，其风险事故情形设定应全面考虑。同一物质对不同环境要素均产生的影响的，风险事故情形分别进行设定。</w:t>
      </w:r>
    </w:p>
    <w:p w14:paraId="47506E6F">
      <w:pPr>
        <w:spacing w:line="520" w:lineRule="exact"/>
        <w:ind w:firstLine="480" w:firstLineChars="200"/>
        <w:rPr>
          <w:rFonts w:hint="default" w:ascii="Times New Roman" w:hAnsi="Times New Roman" w:eastAsia="宋体" w:cs="Times New Roman"/>
          <w:b w:val="0"/>
          <w:color w:val="auto"/>
          <w:spacing w:val="0"/>
          <w:w w:val="100"/>
          <w:kern w:val="21"/>
          <w:position w:val="0"/>
          <w:sz w:val="24"/>
          <w:szCs w:val="24"/>
          <w:u w:val="none" w:color="auto"/>
          <w:lang w:val="en-US" w:eastAsia="zh-CN" w:bidi="ar-SA"/>
        </w:rPr>
      </w:pPr>
      <w:r>
        <w:rPr>
          <w:rFonts w:hint="default" w:ascii="Times New Roman" w:hAnsi="Times New Roman" w:eastAsia="宋体" w:cs="Times New Roman"/>
          <w:color w:val="000000"/>
          <w:sz w:val="24"/>
          <w:szCs w:val="24"/>
          <w:u w:val="none" w:color="auto"/>
          <w:lang w:val="en-US" w:eastAsia="zh-CN"/>
        </w:rPr>
        <w:t>（2）对于火灾事故，将事故中未完全燃烧的危险物质在高温下迅速挥发至大气，以及燃烧过程中产生的伴生/次生污染物对环境的影响作为风险事故情形设定的内容。</w:t>
      </w:r>
    </w:p>
    <w:p w14:paraId="57825A0F">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（3）设定的风险事故情形发生可的能性应处于合理的区间，并与经济技术发展水平相适应。根据导则，将发生概率小于10</w:t>
      </w:r>
      <w:r>
        <w:rPr>
          <w:rFonts w:hint="default" w:ascii="Times New Roman" w:hAnsi="Times New Roman" w:eastAsia="宋体" w:cs="Times New Roman"/>
          <w:color w:val="000000"/>
          <w:sz w:val="24"/>
          <w:szCs w:val="24"/>
          <w:u w:val="none" w:color="auto"/>
          <w:vertAlign w:val="superscript"/>
          <w:lang w:val="en-US" w:eastAsia="zh-CN"/>
        </w:rPr>
        <w:t>-6</w:t>
      </w:r>
      <w:r>
        <w:rPr>
          <w:rFonts w:hint="default" w:ascii="Times New Roman" w:hAnsi="Times New Roman" w:eastAsia="宋体" w:cs="Times New Roman"/>
          <w:color w:val="000000"/>
          <w:sz w:val="24"/>
          <w:szCs w:val="24"/>
          <w:u w:val="none" w:color="auto"/>
          <w:lang w:val="en-US" w:eastAsia="zh-CN"/>
        </w:rPr>
        <w:t>/年的事件认定为极小概率事件，作为代表性事故情形中最大可信事故设定的参考值。</w:t>
      </w:r>
    </w:p>
    <w:p w14:paraId="15EDC121">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eastAsia" w:ascii="Times New Roman" w:hAnsi="Times New Roman" w:eastAsia="宋体" w:cs="Times New Roman"/>
          <w:color w:val="000000"/>
          <w:sz w:val="24"/>
          <w:szCs w:val="24"/>
          <w:u w:val="none" w:color="auto"/>
          <w:lang w:val="en-US" w:eastAsia="zh-CN"/>
        </w:rPr>
        <w:t>（4）</w:t>
      </w:r>
      <w:r>
        <w:rPr>
          <w:rFonts w:hint="default" w:ascii="Times New Roman" w:hAnsi="Times New Roman" w:eastAsia="宋体" w:cs="Times New Roman"/>
          <w:color w:val="000000"/>
          <w:sz w:val="24"/>
          <w:szCs w:val="24"/>
          <w:u w:val="none" w:color="auto"/>
          <w:lang w:val="en-US" w:eastAsia="zh-CN"/>
        </w:rPr>
        <w:t>由于事故触发因素具有不确定性，因此本项目事故情形的设定并不能包含全部可能的环境风险，事故情形的设定建立在环境风险识别基础上，通过对代表性事故情形的分析力求为风险管理提供科学依据。</w:t>
      </w:r>
    </w:p>
    <w:p w14:paraId="0BA2FF62">
      <w:pPr>
        <w:spacing w:line="520" w:lineRule="exact"/>
        <w:ind w:firstLine="480" w:firstLineChars="200"/>
        <w:rPr>
          <w:rFonts w:hint="eastAsia" w:ascii="Times New Roman" w:hAnsi="Times New Roman" w:eastAsia="宋体" w:cs="Times New Roman"/>
          <w:color w:val="000000"/>
          <w:sz w:val="24"/>
          <w:szCs w:val="24"/>
          <w:u w:val="none" w:color="auto"/>
          <w:lang w:val="en-US" w:eastAsia="zh-CN"/>
        </w:rPr>
      </w:pPr>
      <w:r>
        <w:rPr>
          <w:rFonts w:hint="eastAsia" w:ascii="Times New Roman" w:hAnsi="Times New Roman" w:eastAsia="宋体" w:cs="Times New Roman"/>
          <w:color w:val="000000"/>
          <w:sz w:val="24"/>
          <w:szCs w:val="24"/>
          <w:u w:val="none" w:color="auto"/>
          <w:lang w:val="en-US" w:eastAsia="zh-CN"/>
        </w:rPr>
        <w:t>（5）</w:t>
      </w:r>
      <w:r>
        <w:rPr>
          <w:rFonts w:hint="default" w:ascii="Times New Roman" w:hAnsi="Times New Roman" w:eastAsia="宋体" w:cs="Times New Roman"/>
          <w:color w:val="000000"/>
          <w:sz w:val="24"/>
          <w:szCs w:val="24"/>
          <w:u w:val="none" w:color="auto"/>
          <w:lang w:val="en-US" w:eastAsia="zh-CN"/>
        </w:rPr>
        <w:t>环境风险评价主要针对项目发生突发性污染事故后通过污染物迁移所造成的区域外环境影响进行评价，大气风险评价范围主要包括厂界外污染影响区域，地下水风险评价范围</w:t>
      </w:r>
      <w:r>
        <w:rPr>
          <w:rFonts w:hint="eastAsia" w:ascii="Times New Roman" w:hAnsi="Times New Roman" w:eastAsia="宋体" w:cs="Times New Roman"/>
          <w:color w:val="000000"/>
          <w:sz w:val="24"/>
          <w:szCs w:val="24"/>
          <w:u w:val="none" w:color="auto"/>
          <w:lang w:val="en-US" w:eastAsia="zh-CN"/>
        </w:rPr>
        <w:t>主要包括厂界内地下水及厂界外地下水环境敏感点；安全评价着眼于设备安全性事故后暴露范围内的人员与财产损失，通常设备燃爆安全性事故的范围限于厂界内。因此，本次环境风险评价主要为项目发生突发性污染事故后影响环境的区域，不包括单纯因火灾和爆炸引起的厂界内外人员伤亡。</w:t>
      </w:r>
    </w:p>
    <w:p w14:paraId="0408ED62">
      <w:pPr>
        <w:pStyle w:val="128"/>
        <w:numPr>
          <w:ilvl w:val="2"/>
          <w:numId w:val="0"/>
        </w:numPr>
        <w:bidi w:val="0"/>
        <w:ind w:leftChars="0"/>
        <w:outlineLvl w:val="2"/>
        <w:rPr>
          <w:rFonts w:hint="eastAsia" w:ascii="Times New Roman" w:hAnsi="Times New Roman" w:eastAsia="宋体" w:cs="Times New Roman"/>
          <w:color w:val="auto"/>
          <w:spacing w:val="0"/>
          <w:w w:val="100"/>
          <w:kern w:val="21"/>
          <w:position w:val="0"/>
          <w:u w:val="none" w:color="auto"/>
          <w:lang w:val="en-US" w:eastAsia="zh-CN"/>
        </w:rPr>
      </w:pPr>
      <w:r>
        <w:rPr>
          <w:rFonts w:hint="eastAsia" w:ascii="Times New Roman" w:hAnsi="Times New Roman" w:eastAsia="宋体" w:cs="Times New Roman"/>
          <w:color w:val="auto"/>
          <w:spacing w:val="0"/>
          <w:w w:val="100"/>
          <w:kern w:val="21"/>
          <w:position w:val="0"/>
          <w:u w:val="none" w:color="auto"/>
          <w:lang w:val="en-US" w:eastAsia="zh-CN"/>
        </w:rPr>
        <w:t xml:space="preserve">7.2 </w:t>
      </w:r>
      <w:r>
        <w:rPr>
          <w:rFonts w:hint="default" w:ascii="Times New Roman" w:hAnsi="Times New Roman" w:eastAsia="宋体" w:cs="Times New Roman"/>
          <w:color w:val="auto"/>
          <w:spacing w:val="0"/>
          <w:w w:val="100"/>
          <w:kern w:val="21"/>
          <w:position w:val="0"/>
          <w:u w:val="none" w:color="auto"/>
          <w:lang w:val="en-US" w:eastAsia="zh-CN"/>
        </w:rPr>
        <w:t>风险事故情形设定</w:t>
      </w:r>
    </w:p>
    <w:p w14:paraId="4CCA792A">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根据锂电池行业的特点，项目生产过程中不需要高温、高压，且主要原材料大部分为低毒的物质，因此在生产过程中存在的风险较小，项目</w:t>
      </w:r>
      <w:r>
        <w:rPr>
          <w:rFonts w:hint="eastAsia" w:ascii="Times New Roman" w:hAnsi="Times New Roman" w:eastAsia="宋体" w:cs="Times New Roman"/>
          <w:color w:val="000000"/>
          <w:sz w:val="24"/>
          <w:szCs w:val="24"/>
          <w:u w:val="none" w:color="auto"/>
          <w:lang w:val="en-US" w:eastAsia="zh-CN"/>
        </w:rPr>
        <w:t>几乎不在</w:t>
      </w:r>
      <w:r>
        <w:rPr>
          <w:rFonts w:hint="default" w:ascii="Times New Roman" w:hAnsi="Times New Roman" w:eastAsia="宋体" w:cs="Times New Roman"/>
          <w:color w:val="000000"/>
          <w:sz w:val="24"/>
          <w:szCs w:val="24"/>
          <w:u w:val="none" w:color="auto"/>
          <w:lang w:val="en-US" w:eastAsia="zh-CN"/>
        </w:rPr>
        <w:t>厂区储存产品电池，即产即销。因此，项目主要的环境风险为原料库区、NMP 回收液</w:t>
      </w:r>
      <w:r>
        <w:rPr>
          <w:rFonts w:hint="eastAsia" w:ascii="Times New Roman" w:hAnsi="Times New Roman" w:eastAsia="宋体" w:cs="Times New Roman"/>
          <w:color w:val="000000"/>
          <w:sz w:val="24"/>
          <w:szCs w:val="24"/>
          <w:u w:val="none" w:color="auto"/>
          <w:lang w:val="en-US" w:eastAsia="zh-CN"/>
        </w:rPr>
        <w:t>暂存</w:t>
      </w:r>
      <w:r>
        <w:rPr>
          <w:rFonts w:hint="default" w:ascii="Times New Roman" w:hAnsi="Times New Roman" w:eastAsia="宋体" w:cs="Times New Roman"/>
          <w:color w:val="000000"/>
          <w:sz w:val="24"/>
          <w:szCs w:val="24"/>
          <w:u w:val="none" w:color="auto"/>
          <w:lang w:val="en-US" w:eastAsia="zh-CN"/>
        </w:rPr>
        <w:t>罐区及暂存区，原料在厂房原材料库分区存放，原料中电解液遇高热、明火或氧化剂接触，</w:t>
      </w:r>
      <w:r>
        <w:rPr>
          <w:rFonts w:hint="eastAsia" w:cs="Times New Roman"/>
          <w:color w:val="000000"/>
          <w:sz w:val="24"/>
          <w:szCs w:val="24"/>
          <w:u w:val="none" w:color="auto"/>
          <w:lang w:val="en-US" w:eastAsia="zh-CN"/>
        </w:rPr>
        <w:t>有</w:t>
      </w:r>
      <w:r>
        <w:rPr>
          <w:rFonts w:hint="default" w:ascii="Times New Roman" w:hAnsi="Times New Roman" w:eastAsia="宋体" w:cs="Times New Roman"/>
          <w:color w:val="000000"/>
          <w:sz w:val="24"/>
          <w:szCs w:val="24"/>
          <w:u w:val="none" w:color="auto"/>
          <w:lang w:val="en-US" w:eastAsia="zh-CN"/>
        </w:rPr>
        <w:t>引起燃烧的危险，由物料的燃烧会引起火灾，对大气环境产生影响。</w:t>
      </w:r>
    </w:p>
    <w:p w14:paraId="5594AFD6">
      <w:pPr>
        <w:spacing w:line="520" w:lineRule="exact"/>
        <w:ind w:firstLine="480" w:firstLineChars="200"/>
        <w:rPr>
          <w:rFonts w:hint="eastAsia"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因此确定最大可信事故为：NMP及电解液发生</w:t>
      </w:r>
      <w:r>
        <w:rPr>
          <w:rFonts w:hint="eastAsia" w:ascii="Times New Roman" w:hAnsi="Times New Roman" w:eastAsia="宋体" w:cs="Times New Roman"/>
          <w:color w:val="000000"/>
          <w:sz w:val="24"/>
          <w:szCs w:val="24"/>
          <w:u w:val="none" w:color="auto"/>
          <w:lang w:val="en-US" w:eastAsia="zh-CN"/>
        </w:rPr>
        <w:t>泄漏</w:t>
      </w:r>
      <w:r>
        <w:rPr>
          <w:rFonts w:hint="default" w:ascii="Times New Roman" w:hAnsi="Times New Roman" w:eastAsia="宋体" w:cs="Times New Roman"/>
          <w:color w:val="000000"/>
          <w:sz w:val="24"/>
          <w:szCs w:val="24"/>
          <w:u w:val="none" w:color="auto"/>
          <w:lang w:val="en-US" w:eastAsia="zh-CN"/>
        </w:rPr>
        <w:t>并迅速扩散，引起对人的损害和大气环境污染事故，以及电解液发生</w:t>
      </w:r>
      <w:r>
        <w:rPr>
          <w:rFonts w:hint="eastAsia" w:ascii="Times New Roman" w:hAnsi="Times New Roman" w:eastAsia="宋体" w:cs="Times New Roman"/>
          <w:color w:val="000000"/>
          <w:sz w:val="24"/>
          <w:szCs w:val="24"/>
          <w:u w:val="none" w:color="auto"/>
          <w:lang w:val="en-US" w:eastAsia="zh-CN"/>
        </w:rPr>
        <w:t>泄漏</w:t>
      </w:r>
      <w:r>
        <w:rPr>
          <w:rFonts w:hint="eastAsia" w:cs="Times New Roman"/>
          <w:color w:val="000000"/>
          <w:sz w:val="24"/>
          <w:szCs w:val="24"/>
          <w:u w:val="none" w:color="auto"/>
          <w:lang w:val="en-US" w:eastAsia="zh-CN"/>
        </w:rPr>
        <w:t>遇明火发生</w:t>
      </w:r>
      <w:r>
        <w:rPr>
          <w:rFonts w:hint="default" w:ascii="Times New Roman" w:hAnsi="Times New Roman" w:eastAsia="宋体" w:cs="Times New Roman"/>
          <w:color w:val="000000"/>
          <w:sz w:val="24"/>
          <w:szCs w:val="24"/>
          <w:u w:val="none" w:color="auto"/>
          <w:lang w:val="en-US" w:eastAsia="zh-CN"/>
        </w:rPr>
        <w:t>火灾产生的冲击波、热辐射以及飞散抛掷物等造成的二次事故及危害</w:t>
      </w:r>
      <w:r>
        <w:rPr>
          <w:rFonts w:hint="eastAsia" w:ascii="Times New Roman" w:hAnsi="Times New Roman" w:eastAsia="宋体" w:cs="Times New Roman"/>
          <w:color w:val="000000"/>
          <w:sz w:val="24"/>
          <w:szCs w:val="24"/>
          <w:u w:val="none" w:color="auto"/>
          <w:lang w:val="en-US" w:eastAsia="zh-CN"/>
        </w:rPr>
        <w:t>。</w:t>
      </w:r>
    </w:p>
    <w:p w14:paraId="34D116F3">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①国内外统计资料显示，因防爆装置不作用而造成焊缝爆裂或大裂纹泄漏的重大事故概率仅约为6.9×10</w:t>
      </w:r>
      <w:r>
        <w:rPr>
          <w:rFonts w:hint="default" w:ascii="Times New Roman" w:hAnsi="Times New Roman" w:eastAsia="宋体" w:cs="Times New Roman"/>
          <w:color w:val="000000"/>
          <w:sz w:val="24"/>
          <w:szCs w:val="24"/>
          <w:u w:val="none" w:color="auto"/>
          <w:vertAlign w:val="superscript"/>
          <w:lang w:val="en-US" w:eastAsia="zh-CN"/>
        </w:rPr>
        <w:t>-7</w:t>
      </w:r>
      <w:r>
        <w:rPr>
          <w:rFonts w:hint="default" w:ascii="Times New Roman" w:hAnsi="Times New Roman" w:eastAsia="宋体" w:cs="Times New Roman"/>
          <w:color w:val="000000"/>
          <w:sz w:val="24"/>
          <w:szCs w:val="24"/>
          <w:u w:val="none" w:color="auto"/>
          <w:lang w:val="en-US" w:eastAsia="zh-CN"/>
        </w:rPr>
        <w:t>～6.9×10</w:t>
      </w:r>
      <w:r>
        <w:rPr>
          <w:rFonts w:hint="default" w:ascii="Times New Roman" w:hAnsi="Times New Roman" w:eastAsia="宋体" w:cs="Times New Roman"/>
          <w:color w:val="000000"/>
          <w:sz w:val="24"/>
          <w:szCs w:val="24"/>
          <w:u w:val="none" w:color="auto"/>
          <w:vertAlign w:val="superscript"/>
          <w:lang w:val="en-US" w:eastAsia="zh-CN"/>
        </w:rPr>
        <w:t>-8</w:t>
      </w:r>
      <w:r>
        <w:rPr>
          <w:rFonts w:hint="default" w:ascii="Times New Roman" w:hAnsi="Times New Roman" w:eastAsia="宋体" w:cs="Times New Roman"/>
          <w:color w:val="000000"/>
          <w:sz w:val="24"/>
          <w:szCs w:val="24"/>
          <w:u w:val="none" w:color="auto"/>
          <w:lang w:val="en-US" w:eastAsia="zh-CN"/>
        </w:rPr>
        <w:t>/年左右，一般发生的泄漏事故多为进出料管道连接处的泄漏。据我国不完全统计，设备容器一般破裂泄漏的事故概率在1×10</w:t>
      </w:r>
      <w:r>
        <w:rPr>
          <w:rFonts w:hint="default" w:ascii="Times New Roman" w:hAnsi="Times New Roman" w:eastAsia="宋体" w:cs="Times New Roman"/>
          <w:color w:val="000000"/>
          <w:sz w:val="24"/>
          <w:szCs w:val="24"/>
          <w:u w:val="none" w:color="auto"/>
          <w:vertAlign w:val="superscript"/>
          <w:lang w:val="en-US" w:eastAsia="zh-CN"/>
        </w:rPr>
        <w:t>-5</w:t>
      </w:r>
      <w:r>
        <w:rPr>
          <w:rFonts w:hint="default" w:ascii="Times New Roman" w:hAnsi="Times New Roman" w:eastAsia="宋体" w:cs="Times New Roman"/>
          <w:color w:val="000000"/>
          <w:sz w:val="24"/>
          <w:szCs w:val="24"/>
          <w:u w:val="none" w:color="auto"/>
          <w:lang w:val="en-US" w:eastAsia="zh-CN"/>
        </w:rPr>
        <w:t>/ 年。此外，据储罐事故分析报道，储存系统发生火灾爆炸等重大事故概率小于1×10</w:t>
      </w:r>
      <w:r>
        <w:rPr>
          <w:rFonts w:hint="default" w:ascii="Times New Roman" w:hAnsi="Times New Roman" w:eastAsia="宋体" w:cs="Times New Roman"/>
          <w:color w:val="000000"/>
          <w:sz w:val="24"/>
          <w:szCs w:val="24"/>
          <w:u w:val="none" w:color="auto"/>
          <w:vertAlign w:val="superscript"/>
          <w:lang w:val="en-US" w:eastAsia="zh-CN"/>
        </w:rPr>
        <w:t>-6</w:t>
      </w:r>
      <w:r>
        <w:rPr>
          <w:rFonts w:hint="default" w:ascii="Times New Roman" w:hAnsi="Times New Roman" w:eastAsia="宋体" w:cs="Times New Roman"/>
          <w:color w:val="000000"/>
          <w:sz w:val="24"/>
          <w:szCs w:val="24"/>
          <w:u w:val="none" w:color="auto"/>
          <w:lang w:val="en-US" w:eastAsia="zh-CN"/>
        </w:rPr>
        <w:t>， 随着近年来防灾技术水平的提高，呈下降趋势。一般而言，发生频率小于10</w:t>
      </w:r>
      <w:r>
        <w:rPr>
          <w:rFonts w:hint="default" w:ascii="Times New Roman" w:hAnsi="Times New Roman" w:eastAsia="宋体" w:cs="Times New Roman"/>
          <w:color w:val="000000"/>
          <w:sz w:val="24"/>
          <w:szCs w:val="24"/>
          <w:u w:val="none" w:color="auto"/>
          <w:vertAlign w:val="superscript"/>
          <w:lang w:val="en-US" w:eastAsia="zh-CN"/>
        </w:rPr>
        <w:t>-6</w:t>
      </w:r>
      <w:r>
        <w:rPr>
          <w:rFonts w:hint="default" w:ascii="Times New Roman" w:hAnsi="Times New Roman" w:eastAsia="宋体" w:cs="Times New Roman"/>
          <w:color w:val="000000"/>
          <w:sz w:val="24"/>
          <w:szCs w:val="24"/>
          <w:u w:val="none" w:color="auto"/>
          <w:lang w:val="en-US" w:eastAsia="zh-CN"/>
        </w:rPr>
        <w:t>/a的事件是极小概率事件。</w:t>
      </w:r>
    </w:p>
    <w:p w14:paraId="35D2A5FE">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②本工程设计选用的是当前先进的工艺技术、设备，在设备选型、建设运行中，采取完善安全措施及先进的监控手段，风险防范能力将进一步提高。危险化学品泄 漏事故结合本项目特点，预测本工程罐区泄漏等最大可信事故概率 为1×10</w:t>
      </w:r>
      <w:r>
        <w:rPr>
          <w:rFonts w:hint="default" w:ascii="Times New Roman" w:hAnsi="Times New Roman" w:eastAsia="宋体" w:cs="Times New Roman"/>
          <w:color w:val="000000"/>
          <w:sz w:val="24"/>
          <w:szCs w:val="24"/>
          <w:u w:val="none" w:color="auto"/>
          <w:vertAlign w:val="superscript"/>
          <w:lang w:val="en-US" w:eastAsia="zh-CN"/>
        </w:rPr>
        <w:t>-5</w:t>
      </w:r>
      <w:r>
        <w:rPr>
          <w:rFonts w:hint="default" w:ascii="Times New Roman" w:hAnsi="Times New Roman" w:eastAsia="宋体" w:cs="Times New Roman"/>
          <w:color w:val="000000"/>
          <w:sz w:val="24"/>
          <w:szCs w:val="24"/>
          <w:u w:val="none" w:color="auto"/>
          <w:lang w:val="en-US" w:eastAsia="zh-CN"/>
        </w:rPr>
        <w:t>。</w:t>
      </w:r>
    </w:p>
    <w:p w14:paraId="095E810F">
      <w:pPr>
        <w:pStyle w:val="128"/>
        <w:keepNext w:val="0"/>
        <w:keepLines w:val="0"/>
        <w:pageBreakBefore w:val="0"/>
        <w:numPr>
          <w:ilvl w:val="2"/>
          <w:numId w:val="0"/>
        </w:numPr>
        <w:kinsoku/>
        <w:wordWrap/>
        <w:overflowPunct/>
        <w:autoSpaceDE/>
        <w:autoSpaceDN/>
        <w:bidi w:val="0"/>
        <w:adjustRightInd w:val="0"/>
        <w:snapToGrid w:val="0"/>
        <w:spacing w:line="500" w:lineRule="exact"/>
        <w:ind w:left="0" w:leftChars="0" w:right="0"/>
        <w:textAlignment w:val="auto"/>
        <w:outlineLvl w:val="2"/>
        <w:rPr>
          <w:rFonts w:hint="default" w:cs="Times New Roman"/>
          <w:color w:val="auto"/>
          <w:spacing w:val="0"/>
          <w:w w:val="100"/>
          <w:kern w:val="21"/>
          <w:position w:val="0"/>
          <w:u w:val="none" w:color="auto"/>
          <w:lang w:val="en-US" w:eastAsia="zh-CN"/>
        </w:rPr>
      </w:pPr>
      <w:r>
        <w:rPr>
          <w:rFonts w:hint="default" w:cs="Times New Roman"/>
          <w:color w:val="auto"/>
          <w:spacing w:val="0"/>
          <w:w w:val="100"/>
          <w:kern w:val="21"/>
          <w:position w:val="0"/>
          <w:u w:val="none" w:color="auto"/>
          <w:lang w:val="en-US" w:eastAsia="zh-CN"/>
        </w:rPr>
        <w:t>7.2.1大气风险事故情形设定</w:t>
      </w:r>
    </w:p>
    <w:p w14:paraId="60A8B046">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（1）</w:t>
      </w:r>
      <w:r>
        <w:rPr>
          <w:rFonts w:hint="eastAsia" w:ascii="Times New Roman" w:hAnsi="Times New Roman" w:eastAsia="宋体" w:cs="Times New Roman"/>
          <w:color w:val="000000"/>
          <w:sz w:val="24"/>
          <w:szCs w:val="24"/>
          <w:u w:val="none" w:color="auto"/>
          <w:lang w:val="en-US" w:eastAsia="zh-CN"/>
        </w:rPr>
        <w:t>本项目考虑电解液包装桶以及NMP储罐发生破裂</w:t>
      </w:r>
      <w:r>
        <w:rPr>
          <w:rFonts w:hint="default" w:ascii="Times New Roman" w:hAnsi="Times New Roman" w:eastAsia="宋体" w:cs="Times New Roman"/>
          <w:color w:val="000000"/>
          <w:sz w:val="24"/>
          <w:szCs w:val="24"/>
          <w:u w:val="none" w:color="auto"/>
          <w:lang w:val="en-US" w:eastAsia="zh-CN"/>
        </w:rPr>
        <w:t>，其内物料发生泄漏的事故</w:t>
      </w:r>
      <w:r>
        <w:rPr>
          <w:rFonts w:hint="eastAsia" w:ascii="Times New Roman" w:hAnsi="Times New Roman" w:eastAsia="宋体" w:cs="Times New Roman"/>
          <w:color w:val="000000"/>
          <w:sz w:val="24"/>
          <w:szCs w:val="24"/>
          <w:u w:val="none" w:color="auto"/>
          <w:lang w:val="en-US" w:eastAsia="zh-CN"/>
        </w:rPr>
        <w:t>，</w:t>
      </w:r>
      <w:r>
        <w:rPr>
          <w:rFonts w:hint="default" w:ascii="Times New Roman" w:hAnsi="Times New Roman" w:eastAsia="宋体" w:cs="Times New Roman"/>
          <w:color w:val="000000"/>
          <w:sz w:val="24"/>
          <w:szCs w:val="24"/>
          <w:u w:val="none" w:color="auto"/>
          <w:lang w:val="en-US" w:eastAsia="zh-CN"/>
        </w:rPr>
        <w:t>项目管线发生泄漏采取自动隔离措施进行隔离，泄漏时间设定为10min。</w:t>
      </w:r>
    </w:p>
    <w:p w14:paraId="156B692A">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（2）</w:t>
      </w:r>
      <w:r>
        <w:rPr>
          <w:rFonts w:hint="eastAsia" w:ascii="Times New Roman" w:hAnsi="Times New Roman" w:eastAsia="宋体" w:cs="Times New Roman"/>
          <w:color w:val="000000"/>
          <w:sz w:val="24"/>
          <w:szCs w:val="24"/>
          <w:u w:val="none" w:color="auto"/>
          <w:lang w:val="en-US" w:eastAsia="zh-CN"/>
        </w:rPr>
        <w:t>电解液</w:t>
      </w:r>
      <w:r>
        <w:rPr>
          <w:rFonts w:hint="default" w:ascii="Times New Roman" w:hAnsi="Times New Roman" w:eastAsia="宋体" w:cs="Times New Roman"/>
          <w:color w:val="000000"/>
          <w:sz w:val="24"/>
          <w:szCs w:val="24"/>
          <w:u w:val="none" w:color="auto"/>
          <w:lang w:val="en-US" w:eastAsia="zh-CN"/>
        </w:rPr>
        <w:t>泄漏后，</w:t>
      </w:r>
      <w:r>
        <w:rPr>
          <w:rFonts w:hint="eastAsia" w:ascii="Times New Roman" w:hAnsi="Times New Roman" w:eastAsia="宋体" w:cs="Times New Roman"/>
          <w:color w:val="000000"/>
          <w:sz w:val="24"/>
          <w:szCs w:val="24"/>
          <w:u w:val="none" w:color="auto"/>
          <w:lang w:val="en-US" w:eastAsia="zh-CN"/>
        </w:rPr>
        <w:t>电解液</w:t>
      </w:r>
      <w:r>
        <w:rPr>
          <w:rFonts w:hint="default" w:ascii="Times New Roman" w:hAnsi="Times New Roman" w:eastAsia="宋体" w:cs="Times New Roman"/>
          <w:color w:val="000000"/>
          <w:sz w:val="24"/>
          <w:szCs w:val="24"/>
          <w:u w:val="none" w:color="auto"/>
          <w:lang w:val="en-US" w:eastAsia="zh-CN"/>
        </w:rPr>
        <w:t>遇明火或电火花等发生火灾或爆炸，不完全燃烧伴生CO，排入大气环境造成环境风险事故。</w:t>
      </w:r>
      <w:r>
        <w:rPr>
          <w:rFonts w:hint="eastAsia" w:ascii="Times New Roman" w:hAnsi="Times New Roman" w:eastAsia="宋体" w:cs="Times New Roman"/>
          <w:color w:val="000000"/>
          <w:sz w:val="24"/>
          <w:szCs w:val="24"/>
          <w:u w:val="none" w:color="auto"/>
          <w:lang w:val="en-US" w:eastAsia="zh-CN"/>
        </w:rPr>
        <w:t>电解液泄漏遇明火燃烧</w:t>
      </w:r>
      <w:r>
        <w:rPr>
          <w:rFonts w:hint="default" w:ascii="Times New Roman" w:hAnsi="Times New Roman" w:eastAsia="宋体" w:cs="Times New Roman"/>
          <w:color w:val="000000"/>
          <w:sz w:val="24"/>
          <w:szCs w:val="24"/>
          <w:u w:val="none" w:color="auto"/>
          <w:lang w:val="en-US" w:eastAsia="zh-CN"/>
        </w:rPr>
        <w:t>，属于典型的不完全燃烧，燃烧过程中伴生的CO</w:t>
      </w:r>
      <w:r>
        <w:rPr>
          <w:rFonts w:hint="eastAsia" w:ascii="Times New Roman" w:hAnsi="Times New Roman" w:eastAsia="宋体" w:cs="Times New Roman"/>
          <w:color w:val="000000"/>
          <w:sz w:val="24"/>
          <w:szCs w:val="24"/>
          <w:u w:val="none" w:color="auto"/>
          <w:lang w:val="en-US" w:eastAsia="zh-CN"/>
        </w:rPr>
        <w:t>以及HF</w:t>
      </w:r>
      <w:r>
        <w:rPr>
          <w:rFonts w:hint="default" w:ascii="Times New Roman" w:hAnsi="Times New Roman" w:eastAsia="宋体" w:cs="Times New Roman"/>
          <w:color w:val="000000"/>
          <w:sz w:val="24"/>
          <w:szCs w:val="24"/>
          <w:u w:val="none" w:color="auto"/>
          <w:lang w:val="en-US" w:eastAsia="zh-CN"/>
        </w:rPr>
        <w:t>，对周围环境可能产生影响。</w:t>
      </w:r>
    </w:p>
    <w:p w14:paraId="66D09D3C">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根据（HJ169-2018）附录F中</w:t>
      </w:r>
      <w:r>
        <w:rPr>
          <w:rFonts w:hint="eastAsia" w:ascii="Times New Roman" w:hAnsi="Times New Roman" w:eastAsia="宋体" w:cs="Times New Roman"/>
          <w:color w:val="000000"/>
          <w:sz w:val="24"/>
          <w:szCs w:val="24"/>
          <w:u w:val="none" w:color="auto"/>
          <w:lang w:val="en-US" w:eastAsia="zh-CN"/>
        </w:rPr>
        <w:t>“</w:t>
      </w:r>
      <w:r>
        <w:rPr>
          <w:rFonts w:hint="default" w:ascii="Times New Roman" w:hAnsi="Times New Roman" w:eastAsia="宋体" w:cs="Times New Roman"/>
          <w:color w:val="000000"/>
          <w:sz w:val="24"/>
          <w:szCs w:val="24"/>
          <w:u w:val="none" w:color="auto"/>
          <w:lang w:val="en-US" w:eastAsia="zh-CN"/>
        </w:rPr>
        <w:t>F.3火灾伴生/次生污染物产生量估算</w:t>
      </w:r>
      <w:r>
        <w:rPr>
          <w:rFonts w:hint="eastAsia" w:ascii="Times New Roman" w:hAnsi="Times New Roman" w:eastAsia="宋体" w:cs="Times New Roman"/>
          <w:color w:val="000000"/>
          <w:sz w:val="24"/>
          <w:szCs w:val="24"/>
          <w:u w:val="none" w:color="auto"/>
          <w:lang w:val="en-US" w:eastAsia="zh-CN"/>
        </w:rPr>
        <w:t>”</w:t>
      </w:r>
      <w:r>
        <w:rPr>
          <w:rFonts w:hint="default" w:ascii="Times New Roman" w:hAnsi="Times New Roman" w:eastAsia="宋体" w:cs="Times New Roman"/>
          <w:color w:val="000000"/>
          <w:sz w:val="24"/>
          <w:szCs w:val="24"/>
          <w:u w:val="none" w:color="auto"/>
          <w:lang w:val="en-US" w:eastAsia="zh-CN"/>
        </w:rPr>
        <w:t>公式进行伴生一氧化炭产生的计算。根据（HJ169-2018）附录F中</w:t>
      </w:r>
      <w:r>
        <w:rPr>
          <w:rFonts w:hint="eastAsia" w:ascii="Times New Roman" w:hAnsi="Times New Roman" w:eastAsia="宋体" w:cs="Times New Roman"/>
          <w:color w:val="000000"/>
          <w:sz w:val="24"/>
          <w:szCs w:val="24"/>
          <w:u w:val="none" w:color="auto"/>
          <w:lang w:val="en-US" w:eastAsia="zh-CN"/>
        </w:rPr>
        <w:t>“</w:t>
      </w:r>
      <w:r>
        <w:rPr>
          <w:rFonts w:hint="default" w:ascii="Times New Roman" w:hAnsi="Times New Roman" w:eastAsia="宋体" w:cs="Times New Roman"/>
          <w:color w:val="000000"/>
          <w:sz w:val="24"/>
          <w:szCs w:val="24"/>
          <w:u w:val="none" w:color="auto"/>
          <w:lang w:val="en-US" w:eastAsia="zh-CN"/>
        </w:rPr>
        <w:t>F.</w:t>
      </w:r>
      <w:r>
        <w:rPr>
          <w:rFonts w:hint="eastAsia" w:ascii="Times New Roman" w:hAnsi="Times New Roman" w:eastAsia="宋体" w:cs="Times New Roman"/>
          <w:color w:val="000000"/>
          <w:sz w:val="24"/>
          <w:szCs w:val="24"/>
          <w:u w:val="none" w:color="auto"/>
          <w:lang w:val="en-US" w:eastAsia="zh-CN"/>
        </w:rPr>
        <w:t>4火灾爆炸事故有毒有害物质释放比例进行</w:t>
      </w:r>
      <w:r>
        <w:rPr>
          <w:rFonts w:hint="default" w:ascii="Times New Roman" w:hAnsi="Times New Roman" w:eastAsia="宋体" w:cs="Times New Roman"/>
          <w:color w:val="000000"/>
          <w:sz w:val="24"/>
          <w:szCs w:val="24"/>
          <w:u w:val="none" w:color="auto"/>
          <w:lang w:val="en-US" w:eastAsia="zh-CN"/>
        </w:rPr>
        <w:t>伴生</w:t>
      </w:r>
      <w:r>
        <w:rPr>
          <w:rFonts w:hint="eastAsia" w:ascii="Times New Roman" w:hAnsi="Times New Roman" w:eastAsia="宋体" w:cs="Times New Roman"/>
          <w:color w:val="000000"/>
          <w:sz w:val="24"/>
          <w:szCs w:val="24"/>
          <w:u w:val="none" w:color="auto"/>
          <w:lang w:val="en-US" w:eastAsia="zh-CN"/>
        </w:rPr>
        <w:t>HF</w:t>
      </w:r>
      <w:r>
        <w:rPr>
          <w:rFonts w:hint="default" w:ascii="Times New Roman" w:hAnsi="Times New Roman" w:eastAsia="宋体" w:cs="Times New Roman"/>
          <w:color w:val="000000"/>
          <w:sz w:val="24"/>
          <w:szCs w:val="24"/>
          <w:u w:val="none" w:color="auto"/>
          <w:lang w:val="en-US" w:eastAsia="zh-CN"/>
        </w:rPr>
        <w:t>产生的计算</w:t>
      </w:r>
      <w:r>
        <w:rPr>
          <w:rFonts w:hint="eastAsia" w:ascii="Times New Roman" w:hAnsi="Times New Roman" w:eastAsia="宋体" w:cs="Times New Roman"/>
          <w:color w:val="000000"/>
          <w:sz w:val="24"/>
          <w:szCs w:val="24"/>
          <w:u w:val="none" w:color="auto"/>
          <w:lang w:val="en-US" w:eastAsia="zh-CN"/>
        </w:rPr>
        <w:t>。</w:t>
      </w:r>
    </w:p>
    <w:p w14:paraId="1591AB8A">
      <w:pPr>
        <w:pStyle w:val="128"/>
        <w:keepNext w:val="0"/>
        <w:keepLines w:val="0"/>
        <w:pageBreakBefore w:val="0"/>
        <w:numPr>
          <w:ilvl w:val="2"/>
          <w:numId w:val="0"/>
        </w:numPr>
        <w:kinsoku/>
        <w:wordWrap/>
        <w:overflowPunct/>
        <w:autoSpaceDE/>
        <w:autoSpaceDN/>
        <w:bidi w:val="0"/>
        <w:adjustRightInd w:val="0"/>
        <w:snapToGrid w:val="0"/>
        <w:spacing w:line="500" w:lineRule="exact"/>
        <w:ind w:left="0" w:leftChars="0" w:right="0"/>
        <w:textAlignment w:val="auto"/>
        <w:outlineLvl w:val="2"/>
        <w:rPr>
          <w:rFonts w:hint="default" w:cs="Times New Roman"/>
          <w:color w:val="auto"/>
          <w:spacing w:val="0"/>
          <w:w w:val="100"/>
          <w:kern w:val="21"/>
          <w:position w:val="0"/>
          <w:u w:val="none" w:color="auto"/>
          <w:lang w:val="en-US" w:eastAsia="zh-CN"/>
        </w:rPr>
      </w:pPr>
      <w:r>
        <w:rPr>
          <w:rFonts w:hint="eastAsia" w:cs="Times New Roman"/>
          <w:color w:val="auto"/>
          <w:spacing w:val="0"/>
          <w:w w:val="100"/>
          <w:kern w:val="21"/>
          <w:position w:val="0"/>
          <w:u w:val="none" w:color="auto"/>
          <w:lang w:val="en-US" w:eastAsia="zh-CN"/>
        </w:rPr>
        <w:t>7.3源项分析</w:t>
      </w:r>
    </w:p>
    <w:p w14:paraId="33A8C756">
      <w:pPr>
        <w:pStyle w:val="128"/>
        <w:keepNext w:val="0"/>
        <w:keepLines w:val="0"/>
        <w:pageBreakBefore w:val="0"/>
        <w:numPr>
          <w:ilvl w:val="2"/>
          <w:numId w:val="0"/>
        </w:numPr>
        <w:kinsoku/>
        <w:wordWrap/>
        <w:overflowPunct/>
        <w:autoSpaceDE/>
        <w:autoSpaceDN/>
        <w:bidi w:val="0"/>
        <w:adjustRightInd w:val="0"/>
        <w:snapToGrid w:val="0"/>
        <w:spacing w:line="500" w:lineRule="exact"/>
        <w:ind w:left="0" w:leftChars="0" w:right="0"/>
        <w:textAlignment w:val="auto"/>
        <w:outlineLvl w:val="2"/>
        <w:rPr>
          <w:rFonts w:hint="default" w:cs="Times New Roman"/>
          <w:color w:val="auto"/>
          <w:spacing w:val="0"/>
          <w:w w:val="100"/>
          <w:kern w:val="21"/>
          <w:position w:val="0"/>
          <w:u w:val="none" w:color="auto"/>
          <w:lang w:val="en-US" w:eastAsia="zh-CN"/>
        </w:rPr>
      </w:pPr>
      <w:r>
        <w:rPr>
          <w:rFonts w:hint="default" w:cs="Times New Roman"/>
          <w:color w:val="auto"/>
          <w:spacing w:val="0"/>
          <w:w w:val="100"/>
          <w:kern w:val="21"/>
          <w:position w:val="0"/>
          <w:u w:val="none" w:color="auto"/>
          <w:lang w:val="en-US" w:eastAsia="zh-CN"/>
        </w:rPr>
        <w:t>7.3.</w:t>
      </w:r>
      <w:r>
        <w:rPr>
          <w:rFonts w:hint="eastAsia" w:cs="Times New Roman"/>
          <w:color w:val="auto"/>
          <w:spacing w:val="0"/>
          <w:w w:val="100"/>
          <w:kern w:val="21"/>
          <w:position w:val="0"/>
          <w:u w:val="none" w:color="auto"/>
          <w:lang w:val="en-US" w:eastAsia="zh-CN"/>
        </w:rPr>
        <w:t>1</w:t>
      </w:r>
      <w:r>
        <w:rPr>
          <w:rFonts w:hint="default" w:cs="Times New Roman"/>
          <w:color w:val="auto"/>
          <w:spacing w:val="0"/>
          <w:w w:val="100"/>
          <w:kern w:val="21"/>
          <w:position w:val="0"/>
          <w:u w:val="none" w:color="auto"/>
          <w:lang w:val="en-US" w:eastAsia="zh-CN"/>
        </w:rPr>
        <w:t>泄漏计算公式</w:t>
      </w:r>
    </w:p>
    <w:p w14:paraId="79971CC3">
      <w:pPr>
        <w:keepNext w:val="0"/>
        <w:keepLines w:val="0"/>
        <w:pageBreakBefore w:val="0"/>
        <w:numPr>
          <w:ilvl w:val="0"/>
          <w:numId w:val="0"/>
        </w:numPr>
        <w:kinsoku/>
        <w:wordWrap/>
        <w:overflowPunct/>
        <w:autoSpaceDE/>
        <w:autoSpaceDN/>
        <w:bidi w:val="0"/>
        <w:spacing w:line="440" w:lineRule="exact"/>
        <w:ind w:leftChars="200"/>
        <w:textAlignment w:val="auto"/>
        <w:rPr>
          <w:rFonts w:ascii="宋体" w:hAnsi="宋体" w:eastAsia="宋体" w:cs="宋体"/>
          <w:sz w:val="24"/>
          <w:szCs w:val="24"/>
          <w:u w:val="none" w:color="auto"/>
        </w:rPr>
      </w:pPr>
      <w:r>
        <w:rPr>
          <w:rFonts w:hint="eastAsia" w:ascii="宋体" w:hAnsi="宋体" w:eastAsia="宋体" w:cs="宋体"/>
          <w:sz w:val="24"/>
          <w:szCs w:val="24"/>
          <w:u w:val="none" w:color="auto"/>
        </w:rPr>
        <w:t>（1）液体泄漏公式</w:t>
      </w:r>
    </w:p>
    <w:p w14:paraId="33163592">
      <w:pPr>
        <w:keepNext w:val="0"/>
        <w:keepLines w:val="0"/>
        <w:pageBreakBefore w:val="0"/>
        <w:numPr>
          <w:ilvl w:val="0"/>
          <w:numId w:val="0"/>
        </w:numPr>
        <w:kinsoku/>
        <w:wordWrap/>
        <w:overflowPunct/>
        <w:autoSpaceDE/>
        <w:autoSpaceDN/>
        <w:bidi w:val="0"/>
        <w:spacing w:line="440" w:lineRule="exact"/>
        <w:ind w:leftChars="200"/>
        <w:textAlignment w:val="auto"/>
        <w:rPr>
          <w:rFonts w:hint="eastAsia" w:ascii="宋体" w:hAnsi="宋体" w:eastAsia="宋体" w:cs="宋体"/>
          <w:b/>
          <w:bCs/>
          <w:sz w:val="24"/>
          <w:szCs w:val="24"/>
          <w:u w:val="none" w:color="auto"/>
          <w:lang w:val="en-US" w:eastAsia="zh-CN"/>
        </w:rPr>
      </w:pPr>
      <w:r>
        <w:rPr>
          <w:rFonts w:ascii="宋体" w:hAnsi="宋体" w:eastAsia="宋体" w:cs="宋体"/>
          <w:sz w:val="24"/>
          <w:szCs w:val="24"/>
          <w:u w:val="none" w:color="auto"/>
        </w:rPr>
        <w:t>液体泄漏速率QL采用伯努利方程计算（限制条件为液体在喷口内不应有急骤蒸发）</w:t>
      </w:r>
      <w:r>
        <w:rPr>
          <w:rFonts w:hint="eastAsia" w:ascii="宋体" w:hAnsi="宋体" w:eastAsia="宋体" w:cs="宋体"/>
          <w:sz w:val="24"/>
          <w:szCs w:val="24"/>
          <w:u w:val="none" w:color="auto"/>
          <w:lang w:eastAsia="zh-CN"/>
        </w:rPr>
        <w:t>：</w:t>
      </w:r>
    </w:p>
    <w:p w14:paraId="1E848F30">
      <w:pPr>
        <w:pageBreakBefore w:val="0"/>
        <w:kinsoku/>
        <w:bidi w:val="0"/>
        <w:ind w:left="0" w:leftChars="0"/>
        <w:jc w:val="center"/>
        <w:rPr>
          <w:rFonts w:hint="default" w:ascii="Times New Roman" w:hAnsi="Times New Roman" w:cs="Times New Roman"/>
          <w:u w:val="none" w:color="auto"/>
          <w:lang w:val="en-US" w:eastAsia="zh-CN"/>
        </w:rPr>
      </w:pPr>
      <w:r>
        <w:rPr>
          <w:rFonts w:hint="default" w:ascii="Times New Roman" w:hAnsi="Times New Roman" w:cs="Times New Roman"/>
          <w:color w:val="auto"/>
          <w:position w:val="-30"/>
          <w:sz w:val="24"/>
          <w:highlight w:val="none"/>
          <w:u w:val="none" w:color="auto"/>
        </w:rPr>
        <w:object>
          <v:shape id="_x0000_i1028" o:spt="75" type="#_x0000_t75" style="height:45.35pt;width:175.3pt;" o:ole="t" filled="f" o:preferrelative="t" stroked="f" coordsize="21600,21600">
            <v:path/>
            <v:fill on="f" focussize="0,0"/>
            <v:stroke on="f"/>
            <v:imagedata r:id="rId39" o:title=""/>
            <o:lock v:ext="edit" aspectratio="t"/>
            <w10:wrap type="none"/>
            <w10:anchorlock/>
          </v:shape>
          <o:OLEObject Type="Embed" ProgID="Equations" ShapeID="_x0000_i1028" DrawAspect="Content" ObjectID="_1468075728" r:id="rId38">
            <o:LockedField>false</o:LockedField>
          </o:OLEObject>
        </w:object>
      </w:r>
    </w:p>
    <w:p w14:paraId="5E0C9C76">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jc w:val="both"/>
        <w:textAlignment w:val="auto"/>
        <w:outlineLvl w:val="9"/>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式中：Q</w:t>
      </w:r>
      <w:r>
        <w:rPr>
          <w:rFonts w:hint="default" w:ascii="Times New Roman" w:hAnsi="Times New Roman" w:cs="Times New Roman"/>
          <w:color w:val="auto"/>
          <w:sz w:val="24"/>
          <w:szCs w:val="24"/>
          <w:highlight w:val="none"/>
          <w:u w:val="none" w:color="auto"/>
          <w:vertAlign w:val="subscript"/>
        </w:rPr>
        <w:t>L</w:t>
      </w:r>
      <w:r>
        <w:rPr>
          <w:rFonts w:hint="default" w:ascii="Times New Roman" w:hAnsi="Times New Roman" w:cs="Times New Roman"/>
          <w:color w:val="auto"/>
          <w:sz w:val="24"/>
          <w:szCs w:val="24"/>
          <w:highlight w:val="none"/>
          <w:u w:val="none" w:color="auto"/>
        </w:rPr>
        <w:t>－液体泄漏速度，kg/s；</w:t>
      </w:r>
    </w:p>
    <w:p w14:paraId="581B8FCE">
      <w:pPr>
        <w:keepNext w:val="0"/>
        <w:keepLines w:val="0"/>
        <w:pageBreakBefore w:val="0"/>
        <w:widowControl w:val="0"/>
        <w:kinsoku/>
        <w:wordWrap/>
        <w:overflowPunct/>
        <w:topLinePunct w:val="0"/>
        <w:autoSpaceDE/>
        <w:autoSpaceDN/>
        <w:bidi w:val="0"/>
        <w:adjustRightInd/>
        <w:snapToGrid/>
        <w:spacing w:line="520" w:lineRule="exact"/>
        <w:ind w:left="0" w:leftChars="0" w:firstLine="1200" w:firstLineChars="500"/>
        <w:jc w:val="both"/>
        <w:textAlignment w:val="auto"/>
        <w:outlineLvl w:val="9"/>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C</w:t>
      </w:r>
      <w:r>
        <w:rPr>
          <w:rFonts w:hint="default" w:ascii="Times New Roman" w:hAnsi="Times New Roman" w:cs="Times New Roman"/>
          <w:color w:val="auto"/>
          <w:sz w:val="24"/>
          <w:szCs w:val="24"/>
          <w:highlight w:val="none"/>
          <w:u w:val="none" w:color="auto"/>
          <w:vertAlign w:val="subscript"/>
        </w:rPr>
        <w:t>d</w:t>
      </w:r>
      <w:r>
        <w:rPr>
          <w:rFonts w:hint="default" w:ascii="Times New Roman" w:hAnsi="Times New Roman" w:cs="Times New Roman"/>
          <w:color w:val="auto"/>
          <w:sz w:val="24"/>
          <w:szCs w:val="24"/>
          <w:highlight w:val="none"/>
          <w:u w:val="none" w:color="auto"/>
        </w:rPr>
        <w:t>－液体流泄漏系数</w:t>
      </w:r>
      <w:r>
        <w:rPr>
          <w:rFonts w:hint="default" w:ascii="Times New Roman" w:hAnsi="Times New Roman" w:cs="Times New Roman"/>
          <w:color w:val="auto"/>
          <w:sz w:val="24"/>
          <w:szCs w:val="24"/>
          <w:highlight w:val="none"/>
          <w:u w:val="none" w:color="auto"/>
          <w:lang w:eastAsia="zh-CN"/>
        </w:rPr>
        <w:t>，</w:t>
      </w:r>
      <w:r>
        <w:rPr>
          <w:rFonts w:hint="default" w:ascii="Times New Roman" w:hAnsi="Times New Roman" w:cs="Times New Roman"/>
          <w:color w:val="auto"/>
          <w:sz w:val="24"/>
          <w:szCs w:val="24"/>
          <w:highlight w:val="none"/>
          <w:u w:val="none" w:color="auto"/>
        </w:rPr>
        <w:t>；</w:t>
      </w:r>
    </w:p>
    <w:p w14:paraId="59DDBD51">
      <w:pPr>
        <w:keepNext w:val="0"/>
        <w:keepLines w:val="0"/>
        <w:pageBreakBefore w:val="0"/>
        <w:widowControl w:val="0"/>
        <w:kinsoku/>
        <w:wordWrap/>
        <w:overflowPunct/>
        <w:topLinePunct w:val="0"/>
        <w:autoSpaceDE/>
        <w:autoSpaceDN/>
        <w:bidi w:val="0"/>
        <w:adjustRightInd/>
        <w:snapToGrid/>
        <w:spacing w:line="520" w:lineRule="exact"/>
        <w:ind w:left="0" w:leftChars="0" w:firstLine="1200" w:firstLineChars="500"/>
        <w:jc w:val="both"/>
        <w:textAlignment w:val="auto"/>
        <w:outlineLvl w:val="9"/>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ρ－泄漏液体密度，kg/m</w:t>
      </w:r>
      <w:r>
        <w:rPr>
          <w:rFonts w:hint="default" w:ascii="Times New Roman" w:hAnsi="Times New Roman" w:cs="Times New Roman"/>
          <w:color w:val="auto"/>
          <w:sz w:val="24"/>
          <w:szCs w:val="24"/>
          <w:highlight w:val="none"/>
          <w:u w:val="none" w:color="auto"/>
          <w:vertAlign w:val="superscript"/>
        </w:rPr>
        <w:t>3</w:t>
      </w:r>
      <w:r>
        <w:rPr>
          <w:rFonts w:hint="default" w:ascii="Times New Roman" w:hAnsi="Times New Roman" w:cs="Times New Roman"/>
          <w:color w:val="auto"/>
          <w:sz w:val="24"/>
          <w:szCs w:val="24"/>
          <w:highlight w:val="none"/>
          <w:u w:val="none" w:color="auto"/>
        </w:rPr>
        <w:t>；</w:t>
      </w:r>
    </w:p>
    <w:p w14:paraId="33270F77">
      <w:pPr>
        <w:keepNext w:val="0"/>
        <w:keepLines w:val="0"/>
        <w:pageBreakBefore w:val="0"/>
        <w:widowControl w:val="0"/>
        <w:kinsoku/>
        <w:wordWrap/>
        <w:overflowPunct/>
        <w:topLinePunct w:val="0"/>
        <w:autoSpaceDE/>
        <w:autoSpaceDN/>
        <w:bidi w:val="0"/>
        <w:adjustRightInd/>
        <w:snapToGrid/>
        <w:spacing w:line="520" w:lineRule="exact"/>
        <w:ind w:left="0" w:leftChars="0" w:firstLine="1200" w:firstLineChars="500"/>
        <w:jc w:val="both"/>
        <w:textAlignment w:val="auto"/>
        <w:outlineLvl w:val="9"/>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P－容器内介质压力，Pa；</w:t>
      </w:r>
    </w:p>
    <w:p w14:paraId="006C8A70">
      <w:pPr>
        <w:keepNext w:val="0"/>
        <w:keepLines w:val="0"/>
        <w:pageBreakBefore w:val="0"/>
        <w:widowControl w:val="0"/>
        <w:kinsoku/>
        <w:wordWrap/>
        <w:overflowPunct/>
        <w:topLinePunct w:val="0"/>
        <w:autoSpaceDE/>
        <w:autoSpaceDN/>
        <w:bidi w:val="0"/>
        <w:adjustRightInd/>
        <w:snapToGrid/>
        <w:spacing w:line="520" w:lineRule="exact"/>
        <w:ind w:left="0" w:leftChars="0" w:firstLine="1200" w:firstLineChars="500"/>
        <w:jc w:val="both"/>
        <w:textAlignment w:val="auto"/>
        <w:outlineLvl w:val="9"/>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P</w:t>
      </w:r>
      <w:r>
        <w:rPr>
          <w:rFonts w:hint="default" w:ascii="Times New Roman" w:hAnsi="Times New Roman" w:cs="Times New Roman"/>
          <w:color w:val="auto"/>
          <w:sz w:val="24"/>
          <w:szCs w:val="24"/>
          <w:highlight w:val="none"/>
          <w:u w:val="none" w:color="auto"/>
          <w:vertAlign w:val="subscript"/>
        </w:rPr>
        <w:t>0</w:t>
      </w:r>
      <w:r>
        <w:rPr>
          <w:rFonts w:hint="default" w:ascii="Times New Roman" w:hAnsi="Times New Roman" w:cs="Times New Roman"/>
          <w:color w:val="auto"/>
          <w:sz w:val="24"/>
          <w:szCs w:val="24"/>
          <w:highlight w:val="none"/>
          <w:u w:val="none" w:color="auto"/>
        </w:rPr>
        <w:t>－环境压力，Pa；</w:t>
      </w:r>
    </w:p>
    <w:p w14:paraId="592056A0">
      <w:pPr>
        <w:keepNext w:val="0"/>
        <w:keepLines w:val="0"/>
        <w:pageBreakBefore w:val="0"/>
        <w:widowControl w:val="0"/>
        <w:kinsoku/>
        <w:wordWrap/>
        <w:overflowPunct/>
        <w:topLinePunct w:val="0"/>
        <w:autoSpaceDE/>
        <w:autoSpaceDN/>
        <w:bidi w:val="0"/>
        <w:adjustRightInd/>
        <w:snapToGrid/>
        <w:spacing w:line="520" w:lineRule="exact"/>
        <w:ind w:left="0" w:leftChars="0" w:firstLine="1200" w:firstLineChars="500"/>
        <w:jc w:val="both"/>
        <w:textAlignment w:val="auto"/>
        <w:outlineLvl w:val="9"/>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g－重力加速度，m/s</w:t>
      </w:r>
      <w:r>
        <w:rPr>
          <w:rFonts w:hint="default" w:ascii="Times New Roman" w:hAnsi="Times New Roman" w:cs="Times New Roman"/>
          <w:color w:val="auto"/>
          <w:sz w:val="24"/>
          <w:szCs w:val="24"/>
          <w:highlight w:val="none"/>
          <w:u w:val="none" w:color="auto"/>
          <w:vertAlign w:val="superscript"/>
        </w:rPr>
        <w:t>2</w:t>
      </w:r>
      <w:r>
        <w:rPr>
          <w:rFonts w:hint="default" w:ascii="Times New Roman" w:hAnsi="Times New Roman" w:cs="Times New Roman"/>
          <w:color w:val="auto"/>
          <w:sz w:val="24"/>
          <w:szCs w:val="24"/>
          <w:highlight w:val="none"/>
          <w:u w:val="none" w:color="auto"/>
        </w:rPr>
        <w:t>；</w:t>
      </w:r>
    </w:p>
    <w:p w14:paraId="5453DDFB">
      <w:pPr>
        <w:keepNext w:val="0"/>
        <w:keepLines w:val="0"/>
        <w:pageBreakBefore w:val="0"/>
        <w:widowControl w:val="0"/>
        <w:kinsoku/>
        <w:wordWrap/>
        <w:overflowPunct/>
        <w:topLinePunct w:val="0"/>
        <w:autoSpaceDE/>
        <w:autoSpaceDN/>
        <w:bidi w:val="0"/>
        <w:adjustRightInd/>
        <w:snapToGrid/>
        <w:spacing w:line="520" w:lineRule="exact"/>
        <w:ind w:left="0" w:leftChars="0" w:firstLine="1200" w:firstLineChars="500"/>
        <w:jc w:val="both"/>
        <w:textAlignment w:val="auto"/>
        <w:outlineLvl w:val="9"/>
        <w:rPr>
          <w:rFonts w:hint="default" w:ascii="Times New Roman" w:hAnsi="Times New Roman" w:eastAsia="宋体" w:cs="Times New Roman"/>
          <w:color w:val="auto"/>
          <w:sz w:val="24"/>
          <w:szCs w:val="24"/>
          <w:highlight w:val="none"/>
          <w:u w:val="none" w:color="auto"/>
        </w:rPr>
      </w:pPr>
      <w:r>
        <w:rPr>
          <w:rFonts w:hint="default" w:ascii="Times New Roman" w:hAnsi="Times New Roman" w:eastAsia="宋体" w:cs="Times New Roman"/>
          <w:color w:val="auto"/>
          <w:sz w:val="24"/>
          <w:szCs w:val="24"/>
          <w:highlight w:val="none"/>
          <w:u w:val="none" w:color="auto"/>
        </w:rPr>
        <w:t>h－裂口之上液位高度</w:t>
      </w:r>
      <w:r>
        <w:rPr>
          <w:rFonts w:hint="eastAsia" w:ascii="Times New Roman" w:hAnsi="Times New Roman" w:cs="Times New Roman"/>
          <w:color w:val="auto"/>
          <w:sz w:val="24"/>
          <w:szCs w:val="24"/>
          <w:highlight w:val="none"/>
          <w:u w:val="none" w:color="auto"/>
          <w:lang w:val="en-US" w:eastAsia="zh-CN"/>
        </w:rPr>
        <w:t>，m</w:t>
      </w:r>
      <w:r>
        <w:rPr>
          <w:rFonts w:hint="default" w:ascii="Times New Roman" w:hAnsi="Times New Roman" w:eastAsia="宋体" w:cs="Times New Roman"/>
          <w:color w:val="auto"/>
          <w:sz w:val="24"/>
          <w:szCs w:val="24"/>
          <w:highlight w:val="none"/>
          <w:u w:val="none" w:color="auto"/>
        </w:rPr>
        <w:t>；</w:t>
      </w:r>
    </w:p>
    <w:p w14:paraId="3D08736A">
      <w:pPr>
        <w:keepNext w:val="0"/>
        <w:keepLines w:val="0"/>
        <w:pageBreakBefore w:val="0"/>
        <w:widowControl w:val="0"/>
        <w:kinsoku/>
        <w:wordWrap/>
        <w:overflowPunct/>
        <w:topLinePunct w:val="0"/>
        <w:autoSpaceDE/>
        <w:autoSpaceDN/>
        <w:bidi w:val="0"/>
        <w:adjustRightInd/>
        <w:snapToGrid/>
        <w:spacing w:line="520" w:lineRule="exact"/>
        <w:ind w:left="0" w:leftChars="0" w:firstLine="1200" w:firstLineChars="500"/>
        <w:jc w:val="both"/>
        <w:textAlignment w:val="auto"/>
        <w:outlineLvl w:val="9"/>
        <w:rPr>
          <w:rFonts w:hint="default" w:ascii="Times New Roman" w:hAnsi="Times New Roman" w:eastAsia="宋体" w:cs="Times New Roman"/>
          <w:color w:val="auto"/>
          <w:sz w:val="24"/>
          <w:szCs w:val="24"/>
          <w:highlight w:val="none"/>
          <w:u w:val="none" w:color="auto"/>
        </w:rPr>
      </w:pPr>
      <w:r>
        <w:rPr>
          <w:rFonts w:hint="default" w:ascii="Times New Roman" w:hAnsi="Times New Roman" w:eastAsia="宋体" w:cs="Times New Roman"/>
          <w:color w:val="auto"/>
          <w:sz w:val="24"/>
          <w:szCs w:val="24"/>
          <w:highlight w:val="none"/>
          <w:u w:val="none" w:color="auto"/>
        </w:rPr>
        <w:t>A－漏孔面积</w:t>
      </w:r>
      <w:r>
        <w:rPr>
          <w:rFonts w:hint="default" w:ascii="Times New Roman" w:hAnsi="Times New Roman" w:eastAsia="宋体" w:cs="Times New Roman"/>
          <w:color w:val="auto"/>
          <w:sz w:val="24"/>
          <w:szCs w:val="24"/>
          <w:highlight w:val="none"/>
          <w:u w:val="none" w:color="auto"/>
          <w:lang w:eastAsia="zh-CN"/>
        </w:rPr>
        <w:t>，</w:t>
      </w:r>
      <w:r>
        <w:rPr>
          <w:rFonts w:hint="default" w:ascii="Times New Roman" w:hAnsi="Times New Roman" w:eastAsia="宋体" w:cs="Times New Roman"/>
          <w:color w:val="auto"/>
          <w:sz w:val="24"/>
          <w:szCs w:val="24"/>
          <w:highlight w:val="none"/>
          <w:u w:val="none" w:color="auto"/>
          <w:lang w:val="en-US" w:eastAsia="zh-CN"/>
        </w:rPr>
        <w:t>m</w:t>
      </w:r>
      <w:r>
        <w:rPr>
          <w:rFonts w:hint="default" w:ascii="Times New Roman" w:hAnsi="Times New Roman" w:eastAsia="宋体" w:cs="Times New Roman"/>
          <w:color w:val="auto"/>
          <w:sz w:val="24"/>
          <w:szCs w:val="24"/>
          <w:highlight w:val="none"/>
          <w:u w:val="none" w:color="auto"/>
          <w:vertAlign w:val="superscript"/>
          <w:lang w:val="en-US" w:eastAsia="zh-CN"/>
        </w:rPr>
        <w:t>2</w:t>
      </w:r>
      <w:r>
        <w:rPr>
          <w:rFonts w:hint="default" w:ascii="Times New Roman" w:hAnsi="Times New Roman" w:eastAsia="宋体" w:cs="Times New Roman"/>
          <w:color w:val="auto"/>
          <w:sz w:val="24"/>
          <w:szCs w:val="24"/>
          <w:highlight w:val="none"/>
          <w:u w:val="none" w:color="auto"/>
          <w:lang w:val="en-US" w:eastAsia="zh-CN"/>
        </w:rPr>
        <w:t>；</w:t>
      </w:r>
    </w:p>
    <w:p w14:paraId="4601F1FF">
      <w:pPr>
        <w:numPr>
          <w:ilvl w:val="0"/>
          <w:numId w:val="5"/>
        </w:numPr>
        <w:tabs>
          <w:tab w:val="center" w:pos="4420"/>
        </w:tabs>
        <w:bidi w:val="0"/>
        <w:spacing w:line="460" w:lineRule="exact"/>
        <w:ind w:left="0" w:leftChars="0" w:firstLine="42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u w:val="none" w:color="auto"/>
        </w:rPr>
        <w:drawing>
          <wp:anchor distT="0" distB="0" distL="114300" distR="114300" simplePos="0" relativeHeight="251748352" behindDoc="0" locked="0" layoutInCell="1" allowOverlap="1">
            <wp:simplePos x="0" y="0"/>
            <wp:positionH relativeFrom="column">
              <wp:posOffset>187325</wp:posOffset>
            </wp:positionH>
            <wp:positionV relativeFrom="paragraph">
              <wp:posOffset>292100</wp:posOffset>
            </wp:positionV>
            <wp:extent cx="5515610" cy="1104265"/>
            <wp:effectExtent l="0" t="0" r="8890" b="635"/>
            <wp:wrapNone/>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40"/>
                    <a:stretch>
                      <a:fillRect/>
                    </a:stretch>
                  </pic:blipFill>
                  <pic:spPr>
                    <a:xfrm>
                      <a:off x="0" y="0"/>
                      <a:ext cx="5515610" cy="1104265"/>
                    </a:xfrm>
                    <a:prstGeom prst="rect">
                      <a:avLst/>
                    </a:prstGeom>
                    <a:noFill/>
                    <a:ln>
                      <a:noFill/>
                    </a:ln>
                  </pic:spPr>
                </pic:pic>
              </a:graphicData>
            </a:graphic>
          </wp:anchor>
        </w:drawing>
      </w: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eastAsia="黑体" w:cs="Times New Roman"/>
          <w:color w:val="auto"/>
          <w:spacing w:val="0"/>
          <w:w w:val="100"/>
          <w:kern w:val="21"/>
          <w:position w:val="0"/>
          <w:sz w:val="24"/>
          <w:szCs w:val="24"/>
          <w:u w:val="none" w:color="auto"/>
          <w:lang w:val="en-US" w:eastAsia="zh-CN"/>
        </w:rPr>
        <w:t>液体泄漏系数一览表</w:t>
      </w:r>
    </w:p>
    <w:p w14:paraId="5B8F50AE">
      <w:pPr>
        <w:keepNext w:val="0"/>
        <w:keepLines w:val="0"/>
        <w:pageBreakBefore w:val="0"/>
        <w:numPr>
          <w:ilvl w:val="0"/>
          <w:numId w:val="0"/>
        </w:numPr>
        <w:kinsoku/>
        <w:wordWrap/>
        <w:overflowPunct/>
        <w:autoSpaceDE/>
        <w:autoSpaceDN/>
        <w:bidi w:val="0"/>
        <w:spacing w:line="440" w:lineRule="exact"/>
        <w:ind w:leftChars="200"/>
        <w:textAlignment w:val="auto"/>
        <w:rPr>
          <w:rFonts w:hint="default" w:ascii="宋体" w:hAnsi="宋体" w:eastAsia="宋体" w:cs="宋体"/>
          <w:b/>
          <w:bCs/>
          <w:sz w:val="24"/>
          <w:szCs w:val="24"/>
          <w:u w:val="none" w:color="auto"/>
          <w:lang w:val="en-US" w:eastAsia="zh-CN"/>
        </w:rPr>
      </w:pPr>
    </w:p>
    <w:p w14:paraId="04EA8CF7">
      <w:pPr>
        <w:keepNext w:val="0"/>
        <w:keepLines w:val="0"/>
        <w:pageBreakBefore w:val="0"/>
        <w:numPr>
          <w:ilvl w:val="0"/>
          <w:numId w:val="0"/>
        </w:numPr>
        <w:kinsoku/>
        <w:wordWrap/>
        <w:overflowPunct/>
        <w:autoSpaceDE/>
        <w:autoSpaceDN/>
        <w:bidi w:val="0"/>
        <w:spacing w:line="440" w:lineRule="exact"/>
        <w:ind w:leftChars="200"/>
        <w:textAlignment w:val="auto"/>
        <w:rPr>
          <w:rFonts w:hint="default" w:ascii="宋体" w:hAnsi="宋体" w:eastAsia="宋体" w:cs="宋体"/>
          <w:b/>
          <w:bCs/>
          <w:sz w:val="24"/>
          <w:szCs w:val="24"/>
          <w:u w:val="none" w:color="auto"/>
          <w:lang w:val="en-US" w:eastAsia="zh-CN"/>
        </w:rPr>
      </w:pPr>
    </w:p>
    <w:p w14:paraId="682D3C3B">
      <w:pPr>
        <w:keepNext w:val="0"/>
        <w:keepLines w:val="0"/>
        <w:pageBreakBefore w:val="0"/>
        <w:numPr>
          <w:ilvl w:val="0"/>
          <w:numId w:val="0"/>
        </w:numPr>
        <w:kinsoku/>
        <w:wordWrap/>
        <w:overflowPunct/>
        <w:autoSpaceDE/>
        <w:autoSpaceDN/>
        <w:bidi w:val="0"/>
        <w:spacing w:line="440" w:lineRule="exact"/>
        <w:ind w:leftChars="200"/>
        <w:textAlignment w:val="auto"/>
        <w:rPr>
          <w:rFonts w:hint="default" w:ascii="宋体" w:hAnsi="宋体" w:eastAsia="宋体" w:cs="宋体"/>
          <w:b/>
          <w:bCs/>
          <w:sz w:val="24"/>
          <w:szCs w:val="24"/>
          <w:u w:val="none" w:color="auto"/>
          <w:lang w:val="en-US" w:eastAsia="zh-CN"/>
        </w:rPr>
      </w:pPr>
    </w:p>
    <w:p w14:paraId="22A7B343">
      <w:pPr>
        <w:keepNext w:val="0"/>
        <w:keepLines w:val="0"/>
        <w:pageBreakBefore w:val="0"/>
        <w:numPr>
          <w:ilvl w:val="0"/>
          <w:numId w:val="0"/>
        </w:numPr>
        <w:kinsoku/>
        <w:wordWrap/>
        <w:overflowPunct/>
        <w:autoSpaceDE/>
        <w:autoSpaceDN/>
        <w:bidi w:val="0"/>
        <w:spacing w:line="440" w:lineRule="exact"/>
        <w:textAlignment w:val="auto"/>
        <w:rPr>
          <w:rFonts w:ascii="宋体" w:hAnsi="宋体" w:eastAsia="宋体" w:cs="宋体"/>
          <w:sz w:val="24"/>
          <w:szCs w:val="24"/>
          <w:u w:val="none" w:color="auto"/>
        </w:rPr>
      </w:pPr>
    </w:p>
    <w:p w14:paraId="48460FD7">
      <w:pPr>
        <w:keepNext w:val="0"/>
        <w:keepLines w:val="0"/>
        <w:pageBreakBefore w:val="0"/>
        <w:numPr>
          <w:ilvl w:val="0"/>
          <w:numId w:val="0"/>
        </w:numPr>
        <w:kinsoku/>
        <w:wordWrap/>
        <w:overflowPunct/>
        <w:autoSpaceDE/>
        <w:autoSpaceDN/>
        <w:bidi w:val="0"/>
        <w:spacing w:line="440" w:lineRule="exact"/>
        <w:textAlignment w:val="auto"/>
        <w:rPr>
          <w:rFonts w:hint="default" w:ascii="宋体" w:hAnsi="宋体" w:eastAsia="宋体" w:cs="宋体"/>
          <w:b/>
          <w:bCs/>
          <w:sz w:val="24"/>
          <w:szCs w:val="24"/>
          <w:u w:val="none" w:color="auto"/>
          <w:lang w:val="en-US" w:eastAsia="zh-CN"/>
        </w:rPr>
      </w:pPr>
      <w:r>
        <w:rPr>
          <w:rFonts w:ascii="宋体" w:hAnsi="宋体" w:eastAsia="宋体" w:cs="宋体"/>
          <w:sz w:val="24"/>
          <w:szCs w:val="24"/>
          <w:u w:val="none" w:color="auto"/>
        </w:rPr>
        <w:t>本项目液体泄漏源强计算参数及计算结果见下表。</w:t>
      </w:r>
    </w:p>
    <w:p w14:paraId="4BFD4BBA">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eastAsia="黑体" w:cs="Times New Roman"/>
          <w:color w:val="auto"/>
          <w:spacing w:val="0"/>
          <w:w w:val="100"/>
          <w:kern w:val="21"/>
          <w:position w:val="0"/>
          <w:sz w:val="24"/>
          <w:szCs w:val="24"/>
          <w:u w:val="none" w:color="auto"/>
          <w:lang w:val="en-US" w:eastAsia="zh-CN"/>
        </w:rPr>
        <w:t>液体泄漏源强计算参数一览表</w:t>
      </w:r>
    </w:p>
    <w:tbl>
      <w:tblPr>
        <w:tblStyle w:val="3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89"/>
        <w:gridCol w:w="1325"/>
        <w:gridCol w:w="913"/>
        <w:gridCol w:w="921"/>
        <w:gridCol w:w="921"/>
        <w:gridCol w:w="918"/>
        <w:gridCol w:w="911"/>
        <w:gridCol w:w="904"/>
        <w:gridCol w:w="1026"/>
        <w:gridCol w:w="914"/>
      </w:tblGrid>
      <w:tr w14:paraId="4E7F37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92" w:type="dxa"/>
            <w:vMerge w:val="restart"/>
            <w:tcBorders>
              <w:tl2br w:val="nil"/>
              <w:tr2bl w:val="nil"/>
            </w:tcBorders>
            <w:vAlign w:val="center"/>
          </w:tcPr>
          <w:p w14:paraId="7EAFB5B2">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序号</w:t>
            </w:r>
          </w:p>
        </w:tc>
        <w:tc>
          <w:tcPr>
            <w:tcW w:w="1356" w:type="dxa"/>
            <w:vMerge w:val="restart"/>
            <w:tcBorders>
              <w:tl2br w:val="nil"/>
              <w:tr2bl w:val="nil"/>
            </w:tcBorders>
            <w:vAlign w:val="center"/>
          </w:tcPr>
          <w:p w14:paraId="3B592C53">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泄漏源</w:t>
            </w:r>
          </w:p>
        </w:tc>
        <w:tc>
          <w:tcPr>
            <w:tcW w:w="924" w:type="dxa"/>
            <w:vMerge w:val="restart"/>
            <w:tcBorders>
              <w:tl2br w:val="nil"/>
              <w:tr2bl w:val="nil"/>
            </w:tcBorders>
            <w:vAlign w:val="center"/>
          </w:tcPr>
          <w:p w14:paraId="06AE7ABF">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泄漏物质</w:t>
            </w:r>
          </w:p>
        </w:tc>
        <w:tc>
          <w:tcPr>
            <w:tcW w:w="924" w:type="dxa"/>
            <w:tcBorders>
              <w:tl2br w:val="nil"/>
              <w:tr2bl w:val="nil"/>
            </w:tcBorders>
            <w:vAlign w:val="center"/>
          </w:tcPr>
          <w:p w14:paraId="536EBE07">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容器压力</w:t>
            </w:r>
          </w:p>
        </w:tc>
        <w:tc>
          <w:tcPr>
            <w:tcW w:w="924" w:type="dxa"/>
            <w:tcBorders>
              <w:tl2br w:val="nil"/>
              <w:tr2bl w:val="nil"/>
            </w:tcBorders>
            <w:vAlign w:val="center"/>
          </w:tcPr>
          <w:p w14:paraId="5F831573">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环境压力</w:t>
            </w:r>
          </w:p>
        </w:tc>
        <w:tc>
          <w:tcPr>
            <w:tcW w:w="924" w:type="dxa"/>
            <w:tcBorders>
              <w:tl2br w:val="nil"/>
              <w:tr2bl w:val="nil"/>
            </w:tcBorders>
            <w:vAlign w:val="center"/>
          </w:tcPr>
          <w:p w14:paraId="0C7C0956">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液体，密度</w:t>
            </w:r>
          </w:p>
        </w:tc>
        <w:tc>
          <w:tcPr>
            <w:tcW w:w="924" w:type="dxa"/>
            <w:tcBorders>
              <w:tl2br w:val="nil"/>
              <w:tr2bl w:val="nil"/>
            </w:tcBorders>
            <w:vAlign w:val="center"/>
          </w:tcPr>
          <w:p w14:paraId="3ACDEB87">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重力加速度</w:t>
            </w:r>
          </w:p>
        </w:tc>
        <w:tc>
          <w:tcPr>
            <w:tcW w:w="924" w:type="dxa"/>
            <w:tcBorders>
              <w:tl2br w:val="nil"/>
              <w:tr2bl w:val="nil"/>
            </w:tcBorders>
            <w:vAlign w:val="center"/>
          </w:tcPr>
          <w:p w14:paraId="6F3FA51C">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裂口之上液位高度</w:t>
            </w:r>
          </w:p>
        </w:tc>
        <w:tc>
          <w:tcPr>
            <w:tcW w:w="925" w:type="dxa"/>
            <w:tcBorders>
              <w:tl2br w:val="nil"/>
              <w:tr2bl w:val="nil"/>
            </w:tcBorders>
            <w:vAlign w:val="center"/>
          </w:tcPr>
          <w:p w14:paraId="1214D1C9">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裂口面积</w:t>
            </w:r>
          </w:p>
        </w:tc>
        <w:tc>
          <w:tcPr>
            <w:tcW w:w="925" w:type="dxa"/>
            <w:tcBorders>
              <w:tl2br w:val="nil"/>
              <w:tr2bl w:val="nil"/>
            </w:tcBorders>
            <w:vAlign w:val="center"/>
          </w:tcPr>
          <w:p w14:paraId="593A77F4">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液体</w:t>
            </w:r>
            <w:r>
              <w:rPr>
                <w:rFonts w:hint="eastAsia" w:ascii="Times New Roman" w:hAnsi="Times New Roman" w:eastAsia="宋体" w:cs="Times New Roman"/>
                <w:u w:val="none" w:color="auto"/>
                <w:vertAlign w:val="baseline"/>
                <w:lang w:val="en-US" w:eastAsia="zh-CN"/>
              </w:rPr>
              <w:t>泄漏</w:t>
            </w:r>
            <w:r>
              <w:rPr>
                <w:rFonts w:hint="default" w:ascii="Times New Roman" w:hAnsi="Times New Roman" w:eastAsia="宋体" w:cs="Times New Roman"/>
                <w:u w:val="none" w:color="auto"/>
                <w:vertAlign w:val="baseline"/>
                <w:lang w:val="en-US" w:eastAsia="zh-CN"/>
              </w:rPr>
              <w:t>速率</w:t>
            </w:r>
          </w:p>
        </w:tc>
      </w:tr>
      <w:tr w14:paraId="4CEA6F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92" w:type="dxa"/>
            <w:vMerge w:val="continue"/>
            <w:tcBorders>
              <w:tl2br w:val="nil"/>
              <w:tr2bl w:val="nil"/>
            </w:tcBorders>
            <w:vAlign w:val="center"/>
          </w:tcPr>
          <w:p w14:paraId="7486FA24">
            <w:pPr>
              <w:bidi w:val="0"/>
              <w:jc w:val="center"/>
              <w:rPr>
                <w:rFonts w:hint="default" w:ascii="Times New Roman" w:hAnsi="Times New Roman" w:eastAsia="宋体" w:cs="Times New Roman"/>
                <w:u w:val="none" w:color="auto"/>
                <w:vertAlign w:val="baseline"/>
                <w:lang w:val="en-US" w:eastAsia="zh-CN"/>
              </w:rPr>
            </w:pPr>
          </w:p>
        </w:tc>
        <w:tc>
          <w:tcPr>
            <w:tcW w:w="1356" w:type="dxa"/>
            <w:vMerge w:val="continue"/>
            <w:tcBorders>
              <w:tl2br w:val="nil"/>
              <w:tr2bl w:val="nil"/>
            </w:tcBorders>
            <w:vAlign w:val="center"/>
          </w:tcPr>
          <w:p w14:paraId="64FD2C81">
            <w:pPr>
              <w:bidi w:val="0"/>
              <w:jc w:val="center"/>
              <w:rPr>
                <w:rFonts w:hint="default" w:ascii="Times New Roman" w:hAnsi="Times New Roman" w:eastAsia="宋体" w:cs="Times New Roman"/>
                <w:u w:val="none" w:color="auto"/>
                <w:vertAlign w:val="baseline"/>
                <w:lang w:val="en-US" w:eastAsia="zh-CN"/>
              </w:rPr>
            </w:pPr>
          </w:p>
        </w:tc>
        <w:tc>
          <w:tcPr>
            <w:tcW w:w="924" w:type="dxa"/>
            <w:vMerge w:val="continue"/>
            <w:tcBorders>
              <w:tl2br w:val="nil"/>
              <w:tr2bl w:val="nil"/>
            </w:tcBorders>
            <w:vAlign w:val="center"/>
          </w:tcPr>
          <w:p w14:paraId="28673418">
            <w:pPr>
              <w:bidi w:val="0"/>
              <w:jc w:val="center"/>
              <w:rPr>
                <w:rFonts w:hint="default" w:ascii="Times New Roman" w:hAnsi="Times New Roman" w:eastAsia="宋体" w:cs="Times New Roman"/>
                <w:u w:val="none" w:color="auto"/>
                <w:vertAlign w:val="baseline"/>
                <w:lang w:val="en-US" w:eastAsia="zh-CN"/>
              </w:rPr>
            </w:pPr>
          </w:p>
        </w:tc>
        <w:tc>
          <w:tcPr>
            <w:tcW w:w="924" w:type="dxa"/>
            <w:tcBorders>
              <w:tl2br w:val="nil"/>
              <w:tr2bl w:val="nil"/>
            </w:tcBorders>
            <w:vAlign w:val="center"/>
          </w:tcPr>
          <w:p w14:paraId="2DABAA5C">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P</w:t>
            </w:r>
          </w:p>
        </w:tc>
        <w:tc>
          <w:tcPr>
            <w:tcW w:w="924" w:type="dxa"/>
            <w:tcBorders>
              <w:tl2br w:val="nil"/>
              <w:tr2bl w:val="nil"/>
            </w:tcBorders>
            <w:vAlign w:val="center"/>
          </w:tcPr>
          <w:p w14:paraId="57D16526">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P</w:t>
            </w:r>
            <w:r>
              <w:rPr>
                <w:rFonts w:hint="default" w:ascii="Times New Roman" w:hAnsi="Times New Roman" w:eastAsia="宋体" w:cs="Times New Roman"/>
                <w:sz w:val="24"/>
                <w:szCs w:val="24"/>
                <w:u w:val="none" w:color="auto"/>
                <w:vertAlign w:val="subscript"/>
              </w:rPr>
              <w:t>0</w:t>
            </w:r>
          </w:p>
        </w:tc>
        <w:tc>
          <w:tcPr>
            <w:tcW w:w="924" w:type="dxa"/>
            <w:tcBorders>
              <w:tl2br w:val="nil"/>
              <w:tr2bl w:val="nil"/>
            </w:tcBorders>
            <w:vAlign w:val="center"/>
          </w:tcPr>
          <w:p w14:paraId="1A290AEB">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ρ</w:t>
            </w:r>
          </w:p>
        </w:tc>
        <w:tc>
          <w:tcPr>
            <w:tcW w:w="924" w:type="dxa"/>
            <w:tcBorders>
              <w:tl2br w:val="nil"/>
              <w:tr2bl w:val="nil"/>
            </w:tcBorders>
            <w:vAlign w:val="center"/>
          </w:tcPr>
          <w:p w14:paraId="1733A603">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g</w:t>
            </w:r>
          </w:p>
        </w:tc>
        <w:tc>
          <w:tcPr>
            <w:tcW w:w="924" w:type="dxa"/>
            <w:tcBorders>
              <w:tl2br w:val="nil"/>
              <w:tr2bl w:val="nil"/>
            </w:tcBorders>
            <w:vAlign w:val="center"/>
          </w:tcPr>
          <w:p w14:paraId="7E981136">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h</w:t>
            </w:r>
          </w:p>
        </w:tc>
        <w:tc>
          <w:tcPr>
            <w:tcW w:w="925" w:type="dxa"/>
            <w:tcBorders>
              <w:tl2br w:val="nil"/>
              <w:tr2bl w:val="nil"/>
            </w:tcBorders>
            <w:vAlign w:val="center"/>
          </w:tcPr>
          <w:p w14:paraId="6BC05259">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A</w:t>
            </w:r>
          </w:p>
        </w:tc>
        <w:tc>
          <w:tcPr>
            <w:tcW w:w="925" w:type="dxa"/>
            <w:tcBorders>
              <w:tl2br w:val="nil"/>
              <w:tr2bl w:val="nil"/>
            </w:tcBorders>
            <w:vAlign w:val="center"/>
          </w:tcPr>
          <w:p w14:paraId="1AE42F23">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Q</w:t>
            </w:r>
            <w:r>
              <w:rPr>
                <w:rFonts w:hint="default" w:ascii="Times New Roman" w:hAnsi="Times New Roman" w:eastAsia="宋体" w:cs="Times New Roman"/>
                <w:sz w:val="24"/>
                <w:szCs w:val="24"/>
                <w:u w:val="none" w:color="auto"/>
                <w:vertAlign w:val="subscript"/>
              </w:rPr>
              <w:t>L</w:t>
            </w:r>
          </w:p>
        </w:tc>
      </w:tr>
      <w:tr w14:paraId="4ED414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92" w:type="dxa"/>
            <w:vMerge w:val="continue"/>
            <w:tcBorders>
              <w:tl2br w:val="nil"/>
              <w:tr2bl w:val="nil"/>
            </w:tcBorders>
            <w:vAlign w:val="center"/>
          </w:tcPr>
          <w:p w14:paraId="711092F0">
            <w:pPr>
              <w:bidi w:val="0"/>
              <w:jc w:val="center"/>
              <w:rPr>
                <w:rFonts w:hint="default" w:ascii="Times New Roman" w:hAnsi="Times New Roman" w:eastAsia="宋体" w:cs="Times New Roman"/>
                <w:u w:val="none" w:color="auto"/>
                <w:vertAlign w:val="baseline"/>
                <w:lang w:val="en-US" w:eastAsia="zh-CN"/>
              </w:rPr>
            </w:pPr>
          </w:p>
        </w:tc>
        <w:tc>
          <w:tcPr>
            <w:tcW w:w="1356" w:type="dxa"/>
            <w:vMerge w:val="continue"/>
            <w:tcBorders>
              <w:tl2br w:val="nil"/>
              <w:tr2bl w:val="nil"/>
            </w:tcBorders>
            <w:vAlign w:val="center"/>
          </w:tcPr>
          <w:p w14:paraId="333AEF44">
            <w:pPr>
              <w:bidi w:val="0"/>
              <w:jc w:val="center"/>
              <w:rPr>
                <w:rFonts w:hint="default" w:ascii="Times New Roman" w:hAnsi="Times New Roman" w:eastAsia="宋体" w:cs="Times New Roman"/>
                <w:u w:val="none" w:color="auto"/>
                <w:vertAlign w:val="baseline"/>
                <w:lang w:val="en-US" w:eastAsia="zh-CN"/>
              </w:rPr>
            </w:pPr>
          </w:p>
        </w:tc>
        <w:tc>
          <w:tcPr>
            <w:tcW w:w="924" w:type="dxa"/>
            <w:vMerge w:val="continue"/>
            <w:tcBorders>
              <w:tl2br w:val="nil"/>
              <w:tr2bl w:val="nil"/>
            </w:tcBorders>
            <w:vAlign w:val="center"/>
          </w:tcPr>
          <w:p w14:paraId="77AFCC02">
            <w:pPr>
              <w:bidi w:val="0"/>
              <w:jc w:val="center"/>
              <w:rPr>
                <w:rFonts w:hint="default" w:ascii="Times New Roman" w:hAnsi="Times New Roman" w:eastAsia="宋体" w:cs="Times New Roman"/>
                <w:u w:val="none" w:color="auto"/>
                <w:vertAlign w:val="baseline"/>
                <w:lang w:val="en-US" w:eastAsia="zh-CN"/>
              </w:rPr>
            </w:pPr>
          </w:p>
        </w:tc>
        <w:tc>
          <w:tcPr>
            <w:tcW w:w="924" w:type="dxa"/>
            <w:tcBorders>
              <w:tl2br w:val="nil"/>
              <w:tr2bl w:val="nil"/>
            </w:tcBorders>
            <w:vAlign w:val="center"/>
          </w:tcPr>
          <w:p w14:paraId="336BB9F2">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Pa</w:t>
            </w:r>
          </w:p>
        </w:tc>
        <w:tc>
          <w:tcPr>
            <w:tcW w:w="924" w:type="dxa"/>
            <w:tcBorders>
              <w:tl2br w:val="nil"/>
              <w:tr2bl w:val="nil"/>
            </w:tcBorders>
            <w:vAlign w:val="center"/>
          </w:tcPr>
          <w:p w14:paraId="111DDACE">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Pa</w:t>
            </w:r>
          </w:p>
        </w:tc>
        <w:tc>
          <w:tcPr>
            <w:tcW w:w="924" w:type="dxa"/>
            <w:tcBorders>
              <w:tl2br w:val="nil"/>
              <w:tr2bl w:val="nil"/>
            </w:tcBorders>
            <w:vAlign w:val="center"/>
          </w:tcPr>
          <w:p w14:paraId="3A91645D">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kg/m</w:t>
            </w:r>
            <w:r>
              <w:rPr>
                <w:rFonts w:hint="default" w:ascii="Times New Roman" w:hAnsi="Times New Roman" w:eastAsia="宋体" w:cs="Times New Roman"/>
                <w:sz w:val="24"/>
                <w:szCs w:val="24"/>
                <w:u w:val="none" w:color="auto"/>
                <w:vertAlign w:val="superscript"/>
              </w:rPr>
              <w:t>3</w:t>
            </w:r>
          </w:p>
        </w:tc>
        <w:tc>
          <w:tcPr>
            <w:tcW w:w="924" w:type="dxa"/>
            <w:tcBorders>
              <w:tl2br w:val="nil"/>
              <w:tr2bl w:val="nil"/>
            </w:tcBorders>
            <w:vAlign w:val="center"/>
          </w:tcPr>
          <w:p w14:paraId="748DA2E8">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m/s</w:t>
            </w:r>
            <w:r>
              <w:rPr>
                <w:rFonts w:hint="default" w:ascii="Times New Roman" w:hAnsi="Times New Roman" w:eastAsia="宋体" w:cs="Times New Roman"/>
                <w:sz w:val="24"/>
                <w:szCs w:val="24"/>
                <w:u w:val="none" w:color="auto"/>
                <w:vertAlign w:val="superscript"/>
              </w:rPr>
              <w:t>2</w:t>
            </w:r>
          </w:p>
        </w:tc>
        <w:tc>
          <w:tcPr>
            <w:tcW w:w="924" w:type="dxa"/>
            <w:tcBorders>
              <w:tl2br w:val="nil"/>
              <w:tr2bl w:val="nil"/>
            </w:tcBorders>
            <w:vAlign w:val="center"/>
          </w:tcPr>
          <w:p w14:paraId="457F17DF">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m</w:t>
            </w:r>
          </w:p>
        </w:tc>
        <w:tc>
          <w:tcPr>
            <w:tcW w:w="925" w:type="dxa"/>
            <w:tcBorders>
              <w:tl2br w:val="nil"/>
              <w:tr2bl w:val="nil"/>
            </w:tcBorders>
            <w:vAlign w:val="center"/>
          </w:tcPr>
          <w:p w14:paraId="58AF6577">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m</w:t>
            </w:r>
            <w:r>
              <w:rPr>
                <w:rFonts w:hint="default" w:ascii="Times New Roman" w:hAnsi="Times New Roman" w:eastAsia="宋体" w:cs="Times New Roman"/>
                <w:sz w:val="24"/>
                <w:szCs w:val="24"/>
                <w:u w:val="none" w:color="auto"/>
                <w:vertAlign w:val="superscript"/>
              </w:rPr>
              <w:t>2</w:t>
            </w:r>
          </w:p>
        </w:tc>
        <w:tc>
          <w:tcPr>
            <w:tcW w:w="925" w:type="dxa"/>
            <w:tcBorders>
              <w:tl2br w:val="nil"/>
              <w:tr2bl w:val="nil"/>
            </w:tcBorders>
            <w:vAlign w:val="center"/>
          </w:tcPr>
          <w:p w14:paraId="6FC1B256">
            <w:pPr>
              <w:bidi w:val="0"/>
              <w:jc w:val="center"/>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sz w:val="24"/>
                <w:szCs w:val="24"/>
                <w:u w:val="none" w:color="auto"/>
              </w:rPr>
              <w:t>kg/s</w:t>
            </w:r>
          </w:p>
        </w:tc>
      </w:tr>
      <w:tr w14:paraId="616C8F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92" w:type="dxa"/>
            <w:tcBorders>
              <w:tl2br w:val="nil"/>
              <w:tr2bl w:val="nil"/>
            </w:tcBorders>
            <w:vAlign w:val="center"/>
          </w:tcPr>
          <w:p w14:paraId="7773DCBD">
            <w:pPr>
              <w:bidi w:val="0"/>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1</w:t>
            </w:r>
          </w:p>
        </w:tc>
        <w:tc>
          <w:tcPr>
            <w:tcW w:w="1356" w:type="dxa"/>
            <w:tcBorders>
              <w:tl2br w:val="nil"/>
              <w:tr2bl w:val="nil"/>
            </w:tcBorders>
            <w:vAlign w:val="center"/>
          </w:tcPr>
          <w:p w14:paraId="41460FDC">
            <w:pPr>
              <w:bidi w:val="0"/>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NMP储罐</w:t>
            </w:r>
          </w:p>
        </w:tc>
        <w:tc>
          <w:tcPr>
            <w:tcW w:w="924" w:type="dxa"/>
            <w:tcBorders>
              <w:tl2br w:val="nil"/>
              <w:tr2bl w:val="nil"/>
            </w:tcBorders>
            <w:vAlign w:val="center"/>
          </w:tcPr>
          <w:p w14:paraId="588DC222">
            <w:pPr>
              <w:bidi w:val="0"/>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NMP</w:t>
            </w:r>
          </w:p>
        </w:tc>
        <w:tc>
          <w:tcPr>
            <w:tcW w:w="924" w:type="dxa"/>
            <w:tcBorders>
              <w:tl2br w:val="nil"/>
              <w:tr2bl w:val="nil"/>
            </w:tcBorders>
            <w:vAlign w:val="center"/>
          </w:tcPr>
          <w:p w14:paraId="7DCADEC5">
            <w:pPr>
              <w:bidi w:val="0"/>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101325</w:t>
            </w:r>
          </w:p>
        </w:tc>
        <w:tc>
          <w:tcPr>
            <w:tcW w:w="924" w:type="dxa"/>
            <w:tcBorders>
              <w:tl2br w:val="nil"/>
              <w:tr2bl w:val="nil"/>
            </w:tcBorders>
            <w:vAlign w:val="center"/>
          </w:tcPr>
          <w:p w14:paraId="179DF433">
            <w:pPr>
              <w:bidi w:val="0"/>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101325</w:t>
            </w:r>
          </w:p>
        </w:tc>
        <w:tc>
          <w:tcPr>
            <w:tcW w:w="924" w:type="dxa"/>
            <w:tcBorders>
              <w:tl2br w:val="nil"/>
              <w:tr2bl w:val="nil"/>
            </w:tcBorders>
            <w:vAlign w:val="center"/>
          </w:tcPr>
          <w:p w14:paraId="14E6BF99">
            <w:pPr>
              <w:bidi w:val="0"/>
              <w:jc w:val="center"/>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1028</w:t>
            </w:r>
          </w:p>
        </w:tc>
        <w:tc>
          <w:tcPr>
            <w:tcW w:w="924" w:type="dxa"/>
            <w:tcBorders>
              <w:tl2br w:val="nil"/>
              <w:tr2bl w:val="nil"/>
            </w:tcBorders>
            <w:vAlign w:val="center"/>
          </w:tcPr>
          <w:p w14:paraId="28925CB4">
            <w:pPr>
              <w:bidi w:val="0"/>
              <w:jc w:val="center"/>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9.8</w:t>
            </w:r>
          </w:p>
        </w:tc>
        <w:tc>
          <w:tcPr>
            <w:tcW w:w="924" w:type="dxa"/>
            <w:tcBorders>
              <w:tl2br w:val="nil"/>
              <w:tr2bl w:val="nil"/>
            </w:tcBorders>
            <w:vAlign w:val="center"/>
          </w:tcPr>
          <w:p w14:paraId="4FFB3659">
            <w:pPr>
              <w:bidi w:val="0"/>
              <w:jc w:val="center"/>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1.0</w:t>
            </w:r>
          </w:p>
        </w:tc>
        <w:tc>
          <w:tcPr>
            <w:tcW w:w="925" w:type="dxa"/>
            <w:tcBorders>
              <w:tl2br w:val="nil"/>
              <w:tr2bl w:val="nil"/>
            </w:tcBorders>
            <w:vAlign w:val="center"/>
          </w:tcPr>
          <w:p w14:paraId="5084A8A8">
            <w:pPr>
              <w:bidi w:val="0"/>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7.85×10</w:t>
            </w:r>
            <w:r>
              <w:rPr>
                <w:rFonts w:hint="default" w:ascii="Times New Roman" w:hAnsi="Times New Roman" w:eastAsia="宋体" w:cs="Times New Roman"/>
                <w:u w:val="none" w:color="auto"/>
                <w:vertAlign w:val="superscript"/>
                <w:lang w:val="en-US" w:eastAsia="zh-CN"/>
              </w:rPr>
              <w:t>-5</w:t>
            </w:r>
          </w:p>
        </w:tc>
        <w:tc>
          <w:tcPr>
            <w:tcW w:w="925" w:type="dxa"/>
            <w:tcBorders>
              <w:tl2br w:val="nil"/>
              <w:tr2bl w:val="nil"/>
            </w:tcBorders>
            <w:vAlign w:val="center"/>
          </w:tcPr>
          <w:p w14:paraId="368AADAF">
            <w:pPr>
              <w:bidi w:val="0"/>
              <w:jc w:val="center"/>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0.232</w:t>
            </w:r>
          </w:p>
        </w:tc>
      </w:tr>
      <w:tr w14:paraId="763542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92" w:type="dxa"/>
            <w:tcBorders>
              <w:tl2br w:val="nil"/>
              <w:tr2bl w:val="nil"/>
            </w:tcBorders>
            <w:vAlign w:val="center"/>
          </w:tcPr>
          <w:p w14:paraId="1ED7F5F6">
            <w:pPr>
              <w:bidi w:val="0"/>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2</w:t>
            </w:r>
          </w:p>
        </w:tc>
        <w:tc>
          <w:tcPr>
            <w:tcW w:w="1356" w:type="dxa"/>
            <w:tcBorders>
              <w:tl2br w:val="nil"/>
              <w:tr2bl w:val="nil"/>
            </w:tcBorders>
            <w:vAlign w:val="center"/>
          </w:tcPr>
          <w:p w14:paraId="5F11E8CA">
            <w:pPr>
              <w:bidi w:val="0"/>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NMP回收罐</w:t>
            </w:r>
          </w:p>
        </w:tc>
        <w:tc>
          <w:tcPr>
            <w:tcW w:w="924" w:type="dxa"/>
            <w:tcBorders>
              <w:tl2br w:val="nil"/>
              <w:tr2bl w:val="nil"/>
            </w:tcBorders>
            <w:vAlign w:val="center"/>
          </w:tcPr>
          <w:p w14:paraId="7DFF0739">
            <w:pPr>
              <w:bidi w:val="0"/>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NMP</w:t>
            </w:r>
            <w:r>
              <w:rPr>
                <w:rFonts w:hint="eastAsia" w:ascii="Times New Roman" w:hAnsi="Times New Roman" w:cs="Times New Roman"/>
                <w:u w:val="none" w:color="auto"/>
                <w:vertAlign w:val="baseline"/>
                <w:lang w:val="en-US" w:eastAsia="zh-CN"/>
              </w:rPr>
              <w:t>回收液</w:t>
            </w:r>
          </w:p>
        </w:tc>
        <w:tc>
          <w:tcPr>
            <w:tcW w:w="924" w:type="dxa"/>
            <w:tcBorders>
              <w:tl2br w:val="nil"/>
              <w:tr2bl w:val="nil"/>
            </w:tcBorders>
            <w:vAlign w:val="center"/>
          </w:tcPr>
          <w:p w14:paraId="4A99C704">
            <w:pPr>
              <w:bidi w:val="0"/>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101325</w:t>
            </w:r>
          </w:p>
        </w:tc>
        <w:tc>
          <w:tcPr>
            <w:tcW w:w="924" w:type="dxa"/>
            <w:tcBorders>
              <w:tl2br w:val="nil"/>
              <w:tr2bl w:val="nil"/>
            </w:tcBorders>
            <w:vAlign w:val="center"/>
          </w:tcPr>
          <w:p w14:paraId="42DFB010">
            <w:pPr>
              <w:bidi w:val="0"/>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101325</w:t>
            </w:r>
          </w:p>
        </w:tc>
        <w:tc>
          <w:tcPr>
            <w:tcW w:w="924" w:type="dxa"/>
            <w:tcBorders>
              <w:tl2br w:val="nil"/>
              <w:tr2bl w:val="nil"/>
            </w:tcBorders>
            <w:vAlign w:val="center"/>
          </w:tcPr>
          <w:p w14:paraId="231306E6">
            <w:pPr>
              <w:bidi w:val="0"/>
              <w:jc w:val="center"/>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1030</w:t>
            </w:r>
          </w:p>
        </w:tc>
        <w:tc>
          <w:tcPr>
            <w:tcW w:w="924" w:type="dxa"/>
            <w:tcBorders>
              <w:tl2br w:val="nil"/>
              <w:tr2bl w:val="nil"/>
            </w:tcBorders>
            <w:vAlign w:val="center"/>
          </w:tcPr>
          <w:p w14:paraId="243E9237">
            <w:pPr>
              <w:bidi w:val="0"/>
              <w:jc w:val="center"/>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9.8</w:t>
            </w:r>
          </w:p>
        </w:tc>
        <w:tc>
          <w:tcPr>
            <w:tcW w:w="924" w:type="dxa"/>
            <w:tcBorders>
              <w:tl2br w:val="nil"/>
              <w:tr2bl w:val="nil"/>
            </w:tcBorders>
            <w:vAlign w:val="center"/>
          </w:tcPr>
          <w:p w14:paraId="57D52CB7">
            <w:pPr>
              <w:bidi w:val="0"/>
              <w:jc w:val="center"/>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1.0</w:t>
            </w:r>
          </w:p>
        </w:tc>
        <w:tc>
          <w:tcPr>
            <w:tcW w:w="925" w:type="dxa"/>
            <w:tcBorders>
              <w:tl2br w:val="nil"/>
              <w:tr2bl w:val="nil"/>
            </w:tcBorders>
            <w:vAlign w:val="center"/>
          </w:tcPr>
          <w:p w14:paraId="42CB6D36">
            <w:pPr>
              <w:bidi w:val="0"/>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7.85×10</w:t>
            </w:r>
            <w:r>
              <w:rPr>
                <w:rFonts w:hint="default" w:ascii="Times New Roman" w:hAnsi="Times New Roman" w:eastAsia="宋体" w:cs="Times New Roman"/>
                <w:u w:val="none" w:color="auto"/>
                <w:vertAlign w:val="superscript"/>
                <w:lang w:val="en-US" w:eastAsia="zh-CN"/>
              </w:rPr>
              <w:t>-5</w:t>
            </w:r>
          </w:p>
        </w:tc>
        <w:tc>
          <w:tcPr>
            <w:tcW w:w="925" w:type="dxa"/>
            <w:tcBorders>
              <w:tl2br w:val="nil"/>
              <w:tr2bl w:val="nil"/>
            </w:tcBorders>
            <w:vAlign w:val="center"/>
          </w:tcPr>
          <w:p w14:paraId="231E0D02">
            <w:pPr>
              <w:bidi w:val="0"/>
              <w:jc w:val="center"/>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0.233</w:t>
            </w:r>
          </w:p>
        </w:tc>
      </w:tr>
      <w:tr w14:paraId="43F9B2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92" w:type="dxa"/>
            <w:tcBorders>
              <w:tl2br w:val="nil"/>
              <w:tr2bl w:val="nil"/>
            </w:tcBorders>
            <w:vAlign w:val="center"/>
          </w:tcPr>
          <w:p w14:paraId="33A442B7">
            <w:pPr>
              <w:bidi w:val="0"/>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3</w:t>
            </w:r>
          </w:p>
        </w:tc>
        <w:tc>
          <w:tcPr>
            <w:tcW w:w="1356" w:type="dxa"/>
            <w:tcBorders>
              <w:tl2br w:val="nil"/>
              <w:tr2bl w:val="nil"/>
            </w:tcBorders>
            <w:vAlign w:val="center"/>
          </w:tcPr>
          <w:p w14:paraId="7C502F3E">
            <w:pPr>
              <w:bidi w:val="0"/>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电解液储存桶</w:t>
            </w:r>
          </w:p>
        </w:tc>
        <w:tc>
          <w:tcPr>
            <w:tcW w:w="924" w:type="dxa"/>
            <w:tcBorders>
              <w:tl2br w:val="nil"/>
              <w:tr2bl w:val="nil"/>
            </w:tcBorders>
            <w:vAlign w:val="center"/>
          </w:tcPr>
          <w:p w14:paraId="0FEF4AAE">
            <w:pPr>
              <w:bidi w:val="0"/>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电解液</w:t>
            </w:r>
          </w:p>
        </w:tc>
        <w:tc>
          <w:tcPr>
            <w:tcW w:w="924" w:type="dxa"/>
            <w:tcBorders>
              <w:tl2br w:val="nil"/>
              <w:tr2bl w:val="nil"/>
            </w:tcBorders>
            <w:vAlign w:val="center"/>
          </w:tcPr>
          <w:p w14:paraId="1E4C3092">
            <w:pPr>
              <w:bidi w:val="0"/>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101325</w:t>
            </w:r>
          </w:p>
        </w:tc>
        <w:tc>
          <w:tcPr>
            <w:tcW w:w="924" w:type="dxa"/>
            <w:tcBorders>
              <w:tl2br w:val="nil"/>
              <w:tr2bl w:val="nil"/>
            </w:tcBorders>
            <w:vAlign w:val="center"/>
          </w:tcPr>
          <w:p w14:paraId="6AFE39E9">
            <w:pPr>
              <w:bidi w:val="0"/>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101325</w:t>
            </w:r>
          </w:p>
        </w:tc>
        <w:tc>
          <w:tcPr>
            <w:tcW w:w="924" w:type="dxa"/>
            <w:tcBorders>
              <w:tl2br w:val="nil"/>
              <w:tr2bl w:val="nil"/>
            </w:tcBorders>
            <w:vAlign w:val="center"/>
          </w:tcPr>
          <w:p w14:paraId="6F92CD7F">
            <w:pPr>
              <w:bidi w:val="0"/>
              <w:jc w:val="center"/>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1</w:t>
            </w:r>
            <w:r>
              <w:rPr>
                <w:rFonts w:hint="eastAsia" w:ascii="Times New Roman" w:hAnsi="Times New Roman" w:cs="Times New Roman"/>
                <w:u w:val="none" w:color="auto"/>
                <w:vertAlign w:val="baseline"/>
                <w:lang w:val="en-US" w:eastAsia="zh-CN"/>
              </w:rPr>
              <w:t>500</w:t>
            </w:r>
          </w:p>
        </w:tc>
        <w:tc>
          <w:tcPr>
            <w:tcW w:w="924" w:type="dxa"/>
            <w:tcBorders>
              <w:tl2br w:val="nil"/>
              <w:tr2bl w:val="nil"/>
            </w:tcBorders>
            <w:vAlign w:val="center"/>
          </w:tcPr>
          <w:p w14:paraId="0A080E40">
            <w:pPr>
              <w:bidi w:val="0"/>
              <w:jc w:val="center"/>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9.8</w:t>
            </w:r>
          </w:p>
        </w:tc>
        <w:tc>
          <w:tcPr>
            <w:tcW w:w="924" w:type="dxa"/>
            <w:tcBorders>
              <w:tl2br w:val="nil"/>
              <w:tr2bl w:val="nil"/>
            </w:tcBorders>
            <w:vAlign w:val="center"/>
          </w:tcPr>
          <w:p w14:paraId="1CEF88E2">
            <w:pPr>
              <w:bidi w:val="0"/>
              <w:jc w:val="center"/>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1.0</w:t>
            </w:r>
          </w:p>
        </w:tc>
        <w:tc>
          <w:tcPr>
            <w:tcW w:w="925" w:type="dxa"/>
            <w:tcBorders>
              <w:tl2br w:val="nil"/>
              <w:tr2bl w:val="nil"/>
            </w:tcBorders>
            <w:vAlign w:val="center"/>
          </w:tcPr>
          <w:p w14:paraId="5BD0A9C2">
            <w:pPr>
              <w:bidi w:val="0"/>
              <w:rPr>
                <w:rFonts w:hint="default" w:ascii="Times New Roman" w:hAnsi="Times New Roman" w:eastAsia="宋体" w:cs="Times New Roman"/>
                <w:u w:val="none" w:color="auto"/>
                <w:vertAlign w:val="baseline"/>
                <w:lang w:val="en-US" w:eastAsia="zh-CN"/>
              </w:rPr>
            </w:pPr>
            <w:r>
              <w:rPr>
                <w:rFonts w:hint="default" w:ascii="Times New Roman" w:hAnsi="Times New Roman" w:eastAsia="宋体" w:cs="Times New Roman"/>
                <w:u w:val="none" w:color="auto"/>
                <w:vertAlign w:val="baseline"/>
                <w:lang w:val="en-US" w:eastAsia="zh-CN"/>
              </w:rPr>
              <w:t>7.85×10</w:t>
            </w:r>
            <w:r>
              <w:rPr>
                <w:rFonts w:hint="default" w:ascii="Times New Roman" w:hAnsi="Times New Roman" w:eastAsia="宋体" w:cs="Times New Roman"/>
                <w:u w:val="none" w:color="auto"/>
                <w:vertAlign w:val="superscript"/>
                <w:lang w:val="en-US" w:eastAsia="zh-CN"/>
              </w:rPr>
              <w:t>-5</w:t>
            </w:r>
          </w:p>
        </w:tc>
        <w:tc>
          <w:tcPr>
            <w:tcW w:w="925" w:type="dxa"/>
            <w:tcBorders>
              <w:tl2br w:val="nil"/>
              <w:tr2bl w:val="nil"/>
            </w:tcBorders>
            <w:vAlign w:val="center"/>
          </w:tcPr>
          <w:p w14:paraId="1E79C076">
            <w:pPr>
              <w:bidi w:val="0"/>
              <w:jc w:val="center"/>
              <w:rPr>
                <w:rFonts w:hint="default" w:ascii="Times New Roman" w:hAnsi="Times New Roman" w:eastAsia="宋体" w:cs="Times New Roman"/>
                <w:u w:val="none" w:color="auto"/>
                <w:vertAlign w:val="baseline"/>
                <w:lang w:val="en-US" w:eastAsia="zh-CN"/>
              </w:rPr>
            </w:pPr>
            <w:r>
              <w:rPr>
                <w:rFonts w:hint="eastAsia" w:ascii="Times New Roman" w:hAnsi="Times New Roman" w:eastAsia="宋体" w:cs="Times New Roman"/>
                <w:u w:val="none" w:color="auto"/>
                <w:vertAlign w:val="baseline"/>
                <w:lang w:val="en-US" w:eastAsia="zh-CN"/>
              </w:rPr>
              <w:t>0.339</w:t>
            </w:r>
          </w:p>
        </w:tc>
      </w:tr>
    </w:tbl>
    <w:p w14:paraId="68BF7071">
      <w:pPr>
        <w:bidi w:val="0"/>
        <w:rPr>
          <w:rFonts w:hint="default" w:ascii="Times New Roman" w:hAnsi="Times New Roman" w:cs="Times New Roman"/>
          <w:u w:val="none" w:color="auto"/>
          <w:lang w:val="en-US" w:eastAsia="zh-CN"/>
        </w:rPr>
      </w:pPr>
      <w:r>
        <w:rPr>
          <w:rFonts w:hint="eastAsia"/>
          <w:u w:val="none" w:color="auto"/>
          <w:lang w:val="en-US" w:eastAsia="zh-CN"/>
        </w:rPr>
        <w:t>备注：泄漏孔径为10mm，</w:t>
      </w:r>
      <w:r>
        <w:rPr>
          <w:rFonts w:hint="eastAsia" w:ascii="Times New Roman" w:hAnsi="Times New Roman" w:cs="Times New Roman"/>
          <w:u w:val="none" w:color="auto"/>
          <w:lang w:val="en-US" w:eastAsia="zh-CN"/>
        </w:rPr>
        <w:t>Cd取最大值0.65。</w:t>
      </w:r>
    </w:p>
    <w:p w14:paraId="26EBB723">
      <w:pPr>
        <w:keepNext w:val="0"/>
        <w:keepLines w:val="0"/>
        <w:pageBreakBefore w:val="0"/>
        <w:numPr>
          <w:ilvl w:val="0"/>
          <w:numId w:val="0"/>
        </w:numPr>
        <w:kinsoku/>
        <w:wordWrap/>
        <w:overflowPunct/>
        <w:autoSpaceDE/>
        <w:autoSpaceDN/>
        <w:bidi w:val="0"/>
        <w:spacing w:line="440" w:lineRule="exact"/>
        <w:ind w:firstLine="480" w:firstLineChars="200"/>
        <w:textAlignment w:val="auto"/>
        <w:rPr>
          <w:rFonts w:hint="default" w:ascii="Times New Roman" w:hAnsi="Times New Roman" w:eastAsia="宋体" w:cs="Times New Roman"/>
          <w:sz w:val="24"/>
          <w:szCs w:val="24"/>
          <w:u w:val="none" w:color="auto"/>
          <w:lang w:val="en-US" w:eastAsia="zh-CN"/>
        </w:rPr>
      </w:pPr>
      <w:r>
        <w:rPr>
          <w:rFonts w:hint="default" w:ascii="Times New Roman" w:hAnsi="Times New Roman" w:eastAsia="宋体" w:cs="Times New Roman"/>
          <w:sz w:val="24"/>
          <w:szCs w:val="24"/>
          <w:u w:val="none" w:color="auto"/>
          <w:lang w:val="en-US" w:eastAsia="zh-CN"/>
        </w:rPr>
        <w:t>（2）泄漏液体蒸发量计算</w:t>
      </w:r>
    </w:p>
    <w:p w14:paraId="2371A697">
      <w:pPr>
        <w:keepNext w:val="0"/>
        <w:keepLines w:val="0"/>
        <w:pageBreakBefore w:val="0"/>
        <w:numPr>
          <w:ilvl w:val="0"/>
          <w:numId w:val="0"/>
        </w:numPr>
        <w:kinsoku/>
        <w:wordWrap/>
        <w:overflowPunct/>
        <w:autoSpaceDE/>
        <w:autoSpaceDN/>
        <w:bidi w:val="0"/>
        <w:spacing w:line="440" w:lineRule="exact"/>
        <w:ind w:firstLine="480" w:firstLineChars="200"/>
        <w:textAlignment w:val="auto"/>
        <w:rPr>
          <w:rFonts w:hint="default" w:ascii="Times New Roman" w:hAnsi="Times New Roman" w:eastAsia="宋体" w:cs="Times New Roman"/>
          <w:sz w:val="24"/>
          <w:szCs w:val="24"/>
          <w:u w:val="none" w:color="auto"/>
          <w:lang w:val="en-US" w:eastAsia="zh-CN"/>
        </w:rPr>
      </w:pPr>
      <w:r>
        <w:rPr>
          <w:rFonts w:hint="default" w:ascii="Times New Roman" w:hAnsi="Times New Roman" w:eastAsia="宋体" w:cs="Times New Roman"/>
          <w:sz w:val="24"/>
          <w:szCs w:val="24"/>
          <w:u w:val="none" w:color="auto"/>
          <w:lang w:val="en-US" w:eastAsia="zh-CN"/>
        </w:rPr>
        <w:t>泄漏液体的蒸发分为闪蒸蒸发、热量蒸发和质量蒸发三种，其蒸发总量为这三种蒸发之和。</w:t>
      </w:r>
    </w:p>
    <w:p w14:paraId="2CF13A5F">
      <w:pPr>
        <w:keepNext w:val="0"/>
        <w:keepLines w:val="0"/>
        <w:pageBreakBefore w:val="0"/>
        <w:numPr>
          <w:ilvl w:val="0"/>
          <w:numId w:val="0"/>
        </w:numPr>
        <w:kinsoku/>
        <w:wordWrap/>
        <w:overflowPunct/>
        <w:autoSpaceDE/>
        <w:autoSpaceDN/>
        <w:bidi w:val="0"/>
        <w:spacing w:line="440" w:lineRule="exact"/>
        <w:ind w:firstLine="480" w:firstLineChars="200"/>
        <w:textAlignment w:val="auto"/>
        <w:rPr>
          <w:rFonts w:hint="default" w:ascii="Times New Roman" w:hAnsi="Times New Roman" w:eastAsia="宋体" w:cs="Times New Roman"/>
          <w:sz w:val="24"/>
          <w:szCs w:val="24"/>
          <w:u w:val="none" w:color="auto"/>
          <w:lang w:val="en-US" w:eastAsia="zh-CN"/>
        </w:rPr>
      </w:pPr>
      <w:r>
        <w:rPr>
          <w:rFonts w:hint="default" w:ascii="Times New Roman" w:hAnsi="Times New Roman" w:eastAsia="宋体" w:cs="Times New Roman"/>
          <w:sz w:val="24"/>
          <w:szCs w:val="24"/>
          <w:u w:val="none" w:color="auto"/>
          <w:lang w:val="en-US" w:eastAsia="zh-CN"/>
        </w:rPr>
        <w:t>①闪蒸蒸发估算</w:t>
      </w:r>
    </w:p>
    <w:p w14:paraId="17082356">
      <w:pPr>
        <w:pageBreakBefore w:val="0"/>
        <w:kinsoku/>
        <w:bidi w:val="0"/>
        <w:spacing w:line="520" w:lineRule="exact"/>
        <w:ind w:left="0" w:leftChars="0" w:firstLine="480" w:firstLineChars="200"/>
        <w:rPr>
          <w:rFonts w:hint="default" w:ascii="Times New Roman" w:hAnsi="Times New Roman" w:cs="Times New Roman"/>
          <w:color w:val="auto"/>
          <w:sz w:val="24"/>
          <w:szCs w:val="22"/>
          <w:u w:val="none" w:color="auto"/>
        </w:rPr>
      </w:pPr>
      <w:r>
        <w:rPr>
          <w:rFonts w:hint="default" w:ascii="Times New Roman" w:hAnsi="Times New Roman" w:cs="Times New Roman"/>
          <w:color w:val="auto"/>
          <w:sz w:val="24"/>
          <w:szCs w:val="22"/>
          <w:u w:val="none" w:color="auto"/>
        </w:rPr>
        <w:t>闪蒸蒸发计算式为：</w:t>
      </w:r>
    </w:p>
    <w:p w14:paraId="11B15984">
      <w:pPr>
        <w:pStyle w:val="2"/>
        <w:pageBreakBefore w:val="0"/>
        <w:kinsoku/>
        <w:bidi w:val="0"/>
        <w:ind w:left="0" w:leftChars="0" w:firstLine="0"/>
        <w:jc w:val="center"/>
        <w:rPr>
          <w:rFonts w:hint="default" w:ascii="Times New Roman" w:hAnsi="Times New Roman" w:cs="Times New Roman"/>
          <w:color w:val="auto"/>
          <w:position w:val="-30"/>
          <w:sz w:val="24"/>
          <w:u w:val="none" w:color="auto"/>
        </w:rPr>
      </w:pPr>
      <w:r>
        <w:rPr>
          <w:rFonts w:hint="default" w:ascii="Times New Roman" w:hAnsi="Times New Roman" w:cs="Times New Roman"/>
          <w:color w:val="auto"/>
          <w:position w:val="-24"/>
          <w:sz w:val="24"/>
          <w:u w:val="none" w:color="auto"/>
        </w:rPr>
        <w:object>
          <v:shape id="_x0000_i1029" o:spt="75" type="#_x0000_t75" style="height:39.2pt;width:96pt;" o:ole="t" filled="f" o:preferrelative="t" stroked="f" coordsize="21600,21600">
            <v:path/>
            <v:fill on="f" focussize="0,0"/>
            <v:stroke on="f"/>
            <v:imagedata r:id="rId42" o:title=""/>
            <o:lock v:ext="edit" aspectratio="t"/>
            <w10:wrap type="none"/>
            <w10:anchorlock/>
          </v:shape>
          <o:OLEObject Type="Embed" ProgID="Equation.3" ShapeID="_x0000_i1029" DrawAspect="Content" ObjectID="_1468075729" r:id="rId41">
            <o:LockedField>false</o:LockedField>
          </o:OLEObject>
        </w:object>
      </w:r>
    </w:p>
    <w:p w14:paraId="7E6B2BC3">
      <w:pPr>
        <w:pStyle w:val="2"/>
        <w:pageBreakBefore w:val="0"/>
        <w:kinsoku/>
        <w:bidi w:val="0"/>
        <w:spacing w:after="0" w:line="520" w:lineRule="exact"/>
        <w:ind w:left="0" w:leftChars="0"/>
        <w:rPr>
          <w:rFonts w:hint="default" w:ascii="Times New Roman" w:hAnsi="Times New Roman" w:cs="Times New Roman"/>
          <w:color w:val="auto"/>
          <w:sz w:val="24"/>
          <w:szCs w:val="24"/>
          <w:u w:val="none" w:color="auto"/>
          <w:lang w:val="en-US" w:eastAsia="zh-CN"/>
        </w:rPr>
      </w:pPr>
      <w:r>
        <w:rPr>
          <w:rFonts w:hint="default" w:ascii="Times New Roman" w:hAnsi="Times New Roman" w:cs="Times New Roman"/>
          <w:color w:val="auto"/>
          <w:sz w:val="24"/>
          <w:szCs w:val="24"/>
          <w:u w:val="none" w:color="auto"/>
        </w:rPr>
        <w:t>式中：</w:t>
      </w:r>
      <w:r>
        <w:rPr>
          <w:rFonts w:hint="default" w:ascii="Times New Roman" w:hAnsi="Times New Roman" w:cs="Times New Roman"/>
          <w:color w:val="auto"/>
          <w:sz w:val="24"/>
          <w:szCs w:val="24"/>
          <w:u w:val="none" w:color="auto"/>
          <w:lang w:val="en-US" w:eastAsia="zh-CN"/>
        </w:rPr>
        <w:t>F-----泄漏液体闪蒸比例；</w:t>
      </w:r>
    </w:p>
    <w:p w14:paraId="4DB3DEE0">
      <w:pPr>
        <w:pStyle w:val="2"/>
        <w:pageBreakBefore w:val="0"/>
        <w:kinsoku/>
        <w:bidi w:val="0"/>
        <w:spacing w:after="0" w:line="520" w:lineRule="exact"/>
        <w:ind w:left="0" w:leftChars="0" w:firstLine="1200" w:firstLineChars="500"/>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Cp-----液体的定压比热，J/（Kg·K）；</w:t>
      </w:r>
    </w:p>
    <w:p w14:paraId="65A6BCD3">
      <w:pPr>
        <w:pStyle w:val="2"/>
        <w:pageBreakBefore w:val="0"/>
        <w:kinsoku/>
        <w:bidi w:val="0"/>
        <w:spacing w:after="0" w:line="520" w:lineRule="exact"/>
        <w:ind w:left="0" w:leftChars="0" w:firstLine="1200" w:firstLineChars="500"/>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T</w:t>
      </w:r>
      <w:r>
        <w:rPr>
          <w:rFonts w:hint="default" w:ascii="Times New Roman" w:hAnsi="Times New Roman" w:cs="Times New Roman"/>
          <w:color w:val="auto"/>
          <w:sz w:val="24"/>
          <w:szCs w:val="24"/>
          <w:u w:val="none" w:color="auto"/>
          <w:vertAlign w:val="subscript"/>
        </w:rPr>
        <w:t>L</w:t>
      </w:r>
      <w:r>
        <w:rPr>
          <w:rFonts w:hint="default" w:ascii="Times New Roman" w:hAnsi="Times New Roman" w:cs="Times New Roman"/>
          <w:color w:val="auto"/>
          <w:sz w:val="24"/>
          <w:szCs w:val="24"/>
          <w:u w:val="none" w:color="auto"/>
        </w:rPr>
        <w:t>-----</w:t>
      </w:r>
      <w:r>
        <w:rPr>
          <w:rFonts w:hint="default" w:ascii="Times New Roman" w:hAnsi="Times New Roman" w:cs="Times New Roman"/>
          <w:color w:val="auto"/>
          <w:sz w:val="24"/>
          <w:szCs w:val="24"/>
          <w:u w:val="none" w:color="auto"/>
          <w:lang w:eastAsia="zh-CN"/>
        </w:rPr>
        <w:t>储存温度</w:t>
      </w:r>
      <w:r>
        <w:rPr>
          <w:rFonts w:hint="default" w:ascii="Times New Roman" w:hAnsi="Times New Roman" w:cs="Times New Roman"/>
          <w:color w:val="auto"/>
          <w:sz w:val="24"/>
          <w:szCs w:val="24"/>
          <w:u w:val="none" w:color="auto"/>
        </w:rPr>
        <w:t>温度，K；</w:t>
      </w:r>
    </w:p>
    <w:p w14:paraId="225D9DCF">
      <w:pPr>
        <w:pStyle w:val="2"/>
        <w:pageBreakBefore w:val="0"/>
        <w:kinsoku/>
        <w:bidi w:val="0"/>
        <w:spacing w:after="0" w:line="520" w:lineRule="exact"/>
        <w:ind w:left="0" w:leftChars="0" w:firstLine="1200" w:firstLineChars="500"/>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T</w:t>
      </w:r>
      <w:r>
        <w:rPr>
          <w:rFonts w:hint="default" w:ascii="Times New Roman" w:hAnsi="Times New Roman" w:cs="Times New Roman"/>
          <w:color w:val="auto"/>
          <w:sz w:val="24"/>
          <w:szCs w:val="24"/>
          <w:u w:val="none" w:color="auto"/>
          <w:vertAlign w:val="subscript"/>
        </w:rPr>
        <w:t>b</w:t>
      </w:r>
      <w:r>
        <w:rPr>
          <w:rFonts w:hint="default" w:ascii="Times New Roman" w:hAnsi="Times New Roman" w:cs="Times New Roman"/>
          <w:color w:val="auto"/>
          <w:sz w:val="24"/>
          <w:szCs w:val="24"/>
          <w:u w:val="none" w:color="auto"/>
        </w:rPr>
        <w:t>-----</w:t>
      </w:r>
      <w:r>
        <w:rPr>
          <w:rFonts w:hint="default" w:ascii="Times New Roman" w:hAnsi="Times New Roman" w:cs="Times New Roman"/>
          <w:color w:val="auto"/>
          <w:sz w:val="24"/>
          <w:szCs w:val="24"/>
          <w:u w:val="none" w:color="auto"/>
          <w:lang w:eastAsia="zh-CN"/>
        </w:rPr>
        <w:t>泄漏</w:t>
      </w:r>
      <w:r>
        <w:rPr>
          <w:rFonts w:hint="default" w:ascii="Times New Roman" w:hAnsi="Times New Roman" w:cs="Times New Roman"/>
          <w:color w:val="auto"/>
          <w:sz w:val="24"/>
          <w:szCs w:val="24"/>
          <w:u w:val="none" w:color="auto"/>
        </w:rPr>
        <w:t>液体沸点，K；</w:t>
      </w:r>
    </w:p>
    <w:p w14:paraId="1E9EC6B9">
      <w:pPr>
        <w:pStyle w:val="2"/>
        <w:pageBreakBefore w:val="0"/>
        <w:kinsoku/>
        <w:bidi w:val="0"/>
        <w:spacing w:after="0" w:line="520" w:lineRule="exact"/>
        <w:ind w:left="0" w:leftChars="0" w:firstLine="1200" w:firstLineChars="500"/>
        <w:jc w:val="both"/>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H----液体的</w:t>
      </w:r>
      <w:r>
        <w:rPr>
          <w:rFonts w:hint="default" w:ascii="Times New Roman" w:hAnsi="Times New Roman" w:cs="Times New Roman"/>
          <w:color w:val="auto"/>
          <w:sz w:val="24"/>
          <w:szCs w:val="24"/>
          <w:u w:val="none" w:color="auto"/>
          <w:lang w:eastAsia="zh-CN"/>
        </w:rPr>
        <w:t>蒸发</w:t>
      </w:r>
      <w:r>
        <w:rPr>
          <w:rFonts w:hint="default" w:ascii="Times New Roman" w:hAnsi="Times New Roman" w:cs="Times New Roman"/>
          <w:color w:val="auto"/>
          <w:sz w:val="24"/>
          <w:szCs w:val="24"/>
          <w:u w:val="none" w:color="auto"/>
        </w:rPr>
        <w:t>热，J/kg。</w:t>
      </w:r>
    </w:p>
    <w:p w14:paraId="00553B72">
      <w:pPr>
        <w:keepNext w:val="0"/>
        <w:keepLines w:val="0"/>
        <w:pageBreakBefore w:val="0"/>
        <w:numPr>
          <w:ilvl w:val="0"/>
          <w:numId w:val="0"/>
        </w:numPr>
        <w:kinsoku/>
        <w:wordWrap/>
        <w:overflowPunct/>
        <w:autoSpaceDE/>
        <w:autoSpaceDN/>
        <w:bidi w:val="0"/>
        <w:spacing w:line="440" w:lineRule="exact"/>
        <w:ind w:firstLine="480" w:firstLineChars="200"/>
        <w:textAlignment w:val="auto"/>
        <w:rPr>
          <w:rFonts w:hint="default" w:ascii="Times New Roman" w:hAnsi="Times New Roman" w:eastAsia="宋体" w:cs="Times New Roman"/>
          <w:sz w:val="24"/>
          <w:szCs w:val="24"/>
          <w:u w:val="none" w:color="auto"/>
          <w:lang w:val="en-US" w:eastAsia="zh-CN"/>
        </w:rPr>
      </w:pPr>
      <w:r>
        <w:rPr>
          <w:rFonts w:hint="default" w:ascii="Times New Roman" w:hAnsi="Times New Roman" w:eastAsia="宋体" w:cs="Times New Roman"/>
          <w:sz w:val="24"/>
          <w:szCs w:val="24"/>
          <w:u w:val="none" w:color="auto"/>
          <w:lang w:val="en-US" w:eastAsia="zh-CN"/>
        </w:rPr>
        <w:t>②热量蒸发估算</w:t>
      </w:r>
    </w:p>
    <w:p w14:paraId="4AF58FB5">
      <w:pPr>
        <w:keepNext w:val="0"/>
        <w:keepLines w:val="0"/>
        <w:pageBreakBefore w:val="0"/>
        <w:numPr>
          <w:ilvl w:val="0"/>
          <w:numId w:val="0"/>
        </w:numPr>
        <w:kinsoku/>
        <w:wordWrap/>
        <w:overflowPunct/>
        <w:autoSpaceDE/>
        <w:autoSpaceDN/>
        <w:bidi w:val="0"/>
        <w:spacing w:line="440" w:lineRule="exact"/>
        <w:ind w:firstLine="480" w:firstLineChars="200"/>
        <w:textAlignment w:val="auto"/>
        <w:rPr>
          <w:rFonts w:hint="default" w:ascii="Times New Roman" w:hAnsi="Times New Roman" w:eastAsia="宋体" w:cs="Times New Roman"/>
          <w:sz w:val="24"/>
          <w:szCs w:val="24"/>
          <w:u w:val="none" w:color="auto"/>
          <w:lang w:val="en-US" w:eastAsia="zh-CN"/>
        </w:rPr>
      </w:pPr>
      <w:r>
        <w:rPr>
          <w:rFonts w:hint="default" w:ascii="Times New Roman" w:hAnsi="Times New Roman" w:eastAsia="宋体" w:cs="Times New Roman"/>
          <w:sz w:val="24"/>
          <w:szCs w:val="24"/>
          <w:u w:val="none" w:color="auto"/>
          <w:lang w:val="en-US" w:eastAsia="zh-CN"/>
        </w:rPr>
        <w:t>当液体闪蒸不完全，有一部分液体在地面形成液池，并吸收地面热量而气化，其蒸发速率按下式计算，并应考虑对流传热系数。</w:t>
      </w:r>
    </w:p>
    <w:p w14:paraId="1EF8B5DF">
      <w:pPr>
        <w:pageBreakBefore w:val="0"/>
        <w:kinsoku/>
        <w:bidi w:val="0"/>
        <w:spacing w:line="520" w:lineRule="exact"/>
        <w:ind w:left="0" w:leftChars="0" w:firstLine="720" w:firstLineChars="300"/>
        <w:rPr>
          <w:rFonts w:hint="default" w:ascii="Times New Roman" w:hAnsi="Times New Roman" w:cs="Times New Roman"/>
          <w:color w:val="auto"/>
          <w:sz w:val="24"/>
          <w:szCs w:val="22"/>
          <w:u w:val="none" w:color="auto"/>
        </w:rPr>
      </w:pPr>
      <w:r>
        <w:rPr>
          <w:rFonts w:hint="default" w:ascii="Times New Roman" w:hAnsi="Times New Roman" w:cs="Times New Roman"/>
          <w:color w:val="auto"/>
          <w:sz w:val="24"/>
          <w:szCs w:val="22"/>
          <w:u w:val="none" w:color="auto"/>
        </w:rPr>
        <w:t>热量蒸发计算式为：</w:t>
      </w:r>
    </w:p>
    <w:p w14:paraId="038F3A25">
      <w:pPr>
        <w:pStyle w:val="2"/>
        <w:pageBreakBefore w:val="0"/>
        <w:kinsoku/>
        <w:bidi w:val="0"/>
        <w:ind w:left="0" w:leftChars="0"/>
        <w:jc w:val="center"/>
        <w:rPr>
          <w:rFonts w:hint="default" w:ascii="Times New Roman" w:hAnsi="Times New Roman" w:cs="Times New Roman"/>
          <w:color w:val="auto"/>
          <w:u w:val="none" w:color="auto"/>
        </w:rPr>
      </w:pPr>
      <w:r>
        <w:rPr>
          <w:rFonts w:hint="default" w:ascii="Times New Roman" w:hAnsi="Times New Roman" w:cs="Times New Roman"/>
          <w:color w:val="auto"/>
          <w:position w:val="-30"/>
          <w:sz w:val="24"/>
          <w:u w:val="none" w:color="auto"/>
        </w:rPr>
        <w:object>
          <v:shape id="_x0000_i1030" o:spt="75" type="#_x0000_t75" style="height:44.25pt;width:114.85pt;" o:ole="t" filled="f" o:preferrelative="t" stroked="f" coordsize="21600,21600">
            <v:path/>
            <v:fill on="f" focussize="0,0"/>
            <v:stroke on="f"/>
            <v:imagedata r:id="rId44" o:title=""/>
            <o:lock v:ext="edit" aspectratio="t"/>
            <w10:wrap type="none"/>
            <w10:anchorlock/>
          </v:shape>
          <o:OLEObject Type="Embed" ProgID="Equation.3" ShapeID="_x0000_i1030" DrawAspect="Content" ObjectID="_1468075730" r:id="rId43">
            <o:LockedField>false</o:LockedField>
          </o:OLEObject>
        </w:object>
      </w:r>
    </w:p>
    <w:p w14:paraId="34D24217">
      <w:pPr>
        <w:pStyle w:val="2"/>
        <w:pageBreakBefore w:val="0"/>
        <w:kinsoku/>
        <w:bidi w:val="0"/>
        <w:ind w:left="0" w:leftChars="0"/>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式中：Q</w:t>
      </w:r>
      <w:r>
        <w:rPr>
          <w:rFonts w:hint="default" w:ascii="Times New Roman" w:hAnsi="Times New Roman" w:cs="Times New Roman"/>
          <w:color w:val="auto"/>
          <w:sz w:val="24"/>
          <w:szCs w:val="24"/>
          <w:u w:val="none" w:color="auto"/>
          <w:vertAlign w:val="subscript"/>
        </w:rPr>
        <w:t>2</w:t>
      </w:r>
      <w:r>
        <w:rPr>
          <w:rFonts w:hint="default" w:ascii="Times New Roman" w:hAnsi="Times New Roman" w:cs="Times New Roman"/>
          <w:color w:val="auto"/>
          <w:sz w:val="24"/>
          <w:szCs w:val="24"/>
          <w:u w:val="none" w:color="auto"/>
        </w:rPr>
        <w:t>-----热量蒸发速度，kg/s；</w:t>
      </w:r>
    </w:p>
    <w:p w14:paraId="12C99286">
      <w:pPr>
        <w:pStyle w:val="2"/>
        <w:pageBreakBefore w:val="0"/>
        <w:kinsoku/>
        <w:bidi w:val="0"/>
        <w:ind w:left="0" w:leftChars="0" w:firstLine="1200" w:firstLineChars="500"/>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T</w:t>
      </w:r>
      <w:r>
        <w:rPr>
          <w:rFonts w:hint="default" w:ascii="Times New Roman" w:hAnsi="Times New Roman" w:cs="Times New Roman"/>
          <w:color w:val="auto"/>
          <w:sz w:val="24"/>
          <w:szCs w:val="24"/>
          <w:u w:val="none" w:color="auto"/>
          <w:vertAlign w:val="subscript"/>
        </w:rPr>
        <w:t>0</w:t>
      </w:r>
      <w:r>
        <w:rPr>
          <w:rFonts w:hint="default" w:ascii="Times New Roman" w:hAnsi="Times New Roman" w:cs="Times New Roman"/>
          <w:color w:val="auto"/>
          <w:sz w:val="24"/>
          <w:szCs w:val="24"/>
          <w:u w:val="none" w:color="auto"/>
        </w:rPr>
        <w:t>-----环境温度，K；</w:t>
      </w:r>
    </w:p>
    <w:p w14:paraId="7FC061F4">
      <w:pPr>
        <w:pageBreakBefore w:val="0"/>
        <w:kinsoku/>
        <w:bidi w:val="0"/>
        <w:snapToGrid w:val="0"/>
        <w:spacing w:line="360" w:lineRule="auto"/>
        <w:ind w:left="0" w:leftChars="0" w:firstLine="1440" w:firstLineChars="600"/>
        <w:jc w:val="left"/>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Tb-----沸点温度，K；</w:t>
      </w:r>
    </w:p>
    <w:p w14:paraId="3FA2667F">
      <w:pPr>
        <w:pageBreakBefore w:val="0"/>
        <w:kinsoku/>
        <w:bidi w:val="0"/>
        <w:snapToGrid w:val="0"/>
        <w:spacing w:line="360" w:lineRule="auto"/>
        <w:ind w:left="0" w:leftChars="0" w:firstLine="1440" w:firstLineChars="600"/>
        <w:jc w:val="left"/>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S---液池面积，m</w:t>
      </w:r>
      <w:r>
        <w:rPr>
          <w:rFonts w:hint="default" w:ascii="Times New Roman" w:hAnsi="Times New Roman" w:cs="Times New Roman"/>
          <w:color w:val="auto"/>
          <w:sz w:val="24"/>
          <w:szCs w:val="24"/>
          <w:u w:val="none" w:color="auto"/>
          <w:vertAlign w:val="superscript"/>
        </w:rPr>
        <w:t>2</w:t>
      </w:r>
      <w:r>
        <w:rPr>
          <w:rFonts w:hint="default" w:ascii="Times New Roman" w:hAnsi="Times New Roman" w:cs="Times New Roman"/>
          <w:color w:val="auto"/>
          <w:sz w:val="24"/>
          <w:szCs w:val="24"/>
          <w:u w:val="none" w:color="auto"/>
        </w:rPr>
        <w:t>；</w:t>
      </w:r>
    </w:p>
    <w:p w14:paraId="39CEAE18">
      <w:pPr>
        <w:pageBreakBefore w:val="0"/>
        <w:kinsoku/>
        <w:bidi w:val="0"/>
        <w:snapToGrid w:val="0"/>
        <w:spacing w:line="360" w:lineRule="auto"/>
        <w:ind w:left="0" w:leftChars="0" w:firstLine="1440" w:firstLineChars="600"/>
        <w:jc w:val="left"/>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H----液体气化热，J/kg；</w:t>
      </w:r>
    </w:p>
    <w:p w14:paraId="12A14EA5">
      <w:pPr>
        <w:pageBreakBefore w:val="0"/>
        <w:kinsoku/>
        <w:bidi w:val="0"/>
        <w:snapToGrid w:val="0"/>
        <w:spacing w:line="360" w:lineRule="auto"/>
        <w:ind w:left="0" w:leftChars="0" w:firstLine="1440" w:firstLineChars="600"/>
        <w:jc w:val="left"/>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ʎ-----表面热导系数，W/（m·K）；</w:t>
      </w:r>
    </w:p>
    <w:p w14:paraId="40AC5BBB">
      <w:pPr>
        <w:keepNext w:val="0"/>
        <w:keepLines w:val="0"/>
        <w:pageBreakBefore w:val="0"/>
        <w:widowControl w:val="0"/>
        <w:kinsoku/>
        <w:wordWrap/>
        <w:overflowPunct/>
        <w:autoSpaceDE/>
        <w:autoSpaceDN/>
        <w:bidi w:val="0"/>
        <w:adjustRightInd/>
        <w:snapToGrid w:val="0"/>
        <w:spacing w:line="520" w:lineRule="exact"/>
        <w:ind w:left="0" w:leftChars="0" w:firstLine="1440" w:firstLineChars="600"/>
        <w:jc w:val="left"/>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α-----表面热扩散系</w:t>
      </w:r>
      <w:r>
        <w:rPr>
          <w:rFonts w:hint="default" w:ascii="Times New Roman" w:hAnsi="Times New Roman" w:eastAsia="宋体" w:cs="Times New Roman"/>
          <w:u w:val="none" w:color="auto"/>
          <w:vertAlign w:val="baseline"/>
          <w:lang w:val="en-US" w:eastAsia="zh-CN"/>
        </w:rPr>
        <w:t>数</w:t>
      </w:r>
      <w:r>
        <w:rPr>
          <w:rFonts w:hint="default" w:ascii="Times New Roman" w:hAnsi="Times New Roman" w:eastAsia="宋体" w:cs="Times New Roman"/>
          <w:sz w:val="24"/>
          <w:szCs w:val="24"/>
          <w:u w:val="none" w:color="auto"/>
          <w:vertAlign w:val="baseline"/>
          <w:lang w:val="en-US" w:eastAsia="zh-CN"/>
        </w:rPr>
        <w:t>，m</w:t>
      </w:r>
      <w:r>
        <w:rPr>
          <w:rFonts w:hint="default" w:ascii="Times New Roman" w:hAnsi="Times New Roman" w:eastAsia="宋体" w:cs="Times New Roman"/>
          <w:sz w:val="24"/>
          <w:szCs w:val="24"/>
          <w:u w:val="none" w:color="auto"/>
          <w:vertAlign w:val="superscript"/>
          <w:lang w:val="en-US" w:eastAsia="zh-CN"/>
        </w:rPr>
        <w:t>2</w:t>
      </w:r>
      <w:r>
        <w:rPr>
          <w:rFonts w:hint="default" w:ascii="Times New Roman" w:hAnsi="Times New Roman" w:eastAsia="宋体" w:cs="Times New Roman"/>
          <w:sz w:val="24"/>
          <w:szCs w:val="24"/>
          <w:u w:val="none" w:color="auto"/>
          <w:vertAlign w:val="baseline"/>
          <w:lang w:val="en-US" w:eastAsia="zh-CN"/>
        </w:rPr>
        <w:t>/s；（取值见表</w:t>
      </w:r>
      <w:r>
        <w:rPr>
          <w:rFonts w:hint="eastAsia" w:ascii="Times New Roman" w:hAnsi="Times New Roman" w:cs="Times New Roman"/>
          <w:sz w:val="24"/>
          <w:szCs w:val="24"/>
          <w:u w:val="none" w:color="auto"/>
          <w:vertAlign w:val="baseline"/>
          <w:lang w:val="en-US" w:eastAsia="zh-CN"/>
        </w:rPr>
        <w:t>26</w:t>
      </w:r>
      <w:r>
        <w:rPr>
          <w:rFonts w:hint="default" w:ascii="Times New Roman" w:hAnsi="Times New Roman" w:eastAsia="宋体" w:cs="Times New Roman"/>
          <w:sz w:val="24"/>
          <w:szCs w:val="24"/>
          <w:u w:val="none" w:color="auto"/>
          <w:vertAlign w:val="baseline"/>
          <w:lang w:val="en-US" w:eastAsia="zh-CN"/>
        </w:rPr>
        <w:t>），m</w:t>
      </w:r>
      <w:r>
        <w:rPr>
          <w:rFonts w:hint="default" w:ascii="Times New Roman" w:hAnsi="Times New Roman" w:eastAsia="宋体" w:cs="Times New Roman"/>
          <w:sz w:val="24"/>
          <w:szCs w:val="24"/>
          <w:u w:val="none" w:color="auto"/>
          <w:vertAlign w:val="superscript"/>
          <w:lang w:val="en-US" w:eastAsia="zh-CN"/>
        </w:rPr>
        <w:t>2</w:t>
      </w:r>
      <w:r>
        <w:rPr>
          <w:rFonts w:hint="default" w:ascii="Times New Roman" w:hAnsi="Times New Roman" w:eastAsia="宋体" w:cs="Times New Roman"/>
          <w:sz w:val="24"/>
          <w:szCs w:val="24"/>
          <w:u w:val="none" w:color="auto"/>
          <w:vertAlign w:val="baseline"/>
          <w:lang w:val="en-US" w:eastAsia="zh-CN"/>
        </w:rPr>
        <w:t>/s；</w:t>
      </w:r>
    </w:p>
    <w:p w14:paraId="0048DD47">
      <w:pPr>
        <w:keepNext w:val="0"/>
        <w:keepLines w:val="0"/>
        <w:pageBreakBefore w:val="0"/>
        <w:widowControl w:val="0"/>
        <w:kinsoku/>
        <w:wordWrap/>
        <w:overflowPunct/>
        <w:autoSpaceDE/>
        <w:autoSpaceDN/>
        <w:bidi w:val="0"/>
        <w:adjustRightInd/>
        <w:snapToGrid w:val="0"/>
        <w:spacing w:line="520" w:lineRule="exact"/>
        <w:ind w:left="0" w:leftChars="0" w:firstLine="1440" w:firstLineChars="600"/>
        <w:jc w:val="left"/>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t----蒸发时间，S。</w:t>
      </w:r>
    </w:p>
    <w:p w14:paraId="419467F3">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某些地面的热传递性质一览表</w:t>
      </w:r>
    </w:p>
    <w:p w14:paraId="6B32B477">
      <w:pPr>
        <w:bidi w:val="0"/>
        <w:rPr>
          <w:rFonts w:hint="default"/>
          <w:u w:val="none" w:color="auto"/>
          <w:lang w:val="en-US" w:eastAsia="zh-CN"/>
        </w:rPr>
      </w:pPr>
      <w:r>
        <w:rPr>
          <w:u w:val="none" w:color="auto"/>
        </w:rPr>
        <w:drawing>
          <wp:inline distT="0" distB="0" distL="114300" distR="114300">
            <wp:extent cx="5730875" cy="1602105"/>
            <wp:effectExtent l="0" t="0" r="3175" b="17145"/>
            <wp:docPr id="9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8"/>
                    <pic:cNvPicPr>
                      <a:picLocks noChangeAspect="1"/>
                    </pic:cNvPicPr>
                  </pic:nvPicPr>
                  <pic:blipFill>
                    <a:blip r:embed="rId45"/>
                    <a:stretch>
                      <a:fillRect/>
                    </a:stretch>
                  </pic:blipFill>
                  <pic:spPr>
                    <a:xfrm>
                      <a:off x="0" y="0"/>
                      <a:ext cx="5730875" cy="1602105"/>
                    </a:xfrm>
                    <a:prstGeom prst="rect">
                      <a:avLst/>
                    </a:prstGeom>
                    <a:noFill/>
                    <a:ln>
                      <a:noFill/>
                    </a:ln>
                  </pic:spPr>
                </pic:pic>
              </a:graphicData>
            </a:graphic>
          </wp:inline>
        </w:drawing>
      </w:r>
    </w:p>
    <w:p w14:paraId="12EC893B">
      <w:pPr>
        <w:keepNext w:val="0"/>
        <w:keepLines w:val="0"/>
        <w:pageBreakBefore w:val="0"/>
        <w:numPr>
          <w:ilvl w:val="0"/>
          <w:numId w:val="0"/>
        </w:numPr>
        <w:kinsoku/>
        <w:wordWrap/>
        <w:overflowPunct/>
        <w:autoSpaceDE/>
        <w:autoSpaceDN/>
        <w:bidi w:val="0"/>
        <w:spacing w:line="440" w:lineRule="exact"/>
        <w:ind w:firstLine="480" w:firstLineChars="200"/>
        <w:textAlignment w:val="auto"/>
        <w:rPr>
          <w:rFonts w:hint="default" w:ascii="Times New Roman" w:hAnsi="Times New Roman" w:eastAsia="宋体" w:cs="Times New Roman"/>
          <w:sz w:val="24"/>
          <w:szCs w:val="24"/>
          <w:u w:val="none" w:color="auto"/>
          <w:lang w:val="en-US" w:eastAsia="zh-CN"/>
        </w:rPr>
      </w:pPr>
      <w:r>
        <w:rPr>
          <w:rFonts w:hint="default" w:ascii="Times New Roman" w:hAnsi="Times New Roman" w:eastAsia="宋体" w:cs="Times New Roman"/>
          <w:sz w:val="24"/>
          <w:szCs w:val="24"/>
          <w:u w:val="none" w:color="auto"/>
          <w:lang w:val="en-US" w:eastAsia="zh-CN"/>
        </w:rPr>
        <w:t>③质量蒸发估算</w:t>
      </w:r>
    </w:p>
    <w:p w14:paraId="399FD105">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480" w:firstLineChars="200"/>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质量蒸发速度计算式为：</w:t>
      </w:r>
    </w:p>
    <w:p w14:paraId="7328B37E">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position w:val="-14"/>
          <w:sz w:val="24"/>
          <w:highlight w:val="none"/>
          <w:u w:val="none" w:color="auto"/>
        </w:rPr>
        <w:object>
          <v:shape id="_x0000_i1031" o:spt="75" type="#_x0000_t75" style="height:25.85pt;width:264.1pt;" o:ole="t" filled="f" o:preferrelative="t" stroked="f" coordsize="21600,21600">
            <v:path/>
            <v:fill on="f" focussize="0,0"/>
            <v:stroke on="f"/>
            <v:imagedata r:id="rId47" o:title=""/>
            <o:lock v:ext="edit" aspectratio="t"/>
            <w10:wrap type="none"/>
            <w10:anchorlock/>
          </v:shape>
          <o:OLEObject Type="Embed" ProgID="Equation.3" ShapeID="_x0000_i1031" DrawAspect="Content" ObjectID="_1468075731" r:id="rId46">
            <o:LockedField>false</o:LockedField>
          </o:OLEObject>
        </w:object>
      </w:r>
    </w:p>
    <w:p w14:paraId="09D21D11">
      <w:pPr>
        <w:pStyle w:val="2"/>
        <w:keepNext w:val="0"/>
        <w:keepLines w:val="0"/>
        <w:pageBreakBefore w:val="0"/>
        <w:widowControl w:val="0"/>
        <w:kinsoku/>
        <w:wordWrap/>
        <w:overflowPunct/>
        <w:autoSpaceDE/>
        <w:autoSpaceDN/>
        <w:bidi w:val="0"/>
        <w:adjustRightInd/>
        <w:spacing w:line="360" w:lineRule="auto"/>
        <w:ind w:left="0" w:leftChars="0" w:firstLine="960" w:firstLineChars="400"/>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式中：Q</w:t>
      </w:r>
      <w:r>
        <w:rPr>
          <w:rFonts w:hint="default" w:ascii="Times New Roman" w:hAnsi="Times New Roman" w:cs="Times New Roman"/>
          <w:color w:val="auto"/>
          <w:sz w:val="24"/>
          <w:szCs w:val="24"/>
          <w:highlight w:val="none"/>
          <w:u w:val="none" w:color="auto"/>
          <w:vertAlign w:val="subscript"/>
          <w:lang w:val="en-US" w:eastAsia="zh-CN"/>
        </w:rPr>
        <w:t>3</w:t>
      </w:r>
      <w:r>
        <w:rPr>
          <w:rFonts w:hint="default" w:ascii="Times New Roman" w:hAnsi="Times New Roman" w:cs="Times New Roman"/>
          <w:color w:val="auto"/>
          <w:sz w:val="24"/>
          <w:szCs w:val="24"/>
          <w:highlight w:val="none"/>
          <w:u w:val="none" w:color="auto"/>
          <w:lang w:val="en-US" w:eastAsia="zh-CN"/>
        </w:rPr>
        <w:t>-----质量蒸发速度，kg/s；</w:t>
      </w:r>
    </w:p>
    <w:p w14:paraId="10B69363">
      <w:pPr>
        <w:bidi w:val="0"/>
        <w:ind w:firstLine="1680" w:firstLineChars="700"/>
        <w:rPr>
          <w:rFonts w:hint="default"/>
          <w:u w:val="none" w:color="auto"/>
          <w:lang w:val="en-US" w:eastAsia="zh-CN"/>
        </w:rPr>
      </w:pPr>
      <w:r>
        <w:rPr>
          <w:rFonts w:hint="default" w:ascii="Times New Roman" w:hAnsi="Times New Roman" w:cs="Times New Roman"/>
          <w:color w:val="auto"/>
          <w:sz w:val="24"/>
          <w:szCs w:val="24"/>
          <w:highlight w:val="none"/>
          <w:u w:val="none" w:color="auto"/>
          <w:lang w:val="en-US" w:eastAsia="zh-CN"/>
        </w:rPr>
        <w:t>a,n-----大气稳定度系数</w:t>
      </w:r>
      <w:r>
        <w:rPr>
          <w:rFonts w:hint="eastAsia" w:ascii="Times New Roman" w:hAnsi="Times New Roman" w:cs="Times New Roman"/>
          <w:color w:val="auto"/>
          <w:sz w:val="24"/>
          <w:szCs w:val="24"/>
          <w:highlight w:val="none"/>
          <w:u w:val="none" w:color="auto"/>
          <w:lang w:val="en-US" w:eastAsia="zh-CN"/>
        </w:rPr>
        <w:t>，取5.285*10</w:t>
      </w:r>
      <w:r>
        <w:rPr>
          <w:rFonts w:hint="eastAsia" w:ascii="Times New Roman" w:hAnsi="Times New Roman" w:cs="Times New Roman"/>
          <w:color w:val="auto"/>
          <w:sz w:val="24"/>
          <w:szCs w:val="24"/>
          <w:highlight w:val="none"/>
          <w:u w:val="none" w:color="auto"/>
          <w:vertAlign w:val="superscript"/>
          <w:lang w:val="en-US" w:eastAsia="zh-CN"/>
        </w:rPr>
        <w:t>-3</w:t>
      </w:r>
      <w:r>
        <w:rPr>
          <w:rFonts w:hint="eastAsia" w:ascii="Times New Roman" w:hAnsi="Times New Roman" w:cs="Times New Roman"/>
          <w:color w:val="auto"/>
          <w:sz w:val="24"/>
          <w:szCs w:val="24"/>
          <w:highlight w:val="none"/>
          <w:u w:val="none" w:color="auto"/>
          <w:lang w:val="en-US" w:eastAsia="zh-CN"/>
        </w:rPr>
        <w:t>；</w:t>
      </w:r>
    </w:p>
    <w:p w14:paraId="660E722A">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p-----液体表面蒸汽压，Pa；</w:t>
      </w:r>
    </w:p>
    <w:p w14:paraId="0FB45F5E">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R-----气体常数，</w:t>
      </w:r>
      <w:r>
        <w:rPr>
          <w:rFonts w:hint="default" w:ascii="Times New Roman" w:hAnsi="Times New Roman" w:cs="Times New Roman"/>
          <w:color w:val="000000"/>
          <w:sz w:val="24"/>
          <w:szCs w:val="24"/>
          <w:u w:val="none" w:color="auto"/>
        </w:rPr>
        <w:t>8.314</w:t>
      </w:r>
      <w:r>
        <w:rPr>
          <w:rFonts w:hint="default" w:ascii="Times New Roman" w:hAnsi="Times New Roman" w:cs="Times New Roman"/>
          <w:color w:val="auto"/>
          <w:sz w:val="24"/>
          <w:szCs w:val="24"/>
          <w:highlight w:val="none"/>
          <w:u w:val="none" w:color="auto"/>
          <w:lang w:val="en-US" w:eastAsia="zh-CN"/>
        </w:rPr>
        <w:t>J/mol·K；</w:t>
      </w:r>
    </w:p>
    <w:p w14:paraId="1194696F">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T</w:t>
      </w:r>
      <w:r>
        <w:rPr>
          <w:rFonts w:hint="default" w:ascii="Times New Roman" w:hAnsi="Times New Roman" w:cs="Times New Roman"/>
          <w:color w:val="auto"/>
          <w:sz w:val="24"/>
          <w:szCs w:val="24"/>
          <w:highlight w:val="none"/>
          <w:u w:val="none" w:color="auto"/>
          <w:vertAlign w:val="subscript"/>
          <w:lang w:val="en-US" w:eastAsia="zh-CN"/>
        </w:rPr>
        <w:t>0</w:t>
      </w:r>
      <w:r>
        <w:rPr>
          <w:rFonts w:hint="default" w:ascii="Times New Roman" w:hAnsi="Times New Roman" w:cs="Times New Roman"/>
          <w:color w:val="auto"/>
          <w:sz w:val="24"/>
          <w:szCs w:val="24"/>
          <w:highlight w:val="none"/>
          <w:u w:val="none" w:color="auto"/>
          <w:lang w:val="en-US" w:eastAsia="zh-CN"/>
        </w:rPr>
        <w:t>----环境温度，K；</w:t>
      </w:r>
    </w:p>
    <w:p w14:paraId="02FCFADF">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u-----风速，m/s；取1.5m/s。</w:t>
      </w:r>
    </w:p>
    <w:p w14:paraId="2CA392ED">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both"/>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r-----液池半径，m。液池半径r取决于泄漏点附近的地域构型、泄漏的连续性或瞬时性。有围堰时，以围堰最大等效半径为液池半径；无围堰时，设定液体瞬间扩散到最小厚度时，推算液池等效。</w:t>
      </w:r>
    </w:p>
    <w:p w14:paraId="7CFD4629">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液池蒸发模式参数一览表</w:t>
      </w:r>
    </w:p>
    <w:p w14:paraId="0AA12D4C">
      <w:pPr>
        <w:bidi w:val="0"/>
        <w:rPr>
          <w:rFonts w:hint="default"/>
          <w:u w:val="none" w:color="auto"/>
          <w:lang w:val="en-US" w:eastAsia="zh-CN"/>
        </w:rPr>
      </w:pPr>
      <w:r>
        <w:rPr>
          <w:u w:val="none" w:color="auto"/>
        </w:rPr>
        <w:drawing>
          <wp:inline distT="0" distB="0" distL="114300" distR="114300">
            <wp:extent cx="5728970" cy="1099820"/>
            <wp:effectExtent l="0" t="0" r="5080" b="5080"/>
            <wp:docPr id="9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0"/>
                    <pic:cNvPicPr>
                      <a:picLocks noChangeAspect="1"/>
                    </pic:cNvPicPr>
                  </pic:nvPicPr>
                  <pic:blipFill>
                    <a:blip r:embed="rId48"/>
                    <a:stretch>
                      <a:fillRect/>
                    </a:stretch>
                  </pic:blipFill>
                  <pic:spPr>
                    <a:xfrm>
                      <a:off x="0" y="0"/>
                      <a:ext cx="5728970" cy="1099820"/>
                    </a:xfrm>
                    <a:prstGeom prst="rect">
                      <a:avLst/>
                    </a:prstGeom>
                    <a:noFill/>
                    <a:ln>
                      <a:noFill/>
                    </a:ln>
                  </pic:spPr>
                </pic:pic>
              </a:graphicData>
            </a:graphic>
          </wp:inline>
        </w:drawing>
      </w:r>
    </w:p>
    <w:p w14:paraId="2DDA48FC">
      <w:pPr>
        <w:keepNext w:val="0"/>
        <w:keepLines w:val="0"/>
        <w:pageBreakBefore w:val="0"/>
        <w:numPr>
          <w:ilvl w:val="0"/>
          <w:numId w:val="0"/>
        </w:numPr>
        <w:kinsoku/>
        <w:wordWrap/>
        <w:overflowPunct/>
        <w:autoSpaceDE/>
        <w:autoSpaceDN/>
        <w:bidi w:val="0"/>
        <w:spacing w:line="440" w:lineRule="exact"/>
        <w:ind w:firstLine="480" w:firstLineChars="200"/>
        <w:textAlignment w:val="auto"/>
        <w:rPr>
          <w:rFonts w:hint="default" w:ascii="Times New Roman" w:hAnsi="Times New Roman" w:eastAsia="宋体" w:cs="Times New Roman"/>
          <w:sz w:val="24"/>
          <w:szCs w:val="24"/>
          <w:u w:val="none" w:color="auto"/>
          <w:lang w:val="en-US" w:eastAsia="zh-CN"/>
        </w:rPr>
      </w:pPr>
      <w:r>
        <w:rPr>
          <w:rFonts w:hint="default" w:ascii="Times New Roman" w:hAnsi="Times New Roman" w:eastAsia="宋体" w:cs="Times New Roman"/>
          <w:sz w:val="24"/>
          <w:szCs w:val="24"/>
          <w:u w:val="none" w:color="auto"/>
          <w:lang w:val="en-US" w:eastAsia="zh-CN"/>
        </w:rPr>
        <w:t>④液体蒸发总量</w:t>
      </w:r>
    </w:p>
    <w:p w14:paraId="7C749867">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both"/>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液体蒸发总量按下式计算：</w:t>
      </w:r>
    </w:p>
    <w:p w14:paraId="1AE0093D">
      <w:pPr>
        <w:jc w:val="center"/>
        <w:rPr>
          <w:rFonts w:hint="default"/>
          <w:u w:val="none" w:color="auto"/>
          <w:lang w:val="en-US" w:eastAsia="zh-CN"/>
        </w:rPr>
      </w:pPr>
      <w:r>
        <w:rPr>
          <w:u w:val="none" w:color="auto"/>
        </w:rPr>
        <w:drawing>
          <wp:inline distT="0" distB="0" distL="114300" distR="114300">
            <wp:extent cx="2045335" cy="281940"/>
            <wp:effectExtent l="0" t="0" r="12065" b="3810"/>
            <wp:docPr id="9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1"/>
                    <pic:cNvPicPr>
                      <a:picLocks noChangeAspect="1"/>
                    </pic:cNvPicPr>
                  </pic:nvPicPr>
                  <pic:blipFill>
                    <a:blip r:embed="rId49"/>
                    <a:stretch>
                      <a:fillRect/>
                    </a:stretch>
                  </pic:blipFill>
                  <pic:spPr>
                    <a:xfrm>
                      <a:off x="0" y="0"/>
                      <a:ext cx="2045335" cy="281940"/>
                    </a:xfrm>
                    <a:prstGeom prst="rect">
                      <a:avLst/>
                    </a:prstGeom>
                    <a:noFill/>
                    <a:ln>
                      <a:noFill/>
                    </a:ln>
                  </pic:spPr>
                </pic:pic>
              </a:graphicData>
            </a:graphic>
          </wp:inline>
        </w:drawing>
      </w:r>
    </w:p>
    <w:p w14:paraId="0820EC7F">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式中：W</w:t>
      </w:r>
      <w:r>
        <w:rPr>
          <w:rFonts w:hint="default" w:ascii="Times New Roman" w:hAnsi="Times New Roman" w:cs="Times New Roman"/>
          <w:color w:val="auto"/>
          <w:sz w:val="24"/>
          <w:szCs w:val="24"/>
          <w:highlight w:val="none"/>
          <w:u w:val="none" w:color="auto"/>
          <w:vertAlign w:val="subscript"/>
          <w:lang w:val="en-US" w:eastAsia="zh-CN"/>
        </w:rPr>
        <w:t>P</w:t>
      </w:r>
      <w:r>
        <w:rPr>
          <w:rFonts w:hint="default" w:ascii="Times New Roman" w:hAnsi="Times New Roman" w:cs="Times New Roman"/>
          <w:color w:val="auto"/>
          <w:sz w:val="24"/>
          <w:szCs w:val="24"/>
          <w:highlight w:val="none"/>
          <w:u w:val="none" w:color="auto"/>
          <w:lang w:val="en-US" w:eastAsia="zh-CN"/>
        </w:rPr>
        <w:t>——液体蒸发总量，kg；</w:t>
      </w:r>
    </w:p>
    <w:p w14:paraId="5C3EE34E">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 xml:space="preserve"> Q</w:t>
      </w:r>
      <w:r>
        <w:rPr>
          <w:rFonts w:hint="default" w:ascii="Times New Roman" w:hAnsi="Times New Roman" w:cs="Times New Roman"/>
          <w:color w:val="auto"/>
          <w:sz w:val="24"/>
          <w:szCs w:val="24"/>
          <w:highlight w:val="none"/>
          <w:u w:val="none" w:color="auto"/>
          <w:vertAlign w:val="subscript"/>
          <w:lang w:val="en-US" w:eastAsia="zh-CN"/>
        </w:rPr>
        <w:t>1</w:t>
      </w:r>
      <w:r>
        <w:rPr>
          <w:rFonts w:hint="default" w:ascii="Times New Roman" w:hAnsi="Times New Roman" w:cs="Times New Roman"/>
          <w:color w:val="auto"/>
          <w:sz w:val="24"/>
          <w:szCs w:val="24"/>
          <w:highlight w:val="none"/>
          <w:u w:val="none" w:color="auto"/>
          <w:lang w:val="en-US" w:eastAsia="zh-CN"/>
        </w:rPr>
        <w:t>——闪蒸液体蒸发速率，kg/s；</w:t>
      </w:r>
    </w:p>
    <w:p w14:paraId="6692E988">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 xml:space="preserve"> Q</w:t>
      </w:r>
      <w:r>
        <w:rPr>
          <w:rFonts w:hint="default" w:ascii="Times New Roman" w:hAnsi="Times New Roman" w:cs="Times New Roman"/>
          <w:color w:val="auto"/>
          <w:sz w:val="24"/>
          <w:szCs w:val="24"/>
          <w:highlight w:val="none"/>
          <w:u w:val="none" w:color="auto"/>
          <w:vertAlign w:val="subscript"/>
          <w:lang w:val="en-US" w:eastAsia="zh-CN"/>
        </w:rPr>
        <w:t>2</w:t>
      </w:r>
      <w:r>
        <w:rPr>
          <w:rFonts w:hint="default" w:ascii="Times New Roman" w:hAnsi="Times New Roman" w:cs="Times New Roman"/>
          <w:color w:val="auto"/>
          <w:sz w:val="24"/>
          <w:szCs w:val="24"/>
          <w:highlight w:val="none"/>
          <w:u w:val="none" w:color="auto"/>
          <w:lang w:val="en-US" w:eastAsia="zh-CN"/>
        </w:rPr>
        <w:t>——热量蒸发速率，kg/s；</w:t>
      </w:r>
    </w:p>
    <w:p w14:paraId="0AA21A5A">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 xml:space="preserve"> Q</w:t>
      </w:r>
      <w:r>
        <w:rPr>
          <w:rFonts w:hint="default" w:ascii="Times New Roman" w:hAnsi="Times New Roman" w:cs="Times New Roman"/>
          <w:color w:val="auto"/>
          <w:sz w:val="24"/>
          <w:szCs w:val="24"/>
          <w:highlight w:val="none"/>
          <w:u w:val="none" w:color="auto"/>
          <w:vertAlign w:val="subscript"/>
          <w:lang w:val="en-US" w:eastAsia="zh-CN"/>
        </w:rPr>
        <w:t>3</w:t>
      </w:r>
      <w:r>
        <w:rPr>
          <w:rFonts w:hint="default" w:ascii="Times New Roman" w:hAnsi="Times New Roman" w:cs="Times New Roman"/>
          <w:color w:val="auto"/>
          <w:sz w:val="24"/>
          <w:szCs w:val="24"/>
          <w:highlight w:val="none"/>
          <w:u w:val="none" w:color="auto"/>
          <w:lang w:val="en-US" w:eastAsia="zh-CN"/>
        </w:rPr>
        <w:t>——质量蒸发速率，kg/s；</w:t>
      </w:r>
    </w:p>
    <w:p w14:paraId="5204F4C2">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 xml:space="preserve"> t</w:t>
      </w:r>
      <w:r>
        <w:rPr>
          <w:rFonts w:hint="default" w:ascii="Times New Roman" w:hAnsi="Times New Roman" w:cs="Times New Roman"/>
          <w:color w:val="auto"/>
          <w:sz w:val="24"/>
          <w:szCs w:val="24"/>
          <w:highlight w:val="none"/>
          <w:u w:val="none" w:color="auto"/>
          <w:vertAlign w:val="subscript"/>
          <w:lang w:val="en-US" w:eastAsia="zh-CN"/>
        </w:rPr>
        <w:t>1</w:t>
      </w:r>
      <w:r>
        <w:rPr>
          <w:rFonts w:hint="default" w:ascii="Times New Roman" w:hAnsi="Times New Roman" w:cs="Times New Roman"/>
          <w:color w:val="auto"/>
          <w:sz w:val="24"/>
          <w:szCs w:val="24"/>
          <w:highlight w:val="none"/>
          <w:u w:val="none" w:color="auto"/>
          <w:lang w:val="en-US" w:eastAsia="zh-CN"/>
        </w:rPr>
        <w:t xml:space="preserve">——闪蒸蒸发时间，s； </w:t>
      </w:r>
    </w:p>
    <w:p w14:paraId="3A866E6A">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t</w:t>
      </w:r>
      <w:r>
        <w:rPr>
          <w:rFonts w:hint="default" w:ascii="Times New Roman" w:hAnsi="Times New Roman" w:cs="Times New Roman"/>
          <w:color w:val="auto"/>
          <w:sz w:val="24"/>
          <w:szCs w:val="24"/>
          <w:highlight w:val="none"/>
          <w:u w:val="none" w:color="auto"/>
          <w:vertAlign w:val="subscript"/>
          <w:lang w:val="en-US" w:eastAsia="zh-CN"/>
        </w:rPr>
        <w:t>2</w:t>
      </w:r>
      <w:r>
        <w:rPr>
          <w:rFonts w:hint="default" w:ascii="Times New Roman" w:hAnsi="Times New Roman" w:cs="Times New Roman"/>
          <w:color w:val="auto"/>
          <w:sz w:val="24"/>
          <w:szCs w:val="24"/>
          <w:highlight w:val="none"/>
          <w:u w:val="none" w:color="auto"/>
          <w:lang w:val="en-US" w:eastAsia="zh-CN"/>
        </w:rPr>
        <w:t>——热量蒸发时间，s；</w:t>
      </w:r>
    </w:p>
    <w:p w14:paraId="5A551C32">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t</w:t>
      </w:r>
      <w:r>
        <w:rPr>
          <w:rFonts w:hint="default" w:ascii="Times New Roman" w:hAnsi="Times New Roman" w:cs="Times New Roman"/>
          <w:color w:val="auto"/>
          <w:sz w:val="24"/>
          <w:szCs w:val="24"/>
          <w:highlight w:val="none"/>
          <w:u w:val="none" w:color="auto"/>
          <w:vertAlign w:val="subscript"/>
          <w:lang w:val="en-US" w:eastAsia="zh-CN"/>
        </w:rPr>
        <w:t>3</w:t>
      </w:r>
      <w:r>
        <w:rPr>
          <w:rFonts w:hint="default" w:ascii="Times New Roman" w:hAnsi="Times New Roman" w:cs="Times New Roman"/>
          <w:color w:val="auto"/>
          <w:sz w:val="24"/>
          <w:szCs w:val="24"/>
          <w:highlight w:val="none"/>
          <w:u w:val="none" w:color="auto"/>
          <w:lang w:val="en-US" w:eastAsia="zh-CN"/>
        </w:rPr>
        <w:t>——从液体泄漏到全部清理完毕时间，s。</w:t>
      </w:r>
    </w:p>
    <w:p w14:paraId="092E6D23">
      <w:pPr>
        <w:keepNext w:val="0"/>
        <w:keepLines w:val="0"/>
        <w:pageBreakBefore w:val="0"/>
        <w:widowControl w:val="0"/>
        <w:kinsoku/>
        <w:wordWrap/>
        <w:overflowPunct/>
        <w:topLinePunct w:val="0"/>
        <w:autoSpaceDE/>
        <w:autoSpaceDN/>
        <w:bidi w:val="0"/>
        <w:adjustRightInd/>
        <w:snapToGrid w:val="0"/>
        <w:spacing w:line="520" w:lineRule="exact"/>
        <w:jc w:val="left"/>
        <w:textAlignment w:val="auto"/>
        <w:outlineLvl w:val="9"/>
        <w:rPr>
          <w:rFonts w:hint="default" w:ascii="Times New Roman" w:hAnsi="Times New Roman" w:cs="Times New Roman"/>
          <w:color w:val="000000" w:themeColor="text1"/>
          <w:sz w:val="24"/>
          <w:szCs w:val="24"/>
          <w:highlight w:val="none"/>
          <w:u w:val="none" w:color="auto"/>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u w:val="none" w:color="auto"/>
          <w:lang w:val="en-US" w:eastAsia="zh-CN"/>
          <w14:textFill>
            <w14:solidFill>
              <w14:schemeClr w14:val="tx1"/>
            </w14:solidFill>
          </w14:textFill>
        </w:rPr>
        <w:t>本项目泄漏液体蒸发速率计算参数见</w:t>
      </w:r>
      <w:r>
        <w:rPr>
          <w:rFonts w:hint="eastAsia" w:ascii="Times New Roman" w:hAnsi="Times New Roman" w:cs="Times New Roman"/>
          <w:color w:val="000000" w:themeColor="text1"/>
          <w:sz w:val="24"/>
          <w:szCs w:val="24"/>
          <w:highlight w:val="none"/>
          <w:u w:val="none" w:color="auto"/>
          <w:lang w:val="en-US" w:eastAsia="zh-CN"/>
          <w14:textFill>
            <w14:solidFill>
              <w14:schemeClr w14:val="tx1"/>
            </w14:solidFill>
          </w14:textFill>
        </w:rPr>
        <w:t>下表</w:t>
      </w:r>
      <w:r>
        <w:rPr>
          <w:rFonts w:hint="default" w:ascii="Times New Roman" w:hAnsi="Times New Roman" w:cs="Times New Roman"/>
          <w:color w:val="000000" w:themeColor="text1"/>
          <w:sz w:val="24"/>
          <w:szCs w:val="24"/>
          <w:highlight w:val="none"/>
          <w:u w:val="none" w:color="auto"/>
          <w:lang w:val="en-US" w:eastAsia="zh-CN"/>
          <w14:textFill>
            <w14:solidFill>
              <w14:schemeClr w14:val="tx1"/>
            </w14:solidFill>
          </w14:textFill>
        </w:rPr>
        <w:t>。</w:t>
      </w:r>
    </w:p>
    <w:p w14:paraId="7A9523FA">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000000" w:themeColor="text1"/>
          <w:spacing w:val="0"/>
          <w:w w:val="100"/>
          <w:kern w:val="21"/>
          <w:position w:val="0"/>
          <w:sz w:val="24"/>
          <w:szCs w:val="24"/>
          <w:u w:val="none" w:color="auto"/>
          <w:lang w:val="en-US" w:eastAsia="zh-CN"/>
          <w14:textFill>
            <w14:solidFill>
              <w14:schemeClr w14:val="tx1"/>
            </w14:solidFill>
          </w14:textFill>
        </w:rPr>
      </w:pPr>
      <w:r>
        <w:rPr>
          <w:rFonts w:hint="default" w:ascii="Times New Roman" w:hAnsi="Times New Roman" w:eastAsia="黑体" w:cs="Times New Roman"/>
          <w:color w:val="000000" w:themeColor="text1"/>
          <w:spacing w:val="0"/>
          <w:w w:val="100"/>
          <w:kern w:val="21"/>
          <w:position w:val="0"/>
          <w:sz w:val="24"/>
          <w:szCs w:val="24"/>
          <w:u w:val="none" w:color="auto"/>
          <w:lang w:val="en-US" w:eastAsia="zh-CN"/>
          <w14:textFill>
            <w14:solidFill>
              <w14:schemeClr w14:val="tx1"/>
            </w14:solidFill>
          </w14:textFill>
        </w:rPr>
        <w:t xml:space="preserve"> </w:t>
      </w:r>
      <w:r>
        <w:rPr>
          <w:rFonts w:hint="eastAsia" w:ascii="Times New Roman" w:hAnsi="Times New Roman" w:eastAsia="黑体" w:cs="Times New Roman"/>
          <w:color w:val="000000" w:themeColor="text1"/>
          <w:spacing w:val="0"/>
          <w:w w:val="100"/>
          <w:kern w:val="21"/>
          <w:position w:val="0"/>
          <w:sz w:val="24"/>
          <w:szCs w:val="24"/>
          <w:u w:val="none" w:color="auto"/>
          <w:lang w:val="en-US" w:eastAsia="zh-CN"/>
          <w14:textFill>
            <w14:solidFill>
              <w14:schemeClr w14:val="tx1"/>
            </w14:solidFill>
          </w14:textFill>
        </w:rPr>
        <w:t xml:space="preserve">   泄漏液体蒸发速率计算参数一览表</w:t>
      </w:r>
    </w:p>
    <w:tbl>
      <w:tblPr>
        <w:tblStyle w:val="3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49"/>
        <w:gridCol w:w="835"/>
        <w:gridCol w:w="888"/>
        <w:gridCol w:w="689"/>
        <w:gridCol w:w="932"/>
        <w:gridCol w:w="757"/>
        <w:gridCol w:w="1081"/>
        <w:gridCol w:w="757"/>
        <w:gridCol w:w="595"/>
        <w:gridCol w:w="1054"/>
        <w:gridCol w:w="1105"/>
      </w:tblGrid>
      <w:tr w14:paraId="54332A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49" w:type="dxa"/>
            <w:vMerge w:val="restart"/>
            <w:tcBorders>
              <w:tl2br w:val="nil"/>
              <w:tr2bl w:val="nil"/>
            </w:tcBorders>
            <w:vAlign w:val="center"/>
          </w:tcPr>
          <w:p w14:paraId="65C98A8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序号</w:t>
            </w:r>
          </w:p>
        </w:tc>
        <w:tc>
          <w:tcPr>
            <w:tcW w:w="835" w:type="dxa"/>
            <w:vMerge w:val="restart"/>
            <w:tcBorders>
              <w:tl2br w:val="nil"/>
              <w:tr2bl w:val="nil"/>
            </w:tcBorders>
            <w:vAlign w:val="center"/>
          </w:tcPr>
          <w:p w14:paraId="383381C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泄漏物质</w:t>
            </w:r>
          </w:p>
        </w:tc>
        <w:tc>
          <w:tcPr>
            <w:tcW w:w="888" w:type="dxa"/>
            <w:vMerge w:val="restart"/>
            <w:tcBorders>
              <w:tl2br w:val="nil"/>
              <w:tr2bl w:val="nil"/>
            </w:tcBorders>
            <w:vAlign w:val="center"/>
          </w:tcPr>
          <w:p w14:paraId="5EAFFB9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ascii="宋体" w:hAnsi="宋体" w:eastAsia="宋体" w:cs="宋体"/>
                <w:color w:val="000000" w:themeColor="text1"/>
                <w:sz w:val="21"/>
                <w:szCs w:val="21"/>
                <w:u w:val="none" w:color="auto"/>
                <w14:textFill>
                  <w14:solidFill>
                    <w14:schemeClr w14:val="tx1"/>
                  </w14:solidFill>
                </w14:textFill>
              </w:rPr>
              <w:t>闪蒸 蒸发 速率</w:t>
            </w:r>
          </w:p>
        </w:tc>
        <w:tc>
          <w:tcPr>
            <w:tcW w:w="689" w:type="dxa"/>
            <w:vMerge w:val="restart"/>
            <w:tcBorders>
              <w:tl2br w:val="nil"/>
              <w:tr2bl w:val="nil"/>
            </w:tcBorders>
            <w:vAlign w:val="center"/>
          </w:tcPr>
          <w:p w14:paraId="2F01E74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宋体" w:hAnsi="宋体" w:eastAsia="宋体" w:cs="宋体"/>
                <w:color w:val="000000" w:themeColor="text1"/>
                <w:sz w:val="21"/>
                <w:szCs w:val="21"/>
                <w:u w:val="none" w:color="auto"/>
                <w:lang w:val="en-US" w:eastAsia="zh-CN"/>
                <w14:textFill>
                  <w14:solidFill>
                    <w14:schemeClr w14:val="tx1"/>
                  </w14:solidFill>
                </w14:textFill>
              </w:rPr>
            </w:pPr>
            <w:r>
              <w:rPr>
                <w:rFonts w:ascii="宋体" w:hAnsi="宋体" w:eastAsia="宋体" w:cs="宋体"/>
                <w:color w:val="000000" w:themeColor="text1"/>
                <w:sz w:val="21"/>
                <w:szCs w:val="21"/>
                <w:u w:val="none" w:color="auto"/>
                <w14:textFill>
                  <w14:solidFill>
                    <w14:schemeClr w14:val="tx1"/>
                  </w14:solidFill>
                </w14:textFill>
              </w:rPr>
              <w:t>热量 蒸发 速率</w:t>
            </w:r>
          </w:p>
        </w:tc>
        <w:tc>
          <w:tcPr>
            <w:tcW w:w="5176" w:type="dxa"/>
            <w:gridSpan w:val="6"/>
            <w:tcBorders>
              <w:tl2br w:val="nil"/>
              <w:tr2bl w:val="nil"/>
            </w:tcBorders>
            <w:vAlign w:val="center"/>
          </w:tcPr>
          <w:p w14:paraId="0243522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宋体" w:hAnsi="宋体" w:eastAsia="宋体" w:cs="宋体"/>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质量蒸发Q</w:t>
            </w:r>
            <w:r>
              <w:rPr>
                <w:rFonts w:hint="default" w:ascii="Times New Roman" w:hAnsi="Times New Roman" w:eastAsia="宋体" w:cs="Times New Roman"/>
                <w:color w:val="000000" w:themeColor="text1"/>
                <w:sz w:val="21"/>
                <w:szCs w:val="21"/>
                <w:u w:val="none" w:color="auto"/>
                <w:vertAlign w:val="subscript"/>
                <w14:textFill>
                  <w14:solidFill>
                    <w14:schemeClr w14:val="tx1"/>
                  </w14:solidFill>
                </w14:textFill>
              </w:rPr>
              <w:t>3</w:t>
            </w:r>
          </w:p>
        </w:tc>
        <w:tc>
          <w:tcPr>
            <w:tcW w:w="1105" w:type="dxa"/>
            <w:vMerge w:val="restart"/>
            <w:tcBorders>
              <w:tl2br w:val="nil"/>
              <w:tr2bl w:val="nil"/>
            </w:tcBorders>
            <w:vAlign w:val="center"/>
          </w:tcPr>
          <w:p w14:paraId="788B431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ascii="宋体" w:hAnsi="宋体" w:eastAsia="宋体" w:cs="宋体"/>
                <w:color w:val="000000" w:themeColor="text1"/>
                <w:sz w:val="21"/>
                <w:szCs w:val="21"/>
                <w:u w:val="none" w:color="auto"/>
                <w14:textFill>
                  <w14:solidFill>
                    <w14:schemeClr w14:val="tx1"/>
                  </w14:solidFill>
                </w14:textFill>
              </w:rPr>
              <w:t>总蒸发速率</w:t>
            </w:r>
          </w:p>
        </w:tc>
      </w:tr>
      <w:tr w14:paraId="216538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49" w:type="dxa"/>
            <w:vMerge w:val="continue"/>
            <w:tcBorders>
              <w:tl2br w:val="nil"/>
              <w:tr2bl w:val="nil"/>
            </w:tcBorders>
            <w:vAlign w:val="center"/>
          </w:tcPr>
          <w:p w14:paraId="1AF0E59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p>
        </w:tc>
        <w:tc>
          <w:tcPr>
            <w:tcW w:w="835" w:type="dxa"/>
            <w:vMerge w:val="continue"/>
            <w:tcBorders>
              <w:tl2br w:val="nil"/>
              <w:tr2bl w:val="nil"/>
            </w:tcBorders>
            <w:vAlign w:val="center"/>
          </w:tcPr>
          <w:p w14:paraId="4FD8D14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p>
        </w:tc>
        <w:tc>
          <w:tcPr>
            <w:tcW w:w="888" w:type="dxa"/>
            <w:vMerge w:val="continue"/>
            <w:tcBorders>
              <w:tl2br w:val="nil"/>
              <w:tr2bl w:val="nil"/>
            </w:tcBorders>
            <w:vAlign w:val="center"/>
          </w:tcPr>
          <w:p w14:paraId="1EF4F08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p>
        </w:tc>
        <w:tc>
          <w:tcPr>
            <w:tcW w:w="689" w:type="dxa"/>
            <w:vMerge w:val="continue"/>
            <w:tcBorders>
              <w:tl2br w:val="nil"/>
              <w:tr2bl w:val="nil"/>
            </w:tcBorders>
            <w:vAlign w:val="center"/>
          </w:tcPr>
          <w:p w14:paraId="7888E45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p>
        </w:tc>
        <w:tc>
          <w:tcPr>
            <w:tcW w:w="932" w:type="dxa"/>
            <w:tcBorders>
              <w:tl2br w:val="nil"/>
              <w:tr2bl w:val="nil"/>
            </w:tcBorders>
            <w:vAlign w:val="center"/>
          </w:tcPr>
          <w:p w14:paraId="743B868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ascii="宋体" w:hAnsi="宋体" w:eastAsia="宋体" w:cs="宋体"/>
                <w:color w:val="000000" w:themeColor="text1"/>
                <w:sz w:val="21"/>
                <w:szCs w:val="21"/>
                <w:u w:val="none" w:color="auto"/>
                <w14:textFill>
                  <w14:solidFill>
                    <w14:schemeClr w14:val="tx1"/>
                  </w14:solidFill>
                </w14:textFill>
              </w:rPr>
              <w:t>液表蒸汽压</w:t>
            </w:r>
          </w:p>
        </w:tc>
        <w:tc>
          <w:tcPr>
            <w:tcW w:w="757" w:type="dxa"/>
            <w:tcBorders>
              <w:tl2br w:val="nil"/>
              <w:tr2bl w:val="nil"/>
            </w:tcBorders>
            <w:vAlign w:val="center"/>
          </w:tcPr>
          <w:p w14:paraId="5834C09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ascii="宋体" w:hAnsi="宋体" w:eastAsia="宋体" w:cs="宋体"/>
                <w:color w:val="000000" w:themeColor="text1"/>
                <w:sz w:val="21"/>
                <w:szCs w:val="21"/>
                <w:u w:val="none" w:color="auto"/>
                <w14:textFill>
                  <w14:solidFill>
                    <w14:schemeClr w14:val="tx1"/>
                  </w14:solidFill>
                </w14:textFill>
              </w:rPr>
              <w:t>环境 温度</w:t>
            </w:r>
          </w:p>
        </w:tc>
        <w:tc>
          <w:tcPr>
            <w:tcW w:w="1081" w:type="dxa"/>
            <w:tcBorders>
              <w:tl2br w:val="nil"/>
              <w:tr2bl w:val="nil"/>
            </w:tcBorders>
            <w:vAlign w:val="center"/>
          </w:tcPr>
          <w:p w14:paraId="0075A1E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ascii="宋体" w:hAnsi="宋体" w:eastAsia="宋体" w:cs="宋体"/>
                <w:color w:val="000000" w:themeColor="text1"/>
                <w:sz w:val="21"/>
                <w:szCs w:val="21"/>
                <w:u w:val="none" w:color="auto"/>
                <w14:textFill>
                  <w14:solidFill>
                    <w14:schemeClr w14:val="tx1"/>
                  </w14:solidFill>
                </w14:textFill>
              </w:rPr>
              <w:t>摩尔质量</w:t>
            </w:r>
          </w:p>
        </w:tc>
        <w:tc>
          <w:tcPr>
            <w:tcW w:w="757" w:type="dxa"/>
            <w:tcBorders>
              <w:tl2br w:val="nil"/>
              <w:tr2bl w:val="nil"/>
            </w:tcBorders>
            <w:vAlign w:val="center"/>
          </w:tcPr>
          <w:p w14:paraId="78C4167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ascii="宋体" w:hAnsi="宋体" w:eastAsia="宋体" w:cs="宋体"/>
                <w:color w:val="000000" w:themeColor="text1"/>
                <w:sz w:val="21"/>
                <w:szCs w:val="21"/>
                <w:u w:val="none" w:color="auto"/>
                <w14:textFill>
                  <w14:solidFill>
                    <w14:schemeClr w14:val="tx1"/>
                  </w14:solidFill>
                </w14:textFill>
              </w:rPr>
              <w:t>风速</w:t>
            </w:r>
          </w:p>
        </w:tc>
        <w:tc>
          <w:tcPr>
            <w:tcW w:w="595" w:type="dxa"/>
            <w:tcBorders>
              <w:tl2br w:val="nil"/>
              <w:tr2bl w:val="nil"/>
            </w:tcBorders>
            <w:vAlign w:val="center"/>
          </w:tcPr>
          <w:p w14:paraId="5EE6136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ascii="宋体" w:hAnsi="宋体" w:eastAsia="宋体" w:cs="宋体"/>
                <w:color w:val="000000" w:themeColor="text1"/>
                <w:sz w:val="21"/>
                <w:szCs w:val="21"/>
                <w:u w:val="none" w:color="auto"/>
                <w14:textFill>
                  <w14:solidFill>
                    <w14:schemeClr w14:val="tx1"/>
                  </w14:solidFill>
                </w14:textFill>
              </w:rPr>
              <w:t>液池 半径</w:t>
            </w:r>
          </w:p>
        </w:tc>
        <w:tc>
          <w:tcPr>
            <w:tcW w:w="1054" w:type="dxa"/>
            <w:tcBorders>
              <w:tl2br w:val="nil"/>
              <w:tr2bl w:val="nil"/>
            </w:tcBorders>
            <w:vAlign w:val="center"/>
          </w:tcPr>
          <w:p w14:paraId="52A8D43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ascii="宋体" w:hAnsi="宋体" w:eastAsia="宋体" w:cs="宋体"/>
                <w:color w:val="000000" w:themeColor="text1"/>
                <w:sz w:val="21"/>
                <w:szCs w:val="21"/>
                <w:u w:val="none" w:color="auto"/>
                <w14:textFill>
                  <w14:solidFill>
                    <w14:schemeClr w14:val="tx1"/>
                  </w14:solidFill>
                </w14:textFill>
              </w:rPr>
              <w:t>大气 稳定度</w:t>
            </w:r>
          </w:p>
        </w:tc>
        <w:tc>
          <w:tcPr>
            <w:tcW w:w="1105" w:type="dxa"/>
            <w:vMerge w:val="continue"/>
            <w:tcBorders>
              <w:tl2br w:val="nil"/>
              <w:tr2bl w:val="nil"/>
            </w:tcBorders>
            <w:vAlign w:val="center"/>
          </w:tcPr>
          <w:p w14:paraId="44D225B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p>
        </w:tc>
      </w:tr>
      <w:tr w14:paraId="1DCB70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9" w:type="dxa"/>
            <w:vMerge w:val="continue"/>
            <w:tcBorders>
              <w:tl2br w:val="nil"/>
              <w:tr2bl w:val="nil"/>
            </w:tcBorders>
            <w:vAlign w:val="center"/>
          </w:tcPr>
          <w:p w14:paraId="1E29F69C">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p>
        </w:tc>
        <w:tc>
          <w:tcPr>
            <w:tcW w:w="835" w:type="dxa"/>
            <w:vMerge w:val="continue"/>
            <w:tcBorders>
              <w:tl2br w:val="nil"/>
              <w:tr2bl w:val="nil"/>
            </w:tcBorders>
            <w:vAlign w:val="center"/>
          </w:tcPr>
          <w:p w14:paraId="355D5938">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p>
        </w:tc>
        <w:tc>
          <w:tcPr>
            <w:tcW w:w="888" w:type="dxa"/>
            <w:tcBorders>
              <w:tl2br w:val="nil"/>
              <w:tr2bl w:val="nil"/>
            </w:tcBorders>
            <w:vAlign w:val="center"/>
          </w:tcPr>
          <w:p w14:paraId="140DD94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Q</w:t>
            </w:r>
            <w:r>
              <w:rPr>
                <w:rFonts w:hint="default" w:ascii="Times New Roman" w:hAnsi="Times New Roman" w:eastAsia="宋体" w:cs="Times New Roman"/>
                <w:color w:val="000000" w:themeColor="text1"/>
                <w:sz w:val="21"/>
                <w:szCs w:val="21"/>
                <w:u w:val="none" w:color="auto"/>
                <w:vertAlign w:val="subscript"/>
                <w14:textFill>
                  <w14:solidFill>
                    <w14:schemeClr w14:val="tx1"/>
                  </w14:solidFill>
                </w14:textFill>
              </w:rPr>
              <w:t>1</w:t>
            </w:r>
          </w:p>
        </w:tc>
        <w:tc>
          <w:tcPr>
            <w:tcW w:w="689" w:type="dxa"/>
            <w:tcBorders>
              <w:tl2br w:val="nil"/>
              <w:tr2bl w:val="nil"/>
            </w:tcBorders>
            <w:vAlign w:val="center"/>
          </w:tcPr>
          <w:p w14:paraId="056B7A4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Q</w:t>
            </w:r>
            <w:r>
              <w:rPr>
                <w:rFonts w:hint="default" w:ascii="Times New Roman" w:hAnsi="Times New Roman" w:eastAsia="宋体" w:cs="Times New Roman"/>
                <w:color w:val="000000" w:themeColor="text1"/>
                <w:sz w:val="21"/>
                <w:szCs w:val="21"/>
                <w:u w:val="none" w:color="auto"/>
                <w:vertAlign w:val="subscript"/>
                <w14:textFill>
                  <w14:solidFill>
                    <w14:schemeClr w14:val="tx1"/>
                  </w14:solidFill>
                </w14:textFill>
              </w:rPr>
              <w:t>2</w:t>
            </w:r>
          </w:p>
        </w:tc>
        <w:tc>
          <w:tcPr>
            <w:tcW w:w="932" w:type="dxa"/>
            <w:tcBorders>
              <w:tl2br w:val="nil"/>
              <w:tr2bl w:val="nil"/>
            </w:tcBorders>
            <w:vAlign w:val="center"/>
          </w:tcPr>
          <w:p w14:paraId="3AD51E0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P</w:t>
            </w:r>
          </w:p>
        </w:tc>
        <w:tc>
          <w:tcPr>
            <w:tcW w:w="757" w:type="dxa"/>
            <w:tcBorders>
              <w:tl2br w:val="nil"/>
              <w:tr2bl w:val="nil"/>
            </w:tcBorders>
            <w:vAlign w:val="center"/>
          </w:tcPr>
          <w:p w14:paraId="0EDC6D0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T</w:t>
            </w:r>
            <w:r>
              <w:rPr>
                <w:rFonts w:hint="default" w:ascii="Times New Roman" w:hAnsi="Times New Roman" w:eastAsia="宋体" w:cs="Times New Roman"/>
                <w:color w:val="000000" w:themeColor="text1"/>
                <w:sz w:val="21"/>
                <w:szCs w:val="21"/>
                <w:u w:val="none" w:color="auto"/>
                <w:vertAlign w:val="subscript"/>
                <w14:textFill>
                  <w14:solidFill>
                    <w14:schemeClr w14:val="tx1"/>
                  </w14:solidFill>
                </w14:textFill>
              </w:rPr>
              <w:t>0</w:t>
            </w:r>
          </w:p>
        </w:tc>
        <w:tc>
          <w:tcPr>
            <w:tcW w:w="1081" w:type="dxa"/>
            <w:tcBorders>
              <w:tl2br w:val="nil"/>
              <w:tr2bl w:val="nil"/>
            </w:tcBorders>
            <w:vAlign w:val="center"/>
          </w:tcPr>
          <w:p w14:paraId="05D016F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M</w:t>
            </w:r>
          </w:p>
        </w:tc>
        <w:tc>
          <w:tcPr>
            <w:tcW w:w="757" w:type="dxa"/>
            <w:tcBorders>
              <w:tl2br w:val="nil"/>
              <w:tr2bl w:val="nil"/>
            </w:tcBorders>
            <w:vAlign w:val="center"/>
          </w:tcPr>
          <w:p w14:paraId="398D354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u</w:t>
            </w:r>
          </w:p>
        </w:tc>
        <w:tc>
          <w:tcPr>
            <w:tcW w:w="595" w:type="dxa"/>
            <w:tcBorders>
              <w:tl2br w:val="nil"/>
              <w:tr2bl w:val="nil"/>
            </w:tcBorders>
            <w:vAlign w:val="center"/>
          </w:tcPr>
          <w:p w14:paraId="175C1A1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r</w:t>
            </w:r>
          </w:p>
        </w:tc>
        <w:tc>
          <w:tcPr>
            <w:tcW w:w="1054" w:type="dxa"/>
            <w:tcBorders>
              <w:tl2br w:val="nil"/>
              <w:tr2bl w:val="nil"/>
            </w:tcBorders>
            <w:vAlign w:val="center"/>
          </w:tcPr>
          <w:p w14:paraId="030BB6E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α/n</w:t>
            </w:r>
          </w:p>
        </w:tc>
        <w:tc>
          <w:tcPr>
            <w:tcW w:w="1105" w:type="dxa"/>
            <w:tcBorders>
              <w:tl2br w:val="nil"/>
              <w:tr2bl w:val="nil"/>
            </w:tcBorders>
            <w:vAlign w:val="center"/>
          </w:tcPr>
          <w:p w14:paraId="5B89D5A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Q</w:t>
            </w:r>
            <w:r>
              <w:rPr>
                <w:rFonts w:hint="default" w:ascii="Times New Roman" w:hAnsi="Times New Roman" w:eastAsia="宋体" w:cs="Times New Roman"/>
                <w:color w:val="000000" w:themeColor="text1"/>
                <w:sz w:val="21"/>
                <w:szCs w:val="21"/>
                <w:u w:val="none" w:color="auto"/>
                <w:vertAlign w:val="subscript"/>
                <w14:textFill>
                  <w14:solidFill>
                    <w14:schemeClr w14:val="tx1"/>
                  </w14:solidFill>
                </w14:textFill>
              </w:rPr>
              <w:t>4</w:t>
            </w:r>
          </w:p>
        </w:tc>
      </w:tr>
      <w:tr w14:paraId="0D7CC7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549" w:type="dxa"/>
            <w:vMerge w:val="continue"/>
            <w:tcBorders>
              <w:tl2br w:val="nil"/>
              <w:tr2bl w:val="nil"/>
            </w:tcBorders>
            <w:vAlign w:val="center"/>
          </w:tcPr>
          <w:p w14:paraId="049B6E1B">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p>
        </w:tc>
        <w:tc>
          <w:tcPr>
            <w:tcW w:w="835" w:type="dxa"/>
            <w:vMerge w:val="continue"/>
            <w:tcBorders>
              <w:tl2br w:val="nil"/>
              <w:tr2bl w:val="nil"/>
            </w:tcBorders>
            <w:vAlign w:val="center"/>
          </w:tcPr>
          <w:p w14:paraId="0D911358">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p>
        </w:tc>
        <w:tc>
          <w:tcPr>
            <w:tcW w:w="888" w:type="dxa"/>
            <w:tcBorders>
              <w:tl2br w:val="nil"/>
              <w:tr2bl w:val="nil"/>
            </w:tcBorders>
            <w:vAlign w:val="center"/>
          </w:tcPr>
          <w:p w14:paraId="64D089C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kg/s</w:t>
            </w:r>
          </w:p>
        </w:tc>
        <w:tc>
          <w:tcPr>
            <w:tcW w:w="689" w:type="dxa"/>
            <w:tcBorders>
              <w:tl2br w:val="nil"/>
              <w:tr2bl w:val="nil"/>
            </w:tcBorders>
            <w:vAlign w:val="center"/>
          </w:tcPr>
          <w:p w14:paraId="718A0C7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kg/s</w:t>
            </w:r>
          </w:p>
        </w:tc>
        <w:tc>
          <w:tcPr>
            <w:tcW w:w="932" w:type="dxa"/>
            <w:tcBorders>
              <w:tl2br w:val="nil"/>
              <w:tr2bl w:val="nil"/>
            </w:tcBorders>
            <w:vAlign w:val="center"/>
          </w:tcPr>
          <w:p w14:paraId="3FF9F76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Pa</w:t>
            </w:r>
          </w:p>
        </w:tc>
        <w:tc>
          <w:tcPr>
            <w:tcW w:w="757" w:type="dxa"/>
            <w:tcBorders>
              <w:tl2br w:val="nil"/>
              <w:tr2bl w:val="nil"/>
            </w:tcBorders>
            <w:vAlign w:val="center"/>
          </w:tcPr>
          <w:p w14:paraId="48C406B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K</w:t>
            </w:r>
          </w:p>
        </w:tc>
        <w:tc>
          <w:tcPr>
            <w:tcW w:w="1081" w:type="dxa"/>
            <w:tcBorders>
              <w:tl2br w:val="nil"/>
              <w:tr2bl w:val="nil"/>
            </w:tcBorders>
            <w:vAlign w:val="center"/>
          </w:tcPr>
          <w:p w14:paraId="539B6EC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kg/mol</w:t>
            </w:r>
          </w:p>
        </w:tc>
        <w:tc>
          <w:tcPr>
            <w:tcW w:w="757" w:type="dxa"/>
            <w:tcBorders>
              <w:tl2br w:val="nil"/>
              <w:tr2bl w:val="nil"/>
            </w:tcBorders>
            <w:vAlign w:val="center"/>
          </w:tcPr>
          <w:p w14:paraId="283E6DA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m/s</w:t>
            </w:r>
          </w:p>
        </w:tc>
        <w:tc>
          <w:tcPr>
            <w:tcW w:w="595" w:type="dxa"/>
            <w:tcBorders>
              <w:tl2br w:val="nil"/>
              <w:tr2bl w:val="nil"/>
            </w:tcBorders>
            <w:vAlign w:val="center"/>
          </w:tcPr>
          <w:p w14:paraId="3AD36BF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m</w:t>
            </w:r>
          </w:p>
        </w:tc>
        <w:tc>
          <w:tcPr>
            <w:tcW w:w="1054" w:type="dxa"/>
            <w:tcBorders>
              <w:tl2br w:val="nil"/>
              <w:tr2bl w:val="nil"/>
            </w:tcBorders>
            <w:vAlign w:val="center"/>
          </w:tcPr>
          <w:p w14:paraId="1F35B0C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w:t>
            </w:r>
          </w:p>
        </w:tc>
        <w:tc>
          <w:tcPr>
            <w:tcW w:w="1105" w:type="dxa"/>
            <w:tcBorders>
              <w:tl2br w:val="nil"/>
              <w:tr2bl w:val="nil"/>
            </w:tcBorders>
            <w:vAlign w:val="center"/>
          </w:tcPr>
          <w:p w14:paraId="2AE27ED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kg/s</w:t>
            </w:r>
          </w:p>
        </w:tc>
      </w:tr>
      <w:tr w14:paraId="109822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49" w:type="dxa"/>
            <w:tcBorders>
              <w:tl2br w:val="nil"/>
              <w:tr2bl w:val="nil"/>
            </w:tcBorders>
            <w:vAlign w:val="center"/>
          </w:tcPr>
          <w:p w14:paraId="1AEC8F38">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1</w:t>
            </w:r>
          </w:p>
        </w:tc>
        <w:tc>
          <w:tcPr>
            <w:tcW w:w="835" w:type="dxa"/>
            <w:tcBorders>
              <w:tl2br w:val="nil"/>
              <w:tr2bl w:val="nil"/>
            </w:tcBorders>
            <w:vAlign w:val="center"/>
          </w:tcPr>
          <w:p w14:paraId="782E5622">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NMP</w:t>
            </w:r>
          </w:p>
        </w:tc>
        <w:tc>
          <w:tcPr>
            <w:tcW w:w="888" w:type="dxa"/>
            <w:tcBorders>
              <w:tl2br w:val="nil"/>
              <w:tr2bl w:val="nil"/>
            </w:tcBorders>
            <w:vAlign w:val="center"/>
          </w:tcPr>
          <w:p w14:paraId="6955C8A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w:t>
            </w:r>
          </w:p>
        </w:tc>
        <w:tc>
          <w:tcPr>
            <w:tcW w:w="689" w:type="dxa"/>
            <w:tcBorders>
              <w:tl2br w:val="nil"/>
              <w:tr2bl w:val="nil"/>
            </w:tcBorders>
            <w:vAlign w:val="center"/>
          </w:tcPr>
          <w:p w14:paraId="6365A6E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w:t>
            </w:r>
          </w:p>
        </w:tc>
        <w:tc>
          <w:tcPr>
            <w:tcW w:w="932" w:type="dxa"/>
            <w:tcBorders>
              <w:tl2br w:val="nil"/>
              <w:tr2bl w:val="nil"/>
            </w:tcBorders>
            <w:vAlign w:val="center"/>
          </w:tcPr>
          <w:p w14:paraId="1A9571F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46</w:t>
            </w:r>
          </w:p>
        </w:tc>
        <w:tc>
          <w:tcPr>
            <w:tcW w:w="757" w:type="dxa"/>
            <w:tcBorders>
              <w:tl2br w:val="nil"/>
              <w:tr2bl w:val="nil"/>
            </w:tcBorders>
            <w:vAlign w:val="center"/>
          </w:tcPr>
          <w:p w14:paraId="189B9C6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298</w:t>
            </w:r>
          </w:p>
        </w:tc>
        <w:tc>
          <w:tcPr>
            <w:tcW w:w="1081" w:type="dxa"/>
            <w:tcBorders>
              <w:tl2br w:val="nil"/>
              <w:tr2bl w:val="nil"/>
            </w:tcBorders>
            <w:vAlign w:val="center"/>
          </w:tcPr>
          <w:p w14:paraId="7CA66B0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0.099</w:t>
            </w:r>
          </w:p>
        </w:tc>
        <w:tc>
          <w:tcPr>
            <w:tcW w:w="757" w:type="dxa"/>
            <w:tcBorders>
              <w:tl2br w:val="nil"/>
              <w:tr2bl w:val="nil"/>
            </w:tcBorders>
            <w:vAlign w:val="center"/>
          </w:tcPr>
          <w:p w14:paraId="34B4986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1.5</w:t>
            </w:r>
          </w:p>
        </w:tc>
        <w:tc>
          <w:tcPr>
            <w:tcW w:w="595" w:type="dxa"/>
            <w:tcBorders>
              <w:tl2br w:val="nil"/>
              <w:tr2bl w:val="nil"/>
            </w:tcBorders>
            <w:vAlign w:val="center"/>
          </w:tcPr>
          <w:p w14:paraId="498067D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4</w:t>
            </w:r>
          </w:p>
        </w:tc>
        <w:tc>
          <w:tcPr>
            <w:tcW w:w="1054" w:type="dxa"/>
            <w:tcBorders>
              <w:tl2br w:val="nil"/>
              <w:tr2bl w:val="nil"/>
            </w:tcBorders>
            <w:vAlign w:val="center"/>
          </w:tcPr>
          <w:p w14:paraId="593DE149">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5.285*10</w:t>
            </w:r>
            <w:r>
              <w:rPr>
                <w:rFonts w:hint="eastAsia" w:ascii="Times New Roman" w:hAnsi="Times New Roman" w:cs="Times New Roman"/>
                <w:color w:val="000000" w:themeColor="text1"/>
                <w:sz w:val="21"/>
                <w:szCs w:val="21"/>
                <w:highlight w:val="none"/>
                <w:u w:val="none" w:color="auto"/>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/0.3</w:t>
            </w:r>
          </w:p>
        </w:tc>
        <w:tc>
          <w:tcPr>
            <w:tcW w:w="1105" w:type="dxa"/>
            <w:tcBorders>
              <w:tl2br w:val="nil"/>
              <w:tr2bl w:val="nil"/>
            </w:tcBorders>
            <w:vAlign w:val="center"/>
          </w:tcPr>
          <w:p w14:paraId="6B7CA44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0.00002</w:t>
            </w:r>
          </w:p>
        </w:tc>
      </w:tr>
      <w:tr w14:paraId="37C7B4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49" w:type="dxa"/>
            <w:tcBorders>
              <w:tl2br w:val="nil"/>
              <w:tr2bl w:val="nil"/>
            </w:tcBorders>
            <w:vAlign w:val="center"/>
          </w:tcPr>
          <w:p w14:paraId="00A180DC">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2</w:t>
            </w:r>
          </w:p>
        </w:tc>
        <w:tc>
          <w:tcPr>
            <w:tcW w:w="835" w:type="dxa"/>
            <w:tcBorders>
              <w:tl2br w:val="nil"/>
              <w:tr2bl w:val="nil"/>
            </w:tcBorders>
            <w:vAlign w:val="center"/>
          </w:tcPr>
          <w:p w14:paraId="5D155BA4">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NMP回收液</w:t>
            </w:r>
          </w:p>
        </w:tc>
        <w:tc>
          <w:tcPr>
            <w:tcW w:w="888" w:type="dxa"/>
            <w:tcBorders>
              <w:tl2br w:val="nil"/>
              <w:tr2bl w:val="nil"/>
            </w:tcBorders>
            <w:vAlign w:val="center"/>
          </w:tcPr>
          <w:p w14:paraId="3C8AAB4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w:t>
            </w:r>
          </w:p>
        </w:tc>
        <w:tc>
          <w:tcPr>
            <w:tcW w:w="689" w:type="dxa"/>
            <w:tcBorders>
              <w:tl2br w:val="nil"/>
              <w:tr2bl w:val="nil"/>
            </w:tcBorders>
            <w:vAlign w:val="center"/>
          </w:tcPr>
          <w:p w14:paraId="036544B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w:t>
            </w:r>
          </w:p>
        </w:tc>
        <w:tc>
          <w:tcPr>
            <w:tcW w:w="932" w:type="dxa"/>
            <w:tcBorders>
              <w:tl2br w:val="nil"/>
              <w:tr2bl w:val="nil"/>
            </w:tcBorders>
            <w:vAlign w:val="center"/>
          </w:tcPr>
          <w:p w14:paraId="25ED3BA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40</w:t>
            </w:r>
          </w:p>
        </w:tc>
        <w:tc>
          <w:tcPr>
            <w:tcW w:w="757" w:type="dxa"/>
            <w:tcBorders>
              <w:tl2br w:val="nil"/>
              <w:tr2bl w:val="nil"/>
            </w:tcBorders>
            <w:vAlign w:val="center"/>
          </w:tcPr>
          <w:p w14:paraId="79C3B7E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298</w:t>
            </w:r>
          </w:p>
        </w:tc>
        <w:tc>
          <w:tcPr>
            <w:tcW w:w="1081" w:type="dxa"/>
            <w:tcBorders>
              <w:tl2br w:val="nil"/>
              <w:tr2bl w:val="nil"/>
            </w:tcBorders>
            <w:vAlign w:val="center"/>
          </w:tcPr>
          <w:p w14:paraId="0FC37AF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0.099</w:t>
            </w:r>
          </w:p>
        </w:tc>
        <w:tc>
          <w:tcPr>
            <w:tcW w:w="757" w:type="dxa"/>
            <w:tcBorders>
              <w:tl2br w:val="nil"/>
              <w:tr2bl w:val="nil"/>
            </w:tcBorders>
            <w:vAlign w:val="center"/>
          </w:tcPr>
          <w:p w14:paraId="46A9F75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1.5</w:t>
            </w:r>
          </w:p>
        </w:tc>
        <w:tc>
          <w:tcPr>
            <w:tcW w:w="595" w:type="dxa"/>
            <w:tcBorders>
              <w:tl2br w:val="nil"/>
              <w:tr2bl w:val="nil"/>
            </w:tcBorders>
            <w:vAlign w:val="center"/>
          </w:tcPr>
          <w:p w14:paraId="41403C2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4</w:t>
            </w:r>
          </w:p>
        </w:tc>
        <w:tc>
          <w:tcPr>
            <w:tcW w:w="1054" w:type="dxa"/>
            <w:tcBorders>
              <w:tl2br w:val="nil"/>
              <w:tr2bl w:val="nil"/>
            </w:tcBorders>
            <w:vAlign w:val="center"/>
          </w:tcPr>
          <w:p w14:paraId="0F105A95">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5.285*10</w:t>
            </w:r>
            <w:r>
              <w:rPr>
                <w:rFonts w:hint="eastAsia" w:ascii="Times New Roman" w:hAnsi="Times New Roman" w:cs="Times New Roman"/>
                <w:color w:val="000000" w:themeColor="text1"/>
                <w:sz w:val="21"/>
                <w:szCs w:val="21"/>
                <w:highlight w:val="none"/>
                <w:u w:val="none" w:color="auto"/>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/0.3</w:t>
            </w:r>
          </w:p>
        </w:tc>
        <w:tc>
          <w:tcPr>
            <w:tcW w:w="1105" w:type="dxa"/>
            <w:tcBorders>
              <w:tl2br w:val="nil"/>
              <w:tr2bl w:val="nil"/>
            </w:tcBorders>
            <w:vAlign w:val="center"/>
          </w:tcPr>
          <w:p w14:paraId="4D061EA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0.00001</w:t>
            </w:r>
          </w:p>
        </w:tc>
      </w:tr>
      <w:tr w14:paraId="1C0314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49" w:type="dxa"/>
            <w:tcBorders>
              <w:tl2br w:val="nil"/>
              <w:tr2bl w:val="nil"/>
            </w:tcBorders>
            <w:vAlign w:val="center"/>
          </w:tcPr>
          <w:p w14:paraId="43246EB7">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3</w:t>
            </w:r>
          </w:p>
        </w:tc>
        <w:tc>
          <w:tcPr>
            <w:tcW w:w="835" w:type="dxa"/>
            <w:tcBorders>
              <w:tl2br w:val="nil"/>
              <w:tr2bl w:val="nil"/>
            </w:tcBorders>
            <w:vAlign w:val="center"/>
          </w:tcPr>
          <w:p w14:paraId="2A84F098">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电解液</w:t>
            </w:r>
          </w:p>
        </w:tc>
        <w:tc>
          <w:tcPr>
            <w:tcW w:w="888" w:type="dxa"/>
            <w:tcBorders>
              <w:tl2br w:val="nil"/>
              <w:tr2bl w:val="nil"/>
            </w:tcBorders>
            <w:vAlign w:val="center"/>
          </w:tcPr>
          <w:p w14:paraId="758BF78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w:t>
            </w:r>
          </w:p>
        </w:tc>
        <w:tc>
          <w:tcPr>
            <w:tcW w:w="689" w:type="dxa"/>
            <w:tcBorders>
              <w:tl2br w:val="nil"/>
              <w:tr2bl w:val="nil"/>
            </w:tcBorders>
            <w:vAlign w:val="center"/>
          </w:tcPr>
          <w:p w14:paraId="76F21B9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w:t>
            </w:r>
          </w:p>
        </w:tc>
        <w:tc>
          <w:tcPr>
            <w:tcW w:w="932" w:type="dxa"/>
            <w:tcBorders>
              <w:tl2br w:val="nil"/>
              <w:tr2bl w:val="nil"/>
            </w:tcBorders>
            <w:vAlign w:val="center"/>
          </w:tcPr>
          <w:p w14:paraId="6A75C96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1330</w:t>
            </w:r>
          </w:p>
        </w:tc>
        <w:tc>
          <w:tcPr>
            <w:tcW w:w="757" w:type="dxa"/>
            <w:tcBorders>
              <w:tl2br w:val="nil"/>
              <w:tr2bl w:val="nil"/>
            </w:tcBorders>
            <w:vAlign w:val="center"/>
          </w:tcPr>
          <w:p w14:paraId="0E48521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298</w:t>
            </w:r>
          </w:p>
        </w:tc>
        <w:tc>
          <w:tcPr>
            <w:tcW w:w="1081" w:type="dxa"/>
            <w:tcBorders>
              <w:tl2br w:val="nil"/>
              <w:tr2bl w:val="nil"/>
            </w:tcBorders>
            <w:vAlign w:val="center"/>
          </w:tcPr>
          <w:p w14:paraId="20E7BEE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0.152（以六氟磷</w:t>
            </w:r>
          </w:p>
          <w:p w14:paraId="03F2854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酸锂计)）</w:t>
            </w:r>
          </w:p>
        </w:tc>
        <w:tc>
          <w:tcPr>
            <w:tcW w:w="757" w:type="dxa"/>
            <w:tcBorders>
              <w:tl2br w:val="nil"/>
              <w:tr2bl w:val="nil"/>
            </w:tcBorders>
            <w:vAlign w:val="center"/>
          </w:tcPr>
          <w:p w14:paraId="1EF46AA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1.5</w:t>
            </w:r>
          </w:p>
        </w:tc>
        <w:tc>
          <w:tcPr>
            <w:tcW w:w="595" w:type="dxa"/>
            <w:tcBorders>
              <w:tl2br w:val="nil"/>
              <w:tr2bl w:val="nil"/>
            </w:tcBorders>
            <w:vAlign w:val="center"/>
          </w:tcPr>
          <w:p w14:paraId="13E10D9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1</w:t>
            </w:r>
          </w:p>
        </w:tc>
        <w:tc>
          <w:tcPr>
            <w:tcW w:w="1054" w:type="dxa"/>
            <w:tcBorders>
              <w:tl2br w:val="nil"/>
              <w:tr2bl w:val="nil"/>
            </w:tcBorders>
            <w:vAlign w:val="center"/>
          </w:tcPr>
          <w:p w14:paraId="2B3CFD43">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5.285*10</w:t>
            </w:r>
            <w:r>
              <w:rPr>
                <w:rFonts w:hint="eastAsia" w:ascii="Times New Roman" w:hAnsi="Times New Roman" w:cs="Times New Roman"/>
                <w:color w:val="000000" w:themeColor="text1"/>
                <w:sz w:val="21"/>
                <w:szCs w:val="21"/>
                <w:highlight w:val="none"/>
                <w:u w:val="none" w:color="auto"/>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/0.3</w:t>
            </w:r>
          </w:p>
        </w:tc>
        <w:tc>
          <w:tcPr>
            <w:tcW w:w="1105" w:type="dxa"/>
            <w:tcBorders>
              <w:tl2br w:val="nil"/>
              <w:tr2bl w:val="nil"/>
            </w:tcBorders>
            <w:vAlign w:val="center"/>
          </w:tcPr>
          <w:p w14:paraId="318C9EA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0.00086</w:t>
            </w:r>
          </w:p>
        </w:tc>
      </w:tr>
    </w:tbl>
    <w:p w14:paraId="061651AE">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both"/>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目前国内石化企业事故反应时间一般在10-30min之间，最迟在30min内都能作出应急反应措施，包括切断通往事故源的物料管线、开启倒料管线，利用泵等进行事故源物料转移等。一旦发生泄漏，通常在1min之内即可启动自动截断设施，防止进一步泄漏。若自动切断系统发生故障时，工作人员赶赴现场可在10min之内关闭截断阀。因此，本项目泄漏时间假定为10min，泄漏液体蒸发时间保守按30min考虑</w:t>
      </w:r>
      <w:r>
        <w:rPr>
          <w:rFonts w:hint="eastAsia" w:ascii="Times New Roman" w:hAnsi="Times New Roman" w:cs="Times New Roman"/>
          <w:color w:val="auto"/>
          <w:sz w:val="24"/>
          <w:szCs w:val="24"/>
          <w:highlight w:val="none"/>
          <w:u w:val="none" w:color="auto"/>
          <w:lang w:val="en-US" w:eastAsia="zh-CN"/>
        </w:rPr>
        <w:t>。</w:t>
      </w:r>
    </w:p>
    <w:p w14:paraId="18A0C1BD">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both"/>
        <w:textAlignment w:val="auto"/>
        <w:outlineLvl w:val="9"/>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综上，本项目最大可信事故源强计算结果汇总</w:t>
      </w:r>
      <w:r>
        <w:rPr>
          <w:rFonts w:hint="eastAsia" w:ascii="Times New Roman" w:hAnsi="Times New Roman" w:cs="Times New Roman"/>
          <w:color w:val="auto"/>
          <w:sz w:val="24"/>
          <w:szCs w:val="24"/>
          <w:highlight w:val="none"/>
          <w:u w:val="none" w:color="auto"/>
          <w:lang w:val="en-US" w:eastAsia="zh-CN"/>
        </w:rPr>
        <w:t>见下表。</w:t>
      </w:r>
    </w:p>
    <w:p w14:paraId="6EEF780D">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环境风险源强一览表</w:t>
      </w:r>
    </w:p>
    <w:tbl>
      <w:tblPr>
        <w:tblStyle w:val="3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31"/>
        <w:gridCol w:w="1605"/>
        <w:gridCol w:w="734"/>
        <w:gridCol w:w="924"/>
        <w:gridCol w:w="716"/>
        <w:gridCol w:w="864"/>
        <w:gridCol w:w="945"/>
        <w:gridCol w:w="892"/>
        <w:gridCol w:w="1004"/>
        <w:gridCol w:w="1127"/>
      </w:tblGrid>
      <w:tr w14:paraId="6388DF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31" w:type="dxa"/>
            <w:vMerge w:val="restart"/>
            <w:tcBorders>
              <w:tl2br w:val="nil"/>
              <w:tr2bl w:val="nil"/>
            </w:tcBorders>
            <w:vAlign w:val="center"/>
          </w:tcPr>
          <w:p w14:paraId="1326F72E">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序号</w:t>
            </w:r>
          </w:p>
        </w:tc>
        <w:tc>
          <w:tcPr>
            <w:tcW w:w="1605" w:type="dxa"/>
            <w:vMerge w:val="restart"/>
            <w:tcBorders>
              <w:tl2br w:val="nil"/>
              <w:tr2bl w:val="nil"/>
            </w:tcBorders>
            <w:vAlign w:val="center"/>
          </w:tcPr>
          <w:p w14:paraId="716B2C8D">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风险情形</w:t>
            </w:r>
          </w:p>
        </w:tc>
        <w:tc>
          <w:tcPr>
            <w:tcW w:w="734" w:type="dxa"/>
            <w:vMerge w:val="restart"/>
            <w:tcBorders>
              <w:tl2br w:val="nil"/>
              <w:tr2bl w:val="nil"/>
            </w:tcBorders>
            <w:vAlign w:val="center"/>
          </w:tcPr>
          <w:p w14:paraId="437D02A8">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危险单元</w:t>
            </w:r>
          </w:p>
        </w:tc>
        <w:tc>
          <w:tcPr>
            <w:tcW w:w="924" w:type="dxa"/>
            <w:vMerge w:val="restart"/>
            <w:tcBorders>
              <w:tl2br w:val="nil"/>
              <w:tr2bl w:val="nil"/>
            </w:tcBorders>
            <w:vAlign w:val="center"/>
          </w:tcPr>
          <w:p w14:paraId="7A7ED95D">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危险物质</w:t>
            </w:r>
          </w:p>
        </w:tc>
        <w:tc>
          <w:tcPr>
            <w:tcW w:w="716" w:type="dxa"/>
            <w:vMerge w:val="restart"/>
            <w:tcBorders>
              <w:tl2br w:val="nil"/>
              <w:tr2bl w:val="nil"/>
            </w:tcBorders>
            <w:vAlign w:val="center"/>
          </w:tcPr>
          <w:p w14:paraId="23B5DEE9">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影响途径</w:t>
            </w:r>
          </w:p>
        </w:tc>
        <w:tc>
          <w:tcPr>
            <w:tcW w:w="864" w:type="dxa"/>
            <w:tcBorders>
              <w:tl2br w:val="nil"/>
              <w:tr2bl w:val="nil"/>
            </w:tcBorders>
            <w:vAlign w:val="center"/>
          </w:tcPr>
          <w:p w14:paraId="7050416B">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释放/泄</w:t>
            </w:r>
            <w:r>
              <w:rPr>
                <w:rFonts w:hint="eastAsia" w:ascii="Times New Roman" w:hAnsi="Times New Roman" w:cs="Times New Roman"/>
                <w:sz w:val="21"/>
                <w:szCs w:val="21"/>
                <w:u w:val="none" w:color="auto"/>
                <w:vertAlign w:val="baseline"/>
                <w:lang w:val="en-US" w:eastAsia="zh-CN"/>
              </w:rPr>
              <w:t>漏</w:t>
            </w:r>
            <w:r>
              <w:rPr>
                <w:rFonts w:hint="default" w:ascii="Times New Roman" w:hAnsi="Times New Roman" w:cs="Times New Roman"/>
                <w:sz w:val="21"/>
                <w:szCs w:val="21"/>
                <w:u w:val="none" w:color="auto"/>
                <w:vertAlign w:val="baseline"/>
                <w:lang w:val="en-US" w:eastAsia="zh-CN"/>
              </w:rPr>
              <w:t>速率</w:t>
            </w:r>
          </w:p>
        </w:tc>
        <w:tc>
          <w:tcPr>
            <w:tcW w:w="945" w:type="dxa"/>
            <w:tcBorders>
              <w:tl2br w:val="nil"/>
              <w:tr2bl w:val="nil"/>
            </w:tcBorders>
            <w:vAlign w:val="center"/>
          </w:tcPr>
          <w:p w14:paraId="69D9948C">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释放/ 泄</w:t>
            </w:r>
            <w:r>
              <w:rPr>
                <w:rFonts w:hint="eastAsia" w:ascii="Times New Roman" w:hAnsi="Times New Roman" w:cs="Times New Roman"/>
                <w:sz w:val="21"/>
                <w:szCs w:val="21"/>
                <w:u w:val="none" w:color="auto"/>
                <w:vertAlign w:val="baseline"/>
                <w:lang w:val="en-US" w:eastAsia="zh-CN"/>
              </w:rPr>
              <w:t>漏</w:t>
            </w:r>
            <w:r>
              <w:rPr>
                <w:rFonts w:hint="default" w:ascii="Times New Roman" w:hAnsi="Times New Roman" w:cs="Times New Roman"/>
                <w:sz w:val="21"/>
                <w:szCs w:val="21"/>
                <w:u w:val="none" w:color="auto"/>
                <w:vertAlign w:val="baseline"/>
                <w:lang w:val="en-US" w:eastAsia="zh-CN"/>
              </w:rPr>
              <w:t xml:space="preserve"> 时间</w:t>
            </w:r>
          </w:p>
        </w:tc>
        <w:tc>
          <w:tcPr>
            <w:tcW w:w="892" w:type="dxa"/>
            <w:tcBorders>
              <w:tl2br w:val="nil"/>
              <w:tr2bl w:val="nil"/>
            </w:tcBorders>
            <w:vAlign w:val="center"/>
          </w:tcPr>
          <w:p w14:paraId="156A0C98">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最大释 放/泄漏 量</w:t>
            </w:r>
          </w:p>
        </w:tc>
        <w:tc>
          <w:tcPr>
            <w:tcW w:w="1004" w:type="dxa"/>
            <w:tcBorders>
              <w:tl2br w:val="nil"/>
              <w:tr2bl w:val="nil"/>
            </w:tcBorders>
            <w:vAlign w:val="center"/>
          </w:tcPr>
          <w:p w14:paraId="33629B81">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泄</w:t>
            </w:r>
            <w:r>
              <w:rPr>
                <w:rFonts w:hint="eastAsia" w:ascii="Times New Roman" w:hAnsi="Times New Roman" w:cs="Times New Roman"/>
                <w:sz w:val="21"/>
                <w:szCs w:val="21"/>
                <w:u w:val="none" w:color="auto"/>
                <w:vertAlign w:val="baseline"/>
                <w:lang w:val="en-US" w:eastAsia="zh-CN"/>
              </w:rPr>
              <w:t>漏</w:t>
            </w:r>
            <w:r>
              <w:rPr>
                <w:rFonts w:hint="default" w:ascii="Times New Roman" w:hAnsi="Times New Roman" w:cs="Times New Roman"/>
                <w:sz w:val="21"/>
                <w:szCs w:val="21"/>
                <w:u w:val="none" w:color="auto"/>
                <w:vertAlign w:val="baseline"/>
                <w:lang w:val="en-US" w:eastAsia="zh-CN"/>
              </w:rPr>
              <w:t>蒸发速率</w:t>
            </w:r>
          </w:p>
        </w:tc>
        <w:tc>
          <w:tcPr>
            <w:tcW w:w="1127" w:type="dxa"/>
            <w:tcBorders>
              <w:tl2br w:val="nil"/>
              <w:tr2bl w:val="nil"/>
            </w:tcBorders>
            <w:vAlign w:val="center"/>
          </w:tcPr>
          <w:p w14:paraId="07F60DE4">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泄</w:t>
            </w:r>
            <w:r>
              <w:rPr>
                <w:rFonts w:hint="eastAsia" w:ascii="Times New Roman" w:hAnsi="Times New Roman" w:cs="Times New Roman"/>
                <w:sz w:val="21"/>
                <w:szCs w:val="21"/>
                <w:u w:val="none" w:color="auto"/>
                <w:vertAlign w:val="baseline"/>
                <w:lang w:val="en-US" w:eastAsia="zh-CN"/>
              </w:rPr>
              <w:t>漏</w:t>
            </w:r>
            <w:r>
              <w:rPr>
                <w:rFonts w:hint="default" w:ascii="Times New Roman" w:hAnsi="Times New Roman" w:cs="Times New Roman"/>
                <w:sz w:val="21"/>
                <w:szCs w:val="21"/>
                <w:u w:val="none" w:color="auto"/>
                <w:vertAlign w:val="baseline"/>
                <w:lang w:val="en-US" w:eastAsia="zh-CN"/>
              </w:rPr>
              <w:t>液蒸发量</w:t>
            </w:r>
          </w:p>
        </w:tc>
      </w:tr>
      <w:tr w14:paraId="262F85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31" w:type="dxa"/>
            <w:vMerge w:val="continue"/>
            <w:tcBorders>
              <w:tl2br w:val="nil"/>
              <w:tr2bl w:val="nil"/>
            </w:tcBorders>
            <w:vAlign w:val="center"/>
          </w:tcPr>
          <w:p w14:paraId="75A2F389">
            <w:pPr>
              <w:bidi w:val="0"/>
              <w:rPr>
                <w:rFonts w:hint="default" w:ascii="Times New Roman" w:hAnsi="Times New Roman" w:cs="Times New Roman"/>
                <w:sz w:val="21"/>
                <w:szCs w:val="21"/>
                <w:u w:val="none" w:color="auto"/>
                <w:vertAlign w:val="baseline"/>
                <w:lang w:val="en-US" w:eastAsia="zh-CN"/>
              </w:rPr>
            </w:pPr>
          </w:p>
        </w:tc>
        <w:tc>
          <w:tcPr>
            <w:tcW w:w="1605" w:type="dxa"/>
            <w:vMerge w:val="continue"/>
            <w:tcBorders>
              <w:tl2br w:val="nil"/>
              <w:tr2bl w:val="nil"/>
            </w:tcBorders>
            <w:vAlign w:val="center"/>
          </w:tcPr>
          <w:p w14:paraId="03C57293">
            <w:pPr>
              <w:bidi w:val="0"/>
              <w:rPr>
                <w:rFonts w:hint="default" w:ascii="Times New Roman" w:hAnsi="Times New Roman" w:cs="Times New Roman"/>
                <w:sz w:val="21"/>
                <w:szCs w:val="21"/>
                <w:u w:val="none" w:color="auto"/>
                <w:vertAlign w:val="baseline"/>
                <w:lang w:val="en-US" w:eastAsia="zh-CN"/>
              </w:rPr>
            </w:pPr>
          </w:p>
        </w:tc>
        <w:tc>
          <w:tcPr>
            <w:tcW w:w="734" w:type="dxa"/>
            <w:vMerge w:val="continue"/>
            <w:tcBorders>
              <w:tl2br w:val="nil"/>
              <w:tr2bl w:val="nil"/>
            </w:tcBorders>
            <w:vAlign w:val="center"/>
          </w:tcPr>
          <w:p w14:paraId="36073D24">
            <w:pPr>
              <w:bidi w:val="0"/>
              <w:rPr>
                <w:rFonts w:hint="default" w:ascii="Times New Roman" w:hAnsi="Times New Roman" w:cs="Times New Roman"/>
                <w:sz w:val="21"/>
                <w:szCs w:val="21"/>
                <w:u w:val="none" w:color="auto"/>
                <w:vertAlign w:val="baseline"/>
                <w:lang w:val="en-US" w:eastAsia="zh-CN"/>
              </w:rPr>
            </w:pPr>
          </w:p>
        </w:tc>
        <w:tc>
          <w:tcPr>
            <w:tcW w:w="924" w:type="dxa"/>
            <w:vMerge w:val="continue"/>
            <w:tcBorders>
              <w:tl2br w:val="nil"/>
              <w:tr2bl w:val="nil"/>
            </w:tcBorders>
            <w:vAlign w:val="center"/>
          </w:tcPr>
          <w:p w14:paraId="775124ED">
            <w:pPr>
              <w:bidi w:val="0"/>
              <w:rPr>
                <w:rFonts w:hint="default" w:ascii="Times New Roman" w:hAnsi="Times New Roman" w:cs="Times New Roman"/>
                <w:sz w:val="21"/>
                <w:szCs w:val="21"/>
                <w:u w:val="none" w:color="auto"/>
                <w:vertAlign w:val="baseline"/>
                <w:lang w:val="en-US" w:eastAsia="zh-CN"/>
              </w:rPr>
            </w:pPr>
          </w:p>
        </w:tc>
        <w:tc>
          <w:tcPr>
            <w:tcW w:w="716" w:type="dxa"/>
            <w:vMerge w:val="continue"/>
            <w:tcBorders>
              <w:tl2br w:val="nil"/>
              <w:tr2bl w:val="nil"/>
            </w:tcBorders>
            <w:vAlign w:val="center"/>
          </w:tcPr>
          <w:p w14:paraId="24E031AB">
            <w:pPr>
              <w:bidi w:val="0"/>
              <w:rPr>
                <w:rFonts w:hint="default" w:ascii="Times New Roman" w:hAnsi="Times New Roman" w:cs="Times New Roman"/>
                <w:sz w:val="21"/>
                <w:szCs w:val="21"/>
                <w:u w:val="none" w:color="auto"/>
                <w:vertAlign w:val="baseline"/>
                <w:lang w:val="en-US" w:eastAsia="zh-CN"/>
              </w:rPr>
            </w:pPr>
          </w:p>
        </w:tc>
        <w:tc>
          <w:tcPr>
            <w:tcW w:w="864" w:type="dxa"/>
            <w:tcBorders>
              <w:tl2br w:val="nil"/>
              <w:tr2bl w:val="nil"/>
            </w:tcBorders>
            <w:vAlign w:val="center"/>
          </w:tcPr>
          <w:p w14:paraId="65EF2195">
            <w:pPr>
              <w:bidi w:val="0"/>
              <w:jc w:val="center"/>
              <w:rPr>
                <w:rFonts w:hint="default" w:ascii="Times New Roman" w:hAnsi="Times New Roman" w:cs="Times New Roman"/>
                <w:sz w:val="21"/>
                <w:szCs w:val="21"/>
                <w:u w:val="none" w:color="auto"/>
                <w:vertAlign w:val="baseline"/>
                <w:lang w:val="en-US" w:eastAsia="zh-CN"/>
              </w:rPr>
            </w:pPr>
            <w:r>
              <w:rPr>
                <w:rFonts w:hint="default" w:ascii="Times New Roman" w:hAnsi="Times New Roman" w:eastAsia="宋体" w:cs="Times New Roman"/>
                <w:sz w:val="21"/>
                <w:szCs w:val="21"/>
                <w:u w:val="none" w:color="auto"/>
              </w:rPr>
              <w:t>kg/s</w:t>
            </w:r>
          </w:p>
        </w:tc>
        <w:tc>
          <w:tcPr>
            <w:tcW w:w="945" w:type="dxa"/>
            <w:tcBorders>
              <w:tl2br w:val="nil"/>
              <w:tr2bl w:val="nil"/>
            </w:tcBorders>
            <w:vAlign w:val="center"/>
          </w:tcPr>
          <w:p w14:paraId="2F404569">
            <w:pPr>
              <w:bidi w:val="0"/>
              <w:jc w:val="center"/>
              <w:rPr>
                <w:rFonts w:hint="default" w:ascii="Times New Roman" w:hAnsi="Times New Roman" w:cs="Times New Roman"/>
                <w:sz w:val="21"/>
                <w:szCs w:val="21"/>
                <w:u w:val="none" w:color="auto"/>
                <w:vertAlign w:val="baseline"/>
                <w:lang w:val="en-US" w:eastAsia="zh-CN"/>
              </w:rPr>
            </w:pPr>
            <w:r>
              <w:rPr>
                <w:rFonts w:hint="default" w:ascii="Times New Roman" w:hAnsi="Times New Roman" w:eastAsia="宋体" w:cs="Times New Roman"/>
                <w:sz w:val="21"/>
                <w:szCs w:val="21"/>
                <w:u w:val="none" w:color="auto"/>
              </w:rPr>
              <w:t>min</w:t>
            </w:r>
          </w:p>
        </w:tc>
        <w:tc>
          <w:tcPr>
            <w:tcW w:w="892" w:type="dxa"/>
            <w:tcBorders>
              <w:tl2br w:val="nil"/>
              <w:tr2bl w:val="nil"/>
            </w:tcBorders>
            <w:vAlign w:val="center"/>
          </w:tcPr>
          <w:p w14:paraId="1B11FC5A">
            <w:pPr>
              <w:bidi w:val="0"/>
              <w:jc w:val="center"/>
              <w:rPr>
                <w:rFonts w:hint="default" w:ascii="Times New Roman" w:hAnsi="Times New Roman" w:cs="Times New Roman"/>
                <w:sz w:val="21"/>
                <w:szCs w:val="21"/>
                <w:u w:val="none" w:color="auto"/>
                <w:vertAlign w:val="baseline"/>
                <w:lang w:val="en-US" w:eastAsia="zh-CN"/>
              </w:rPr>
            </w:pPr>
            <w:r>
              <w:rPr>
                <w:rFonts w:hint="default" w:ascii="Times New Roman" w:hAnsi="Times New Roman" w:eastAsia="宋体" w:cs="Times New Roman"/>
                <w:sz w:val="21"/>
                <w:szCs w:val="21"/>
                <w:u w:val="none" w:color="auto"/>
              </w:rPr>
              <w:t>kg</w:t>
            </w:r>
          </w:p>
        </w:tc>
        <w:tc>
          <w:tcPr>
            <w:tcW w:w="1004" w:type="dxa"/>
            <w:tcBorders>
              <w:tl2br w:val="nil"/>
              <w:tr2bl w:val="nil"/>
            </w:tcBorders>
            <w:vAlign w:val="center"/>
          </w:tcPr>
          <w:p w14:paraId="6EDEB82B">
            <w:pPr>
              <w:bidi w:val="0"/>
              <w:jc w:val="center"/>
              <w:rPr>
                <w:rFonts w:hint="default" w:ascii="Times New Roman" w:hAnsi="Times New Roman" w:cs="Times New Roman"/>
                <w:sz w:val="21"/>
                <w:szCs w:val="21"/>
                <w:u w:val="none" w:color="auto"/>
                <w:vertAlign w:val="baseline"/>
                <w:lang w:val="en-US" w:eastAsia="zh-CN"/>
              </w:rPr>
            </w:pPr>
            <w:r>
              <w:rPr>
                <w:rFonts w:hint="default" w:ascii="Times New Roman" w:hAnsi="Times New Roman" w:eastAsia="宋体" w:cs="Times New Roman"/>
                <w:sz w:val="21"/>
                <w:szCs w:val="21"/>
                <w:u w:val="none" w:color="auto"/>
              </w:rPr>
              <w:t>kg/s</w:t>
            </w:r>
          </w:p>
        </w:tc>
        <w:tc>
          <w:tcPr>
            <w:tcW w:w="1127" w:type="dxa"/>
            <w:tcBorders>
              <w:tl2br w:val="nil"/>
              <w:tr2bl w:val="nil"/>
            </w:tcBorders>
            <w:vAlign w:val="center"/>
          </w:tcPr>
          <w:p w14:paraId="3E46FDE3">
            <w:pPr>
              <w:bidi w:val="0"/>
              <w:jc w:val="center"/>
              <w:rPr>
                <w:rFonts w:hint="default" w:ascii="Times New Roman" w:hAnsi="Times New Roman" w:cs="Times New Roman"/>
                <w:sz w:val="21"/>
                <w:szCs w:val="21"/>
                <w:u w:val="none" w:color="auto"/>
                <w:vertAlign w:val="baseline"/>
                <w:lang w:val="en-US" w:eastAsia="zh-CN"/>
              </w:rPr>
            </w:pPr>
            <w:r>
              <w:rPr>
                <w:rFonts w:hint="default" w:ascii="Times New Roman" w:hAnsi="Times New Roman" w:eastAsia="宋体" w:cs="Times New Roman"/>
                <w:sz w:val="21"/>
                <w:szCs w:val="21"/>
                <w:u w:val="none" w:color="auto"/>
              </w:rPr>
              <w:t>kg</w:t>
            </w:r>
          </w:p>
        </w:tc>
      </w:tr>
      <w:tr w14:paraId="56A7A7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31" w:type="dxa"/>
            <w:tcBorders>
              <w:tl2br w:val="nil"/>
              <w:tr2bl w:val="nil"/>
            </w:tcBorders>
            <w:vAlign w:val="center"/>
          </w:tcPr>
          <w:p w14:paraId="568AC9AD">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1</w:t>
            </w:r>
          </w:p>
        </w:tc>
        <w:tc>
          <w:tcPr>
            <w:tcW w:w="1605" w:type="dxa"/>
            <w:tcBorders>
              <w:tl2br w:val="nil"/>
              <w:tr2bl w:val="nil"/>
            </w:tcBorders>
            <w:vAlign w:val="center"/>
          </w:tcPr>
          <w:p w14:paraId="60E314DE">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原料仓库NMP储存罐发生泄漏，泄漏的NMP在围堰内蔓延，蒸发的</w:t>
            </w:r>
          </w:p>
          <w:p w14:paraId="6EEF1160">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NMP在大气中扩散</w:t>
            </w:r>
          </w:p>
        </w:tc>
        <w:tc>
          <w:tcPr>
            <w:tcW w:w="734" w:type="dxa"/>
            <w:tcBorders>
              <w:tl2br w:val="nil"/>
              <w:tr2bl w:val="nil"/>
            </w:tcBorders>
            <w:vAlign w:val="center"/>
          </w:tcPr>
          <w:p w14:paraId="1F75236A">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NMP储罐区</w:t>
            </w:r>
          </w:p>
        </w:tc>
        <w:tc>
          <w:tcPr>
            <w:tcW w:w="924" w:type="dxa"/>
            <w:tcBorders>
              <w:tl2br w:val="nil"/>
              <w:tr2bl w:val="nil"/>
            </w:tcBorders>
            <w:vAlign w:val="center"/>
          </w:tcPr>
          <w:p w14:paraId="2549F6F5">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NMP</w:t>
            </w:r>
          </w:p>
        </w:tc>
        <w:tc>
          <w:tcPr>
            <w:tcW w:w="716" w:type="dxa"/>
            <w:tcBorders>
              <w:tl2br w:val="nil"/>
              <w:tr2bl w:val="nil"/>
            </w:tcBorders>
            <w:vAlign w:val="center"/>
          </w:tcPr>
          <w:p w14:paraId="40C6FA94">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大气</w:t>
            </w:r>
          </w:p>
        </w:tc>
        <w:tc>
          <w:tcPr>
            <w:tcW w:w="864" w:type="dxa"/>
            <w:tcBorders>
              <w:tl2br w:val="nil"/>
              <w:tr2bl w:val="nil"/>
            </w:tcBorders>
            <w:vAlign w:val="center"/>
          </w:tcPr>
          <w:p w14:paraId="2EC88EA6">
            <w:pPr>
              <w:bidi w:val="0"/>
              <w:jc w:val="center"/>
              <w:rPr>
                <w:rFonts w:hint="default" w:ascii="Times New Roman" w:hAnsi="Times New Roman" w:cs="Times New Roman"/>
                <w:sz w:val="21"/>
                <w:szCs w:val="21"/>
                <w:u w:val="none" w:color="auto"/>
                <w:vertAlign w:val="baseline"/>
                <w:lang w:val="en-US" w:eastAsia="zh-CN"/>
              </w:rPr>
            </w:pPr>
            <w:r>
              <w:rPr>
                <w:rFonts w:hint="eastAsia" w:ascii="Times New Roman" w:hAnsi="Times New Roman" w:eastAsia="宋体" w:cs="Times New Roman"/>
                <w:u w:val="none" w:color="auto"/>
                <w:vertAlign w:val="baseline"/>
                <w:lang w:val="en-US" w:eastAsia="zh-CN"/>
              </w:rPr>
              <w:t>0.232</w:t>
            </w:r>
          </w:p>
        </w:tc>
        <w:tc>
          <w:tcPr>
            <w:tcW w:w="945" w:type="dxa"/>
            <w:tcBorders>
              <w:tl2br w:val="nil"/>
              <w:tr2bl w:val="nil"/>
            </w:tcBorders>
            <w:vAlign w:val="center"/>
          </w:tcPr>
          <w:p w14:paraId="53919AE6">
            <w:pPr>
              <w:bidi w:val="0"/>
              <w:jc w:val="center"/>
              <w:rPr>
                <w:rFonts w:hint="default" w:ascii="Times New Roman" w:hAnsi="Times New Roman" w:eastAsia="宋体" w:cs="Times New Roman"/>
                <w:sz w:val="21"/>
                <w:szCs w:val="21"/>
                <w:u w:val="none" w:color="auto"/>
                <w:vertAlign w:val="baseline"/>
                <w:lang w:val="en-US" w:eastAsia="zh-CN"/>
              </w:rPr>
            </w:pPr>
            <w:r>
              <w:rPr>
                <w:rFonts w:hint="eastAsia" w:ascii="Times New Roman" w:hAnsi="Times New Roman" w:eastAsia="宋体" w:cs="Times New Roman"/>
                <w:sz w:val="21"/>
                <w:szCs w:val="21"/>
                <w:u w:val="none" w:color="auto"/>
                <w:vertAlign w:val="baseline"/>
                <w:lang w:val="en-US" w:eastAsia="zh-CN"/>
              </w:rPr>
              <w:t>10</w:t>
            </w:r>
          </w:p>
        </w:tc>
        <w:tc>
          <w:tcPr>
            <w:tcW w:w="892" w:type="dxa"/>
            <w:tcBorders>
              <w:tl2br w:val="nil"/>
              <w:tr2bl w:val="nil"/>
            </w:tcBorders>
            <w:vAlign w:val="center"/>
          </w:tcPr>
          <w:p w14:paraId="6AA15924">
            <w:pPr>
              <w:bidi w:val="0"/>
              <w:jc w:val="center"/>
              <w:rPr>
                <w:rFonts w:hint="default" w:ascii="Times New Roman" w:hAnsi="Times New Roman" w:eastAsia="宋体" w:cs="Times New Roman"/>
                <w:sz w:val="21"/>
                <w:szCs w:val="21"/>
                <w:u w:val="none" w:color="auto"/>
                <w:vertAlign w:val="baseline"/>
                <w:lang w:val="en-US" w:eastAsia="zh-CN"/>
              </w:rPr>
            </w:pPr>
            <w:r>
              <w:rPr>
                <w:rFonts w:hint="eastAsia" w:ascii="Times New Roman" w:hAnsi="Times New Roman" w:eastAsia="宋体" w:cs="Times New Roman"/>
                <w:sz w:val="21"/>
                <w:szCs w:val="21"/>
                <w:u w:val="none" w:color="auto"/>
                <w:vertAlign w:val="baseline"/>
                <w:lang w:val="en-US" w:eastAsia="zh-CN"/>
              </w:rPr>
              <w:t>139.2</w:t>
            </w:r>
          </w:p>
        </w:tc>
        <w:tc>
          <w:tcPr>
            <w:tcW w:w="1004" w:type="dxa"/>
            <w:tcBorders>
              <w:tl2br w:val="nil"/>
              <w:tr2bl w:val="nil"/>
            </w:tcBorders>
            <w:shd w:val="clear" w:color="auto" w:fill="auto"/>
            <w:vAlign w:val="center"/>
          </w:tcPr>
          <w:p w14:paraId="010DB95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cs="Times New Roman"/>
                <w:color w:val="auto"/>
                <w:sz w:val="21"/>
                <w:szCs w:val="21"/>
                <w:highlight w:val="none"/>
                <w:u w:val="none" w:color="auto"/>
                <w:vertAlign w:val="baseline"/>
                <w:lang w:val="en-US" w:eastAsia="zh-CN"/>
              </w:rPr>
              <w:t>0.00002</w:t>
            </w:r>
          </w:p>
        </w:tc>
        <w:tc>
          <w:tcPr>
            <w:tcW w:w="1127" w:type="dxa"/>
            <w:tcBorders>
              <w:tl2br w:val="nil"/>
              <w:tr2bl w:val="nil"/>
            </w:tcBorders>
            <w:vAlign w:val="center"/>
          </w:tcPr>
          <w:p w14:paraId="13885229">
            <w:pPr>
              <w:bidi w:val="0"/>
              <w:jc w:val="center"/>
              <w:rPr>
                <w:rFonts w:hint="default" w:ascii="Times New Roman" w:hAnsi="Times New Roman" w:eastAsia="宋体" w:cs="Times New Roman"/>
                <w:sz w:val="21"/>
                <w:szCs w:val="21"/>
                <w:u w:val="none" w:color="auto"/>
                <w:vertAlign w:val="baseline"/>
                <w:lang w:val="en-US" w:eastAsia="zh-CN"/>
              </w:rPr>
            </w:pPr>
            <w:r>
              <w:rPr>
                <w:rFonts w:hint="eastAsia" w:ascii="Times New Roman" w:hAnsi="Times New Roman" w:eastAsia="宋体" w:cs="Times New Roman"/>
                <w:sz w:val="21"/>
                <w:szCs w:val="21"/>
                <w:u w:val="none" w:color="auto"/>
                <w:vertAlign w:val="baseline"/>
                <w:lang w:val="en-US" w:eastAsia="zh-CN"/>
              </w:rPr>
              <w:t>0.036</w:t>
            </w:r>
          </w:p>
        </w:tc>
      </w:tr>
      <w:tr w14:paraId="0E93B0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31" w:type="dxa"/>
            <w:tcBorders>
              <w:tl2br w:val="nil"/>
              <w:tr2bl w:val="nil"/>
            </w:tcBorders>
            <w:vAlign w:val="center"/>
          </w:tcPr>
          <w:p w14:paraId="1BF8B73B">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2</w:t>
            </w:r>
          </w:p>
        </w:tc>
        <w:tc>
          <w:tcPr>
            <w:tcW w:w="1605" w:type="dxa"/>
            <w:tcBorders>
              <w:tl2br w:val="nil"/>
              <w:tr2bl w:val="nil"/>
            </w:tcBorders>
            <w:vAlign w:val="center"/>
          </w:tcPr>
          <w:p w14:paraId="388F9A3B">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NMP回收液中转罐发生泄漏，泄漏的NMP</w:t>
            </w:r>
          </w:p>
          <w:p w14:paraId="73CFD897">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在围堰内蔓延，蒸发的NMP在大气中扩散</w:t>
            </w:r>
          </w:p>
        </w:tc>
        <w:tc>
          <w:tcPr>
            <w:tcW w:w="734" w:type="dxa"/>
            <w:tcBorders>
              <w:tl2br w:val="nil"/>
              <w:tr2bl w:val="nil"/>
            </w:tcBorders>
            <w:vAlign w:val="center"/>
          </w:tcPr>
          <w:p w14:paraId="62D105F4">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NMP回收液暂存区</w:t>
            </w:r>
          </w:p>
        </w:tc>
        <w:tc>
          <w:tcPr>
            <w:tcW w:w="924" w:type="dxa"/>
            <w:tcBorders>
              <w:tl2br w:val="nil"/>
              <w:tr2bl w:val="nil"/>
            </w:tcBorders>
            <w:vAlign w:val="center"/>
          </w:tcPr>
          <w:p w14:paraId="29D5EE1C">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NMP回收液</w:t>
            </w:r>
          </w:p>
        </w:tc>
        <w:tc>
          <w:tcPr>
            <w:tcW w:w="716" w:type="dxa"/>
            <w:tcBorders>
              <w:tl2br w:val="nil"/>
              <w:tr2bl w:val="nil"/>
            </w:tcBorders>
            <w:vAlign w:val="center"/>
          </w:tcPr>
          <w:p w14:paraId="098506B9">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大气</w:t>
            </w:r>
          </w:p>
        </w:tc>
        <w:tc>
          <w:tcPr>
            <w:tcW w:w="864" w:type="dxa"/>
            <w:tcBorders>
              <w:tl2br w:val="nil"/>
              <w:tr2bl w:val="nil"/>
            </w:tcBorders>
            <w:vAlign w:val="center"/>
          </w:tcPr>
          <w:p w14:paraId="3616EA91">
            <w:pPr>
              <w:bidi w:val="0"/>
              <w:jc w:val="center"/>
              <w:rPr>
                <w:rFonts w:hint="default" w:ascii="Times New Roman" w:hAnsi="Times New Roman" w:cs="Times New Roman"/>
                <w:sz w:val="21"/>
                <w:szCs w:val="21"/>
                <w:u w:val="none" w:color="auto"/>
                <w:vertAlign w:val="baseline"/>
                <w:lang w:val="en-US" w:eastAsia="zh-CN"/>
              </w:rPr>
            </w:pPr>
            <w:r>
              <w:rPr>
                <w:rFonts w:hint="eastAsia" w:ascii="Times New Roman" w:hAnsi="Times New Roman" w:eastAsia="宋体" w:cs="Times New Roman"/>
                <w:u w:val="none" w:color="auto"/>
                <w:vertAlign w:val="baseline"/>
                <w:lang w:val="en-US" w:eastAsia="zh-CN"/>
              </w:rPr>
              <w:t>0.233</w:t>
            </w:r>
          </w:p>
        </w:tc>
        <w:tc>
          <w:tcPr>
            <w:tcW w:w="945" w:type="dxa"/>
            <w:tcBorders>
              <w:tl2br w:val="nil"/>
              <w:tr2bl w:val="nil"/>
            </w:tcBorders>
            <w:vAlign w:val="center"/>
          </w:tcPr>
          <w:p w14:paraId="03E7ACC1">
            <w:pPr>
              <w:bidi w:val="0"/>
              <w:jc w:val="center"/>
              <w:rPr>
                <w:rFonts w:hint="default" w:ascii="Times New Roman" w:hAnsi="Times New Roman" w:eastAsia="宋体" w:cs="Times New Roman"/>
                <w:sz w:val="21"/>
                <w:szCs w:val="21"/>
                <w:u w:val="none" w:color="auto"/>
                <w:vertAlign w:val="baseline"/>
                <w:lang w:val="en-US" w:eastAsia="zh-CN"/>
              </w:rPr>
            </w:pPr>
            <w:r>
              <w:rPr>
                <w:rFonts w:hint="eastAsia" w:ascii="Times New Roman" w:hAnsi="Times New Roman" w:eastAsia="宋体" w:cs="Times New Roman"/>
                <w:sz w:val="21"/>
                <w:szCs w:val="21"/>
                <w:u w:val="none" w:color="auto"/>
                <w:vertAlign w:val="baseline"/>
                <w:lang w:val="en-US" w:eastAsia="zh-CN"/>
              </w:rPr>
              <w:t>10</w:t>
            </w:r>
          </w:p>
        </w:tc>
        <w:tc>
          <w:tcPr>
            <w:tcW w:w="892" w:type="dxa"/>
            <w:tcBorders>
              <w:tl2br w:val="nil"/>
              <w:tr2bl w:val="nil"/>
            </w:tcBorders>
            <w:vAlign w:val="center"/>
          </w:tcPr>
          <w:p w14:paraId="7953F7B0">
            <w:pPr>
              <w:bidi w:val="0"/>
              <w:jc w:val="center"/>
              <w:rPr>
                <w:rFonts w:hint="default" w:ascii="Times New Roman" w:hAnsi="Times New Roman" w:eastAsia="宋体" w:cs="Times New Roman"/>
                <w:sz w:val="21"/>
                <w:szCs w:val="21"/>
                <w:u w:val="none" w:color="auto"/>
                <w:vertAlign w:val="baseline"/>
                <w:lang w:val="en-US" w:eastAsia="zh-CN"/>
              </w:rPr>
            </w:pPr>
            <w:r>
              <w:rPr>
                <w:rFonts w:hint="eastAsia" w:ascii="Times New Roman" w:hAnsi="Times New Roman" w:eastAsia="宋体" w:cs="Times New Roman"/>
                <w:sz w:val="21"/>
                <w:szCs w:val="21"/>
                <w:u w:val="none" w:color="auto"/>
                <w:vertAlign w:val="baseline"/>
                <w:lang w:val="en-US" w:eastAsia="zh-CN"/>
              </w:rPr>
              <w:t>139.8</w:t>
            </w:r>
          </w:p>
        </w:tc>
        <w:tc>
          <w:tcPr>
            <w:tcW w:w="1004" w:type="dxa"/>
            <w:tcBorders>
              <w:tl2br w:val="nil"/>
              <w:tr2bl w:val="nil"/>
            </w:tcBorders>
            <w:shd w:val="clear" w:color="auto" w:fill="auto"/>
            <w:vAlign w:val="center"/>
          </w:tcPr>
          <w:p w14:paraId="587BE30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default" w:ascii="Times New Roman" w:hAnsi="Times New Roman" w:cs="Times New Roman"/>
                <w:color w:val="auto"/>
                <w:sz w:val="21"/>
                <w:szCs w:val="21"/>
                <w:highlight w:val="none"/>
                <w:u w:val="none" w:color="auto"/>
                <w:vertAlign w:val="baseline"/>
                <w:lang w:val="en-US" w:eastAsia="zh-CN"/>
              </w:rPr>
              <w:t>0.00001</w:t>
            </w:r>
          </w:p>
        </w:tc>
        <w:tc>
          <w:tcPr>
            <w:tcW w:w="1127" w:type="dxa"/>
            <w:tcBorders>
              <w:tl2br w:val="nil"/>
              <w:tr2bl w:val="nil"/>
            </w:tcBorders>
            <w:vAlign w:val="center"/>
          </w:tcPr>
          <w:p w14:paraId="052E1E4C">
            <w:pPr>
              <w:bidi w:val="0"/>
              <w:jc w:val="center"/>
              <w:rPr>
                <w:rFonts w:hint="default" w:ascii="Times New Roman" w:hAnsi="Times New Roman" w:eastAsia="宋体" w:cs="Times New Roman"/>
                <w:sz w:val="21"/>
                <w:szCs w:val="21"/>
                <w:u w:val="none" w:color="auto"/>
                <w:vertAlign w:val="baseline"/>
                <w:lang w:val="en-US" w:eastAsia="zh-CN"/>
              </w:rPr>
            </w:pPr>
            <w:r>
              <w:rPr>
                <w:rFonts w:hint="eastAsia" w:ascii="Times New Roman" w:hAnsi="Times New Roman" w:eastAsia="宋体" w:cs="Times New Roman"/>
                <w:sz w:val="21"/>
                <w:szCs w:val="21"/>
                <w:u w:val="none" w:color="auto"/>
                <w:vertAlign w:val="baseline"/>
                <w:lang w:val="en-US" w:eastAsia="zh-CN"/>
              </w:rPr>
              <w:t>0.018</w:t>
            </w:r>
          </w:p>
        </w:tc>
      </w:tr>
      <w:tr w14:paraId="0779A0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31" w:type="dxa"/>
            <w:tcBorders>
              <w:tl2br w:val="nil"/>
              <w:tr2bl w:val="nil"/>
            </w:tcBorders>
            <w:vAlign w:val="center"/>
          </w:tcPr>
          <w:p w14:paraId="19459C57">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3</w:t>
            </w:r>
          </w:p>
        </w:tc>
        <w:tc>
          <w:tcPr>
            <w:tcW w:w="1605" w:type="dxa"/>
            <w:tcBorders>
              <w:tl2br w:val="nil"/>
              <w:tr2bl w:val="nil"/>
            </w:tcBorders>
            <w:vAlign w:val="center"/>
          </w:tcPr>
          <w:p w14:paraId="2309B656">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原料仓库电解液储存桶发生泄漏，泄漏的电解液在</w:t>
            </w:r>
            <w:r>
              <w:rPr>
                <w:rFonts w:hint="eastAsia" w:ascii="Times New Roman" w:hAnsi="Times New Roman" w:cs="Times New Roman"/>
                <w:sz w:val="21"/>
                <w:szCs w:val="21"/>
                <w:u w:val="none" w:color="auto"/>
                <w:vertAlign w:val="baseline"/>
                <w:lang w:val="en-US" w:eastAsia="zh-CN"/>
              </w:rPr>
              <w:t>围堰内</w:t>
            </w:r>
            <w:r>
              <w:rPr>
                <w:rFonts w:hint="default" w:ascii="Times New Roman" w:hAnsi="Times New Roman" w:cs="Times New Roman"/>
                <w:sz w:val="21"/>
                <w:szCs w:val="21"/>
                <w:u w:val="none" w:color="auto"/>
                <w:vertAlign w:val="baseline"/>
                <w:lang w:val="en-US" w:eastAsia="zh-CN"/>
              </w:rPr>
              <w:t>内蔓延，蒸发</w:t>
            </w:r>
          </w:p>
          <w:p w14:paraId="73E7E1BB">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的电解液在大气中扩散</w:t>
            </w:r>
          </w:p>
        </w:tc>
        <w:tc>
          <w:tcPr>
            <w:tcW w:w="734" w:type="dxa"/>
            <w:tcBorders>
              <w:tl2br w:val="nil"/>
              <w:tr2bl w:val="nil"/>
            </w:tcBorders>
            <w:vAlign w:val="center"/>
          </w:tcPr>
          <w:p w14:paraId="7619E0BF">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原料仓库</w:t>
            </w:r>
          </w:p>
        </w:tc>
        <w:tc>
          <w:tcPr>
            <w:tcW w:w="924" w:type="dxa"/>
            <w:tcBorders>
              <w:tl2br w:val="nil"/>
              <w:tr2bl w:val="nil"/>
            </w:tcBorders>
            <w:vAlign w:val="center"/>
          </w:tcPr>
          <w:p w14:paraId="09099081">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电解液</w:t>
            </w:r>
          </w:p>
        </w:tc>
        <w:tc>
          <w:tcPr>
            <w:tcW w:w="716" w:type="dxa"/>
            <w:tcBorders>
              <w:tl2br w:val="nil"/>
              <w:tr2bl w:val="nil"/>
            </w:tcBorders>
            <w:vAlign w:val="center"/>
          </w:tcPr>
          <w:p w14:paraId="1FBDDEAC">
            <w:pPr>
              <w:bidi w:val="0"/>
              <w:rPr>
                <w:rFonts w:hint="default" w:ascii="Times New Roman" w:hAnsi="Times New Roman" w:cs="Times New Roman"/>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大气</w:t>
            </w:r>
          </w:p>
        </w:tc>
        <w:tc>
          <w:tcPr>
            <w:tcW w:w="864" w:type="dxa"/>
            <w:tcBorders>
              <w:tl2br w:val="nil"/>
              <w:tr2bl w:val="nil"/>
            </w:tcBorders>
            <w:vAlign w:val="center"/>
          </w:tcPr>
          <w:p w14:paraId="3F925869">
            <w:pPr>
              <w:bidi w:val="0"/>
              <w:jc w:val="center"/>
              <w:rPr>
                <w:rFonts w:hint="default" w:ascii="Times New Roman" w:hAnsi="Times New Roman" w:cs="Times New Roman"/>
                <w:sz w:val="21"/>
                <w:szCs w:val="21"/>
                <w:u w:val="none" w:color="auto"/>
                <w:vertAlign w:val="baseline"/>
                <w:lang w:val="en-US" w:eastAsia="zh-CN"/>
              </w:rPr>
            </w:pPr>
            <w:r>
              <w:rPr>
                <w:rFonts w:hint="eastAsia" w:ascii="Times New Roman" w:hAnsi="Times New Roman" w:eastAsia="宋体" w:cs="Times New Roman"/>
                <w:u w:val="none" w:color="auto"/>
                <w:vertAlign w:val="baseline"/>
                <w:lang w:val="en-US" w:eastAsia="zh-CN"/>
              </w:rPr>
              <w:t>0.339</w:t>
            </w:r>
          </w:p>
        </w:tc>
        <w:tc>
          <w:tcPr>
            <w:tcW w:w="945" w:type="dxa"/>
            <w:tcBorders>
              <w:tl2br w:val="nil"/>
              <w:tr2bl w:val="nil"/>
            </w:tcBorders>
            <w:vAlign w:val="center"/>
          </w:tcPr>
          <w:p w14:paraId="221C83C4">
            <w:pPr>
              <w:bidi w:val="0"/>
              <w:jc w:val="center"/>
              <w:rPr>
                <w:rFonts w:hint="default" w:ascii="Times New Roman" w:hAnsi="Times New Roman" w:eastAsia="宋体" w:cs="Times New Roman"/>
                <w:sz w:val="21"/>
                <w:szCs w:val="21"/>
                <w:u w:val="none" w:color="auto"/>
                <w:vertAlign w:val="baseline"/>
                <w:lang w:val="en-US" w:eastAsia="zh-CN"/>
              </w:rPr>
            </w:pPr>
            <w:r>
              <w:rPr>
                <w:rFonts w:hint="eastAsia" w:ascii="Times New Roman" w:hAnsi="Times New Roman" w:eastAsia="宋体" w:cs="Times New Roman"/>
                <w:sz w:val="21"/>
                <w:szCs w:val="21"/>
                <w:u w:val="none" w:color="auto"/>
                <w:vertAlign w:val="baseline"/>
                <w:lang w:val="en-US" w:eastAsia="zh-CN"/>
              </w:rPr>
              <w:t>10</w:t>
            </w:r>
          </w:p>
        </w:tc>
        <w:tc>
          <w:tcPr>
            <w:tcW w:w="892" w:type="dxa"/>
            <w:tcBorders>
              <w:tl2br w:val="nil"/>
              <w:tr2bl w:val="nil"/>
            </w:tcBorders>
            <w:vAlign w:val="center"/>
          </w:tcPr>
          <w:p w14:paraId="52E08F8E">
            <w:pPr>
              <w:bidi w:val="0"/>
              <w:jc w:val="center"/>
              <w:rPr>
                <w:rFonts w:hint="default" w:ascii="Times New Roman" w:hAnsi="Times New Roman" w:eastAsia="宋体" w:cs="Times New Roman"/>
                <w:sz w:val="21"/>
                <w:szCs w:val="21"/>
                <w:u w:val="none" w:color="auto"/>
                <w:vertAlign w:val="baseline"/>
                <w:lang w:val="en-US" w:eastAsia="zh-CN"/>
              </w:rPr>
            </w:pPr>
            <w:r>
              <w:rPr>
                <w:rFonts w:hint="eastAsia" w:ascii="Times New Roman" w:hAnsi="Times New Roman" w:eastAsia="宋体" w:cs="Times New Roman"/>
                <w:sz w:val="21"/>
                <w:szCs w:val="21"/>
                <w:u w:val="none" w:color="auto"/>
                <w:vertAlign w:val="baseline"/>
                <w:lang w:val="en-US" w:eastAsia="zh-CN"/>
              </w:rPr>
              <w:t>203.4</w:t>
            </w:r>
          </w:p>
        </w:tc>
        <w:tc>
          <w:tcPr>
            <w:tcW w:w="1004" w:type="dxa"/>
            <w:tcBorders>
              <w:tl2br w:val="nil"/>
              <w:tr2bl w:val="nil"/>
            </w:tcBorders>
            <w:shd w:val="clear" w:color="auto" w:fill="auto"/>
            <w:vAlign w:val="center"/>
          </w:tcPr>
          <w:p w14:paraId="6EF4848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cs="Times New Roman"/>
                <w:color w:val="auto"/>
                <w:sz w:val="21"/>
                <w:szCs w:val="21"/>
                <w:highlight w:val="none"/>
                <w:u w:val="none" w:color="auto"/>
                <w:vertAlign w:val="baseline"/>
                <w:lang w:val="en-US" w:eastAsia="zh-CN"/>
              </w:rPr>
              <w:t>0.00086</w:t>
            </w:r>
          </w:p>
        </w:tc>
        <w:tc>
          <w:tcPr>
            <w:tcW w:w="1127" w:type="dxa"/>
            <w:tcBorders>
              <w:tl2br w:val="nil"/>
              <w:tr2bl w:val="nil"/>
            </w:tcBorders>
            <w:vAlign w:val="center"/>
          </w:tcPr>
          <w:p w14:paraId="0C16628C">
            <w:pPr>
              <w:bidi w:val="0"/>
              <w:jc w:val="center"/>
              <w:rPr>
                <w:rFonts w:hint="default" w:ascii="Times New Roman" w:hAnsi="Times New Roman" w:eastAsia="宋体" w:cs="Times New Roman"/>
                <w:sz w:val="21"/>
                <w:szCs w:val="21"/>
                <w:u w:val="none" w:color="auto"/>
                <w:vertAlign w:val="baseline"/>
                <w:lang w:val="en-US" w:eastAsia="zh-CN"/>
              </w:rPr>
            </w:pPr>
            <w:r>
              <w:rPr>
                <w:rFonts w:hint="eastAsia" w:ascii="Times New Roman" w:hAnsi="Times New Roman" w:eastAsia="宋体" w:cs="Times New Roman"/>
                <w:sz w:val="21"/>
                <w:szCs w:val="21"/>
                <w:u w:val="none" w:color="auto"/>
                <w:vertAlign w:val="baseline"/>
                <w:lang w:val="en-US" w:eastAsia="zh-CN"/>
              </w:rPr>
              <w:t>1.548</w:t>
            </w:r>
          </w:p>
        </w:tc>
      </w:tr>
    </w:tbl>
    <w:p w14:paraId="3D291256">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both"/>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lang w:val="en-US" w:eastAsia="zh-CN"/>
        </w:rPr>
        <w:t>（3）火灾伴生/次生污染物一氧化炭</w:t>
      </w:r>
      <w:r>
        <w:rPr>
          <w:rFonts w:hint="eastAsia" w:ascii="Times New Roman" w:hAnsi="Times New Roman" w:eastAsia="宋体" w:cs="Times New Roman"/>
          <w:color w:val="auto"/>
          <w:sz w:val="24"/>
          <w:szCs w:val="24"/>
          <w:highlight w:val="none"/>
          <w:u w:val="none" w:color="auto"/>
          <w:lang w:val="en-US" w:eastAsia="zh-CN"/>
        </w:rPr>
        <w:t>、HF</w:t>
      </w:r>
      <w:r>
        <w:rPr>
          <w:rFonts w:hint="default" w:ascii="Times New Roman" w:hAnsi="Times New Roman" w:eastAsia="宋体" w:cs="Times New Roman"/>
          <w:color w:val="auto"/>
          <w:sz w:val="24"/>
          <w:szCs w:val="24"/>
          <w:highlight w:val="none"/>
          <w:u w:val="none" w:color="auto"/>
          <w:lang w:val="en-US" w:eastAsia="zh-CN"/>
        </w:rPr>
        <w:t>产生量估算</w:t>
      </w:r>
    </w:p>
    <w:p w14:paraId="04E45444">
      <w:pPr>
        <w:keepNext w:val="0"/>
        <w:keepLines w:val="0"/>
        <w:pageBreakBefore w:val="0"/>
        <w:widowControl w:val="0"/>
        <w:kinsoku/>
        <w:wordWrap/>
        <w:overflowPunct/>
        <w:topLinePunct w:val="0"/>
        <w:autoSpaceDE/>
        <w:autoSpaceDN/>
        <w:bidi w:val="0"/>
        <w:adjustRightInd/>
        <w:snapToGrid w:val="0"/>
        <w:spacing w:line="520" w:lineRule="exact"/>
        <w:jc w:val="left"/>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lang w:val="en-US" w:eastAsia="zh-CN"/>
        </w:rPr>
        <w:t>火灾伴生/次生一氧化炭产生量按下式计算。</w:t>
      </w:r>
    </w:p>
    <w:p w14:paraId="10E1D0D7">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lang w:val="en-US" w:eastAsia="zh-CN"/>
        </w:rPr>
        <w:t>G</w:t>
      </w:r>
      <w:r>
        <w:rPr>
          <w:rFonts w:hint="default" w:ascii="Times New Roman" w:hAnsi="Times New Roman" w:eastAsia="宋体" w:cs="Times New Roman"/>
          <w:color w:val="auto"/>
          <w:sz w:val="24"/>
          <w:szCs w:val="24"/>
          <w:highlight w:val="none"/>
          <w:u w:val="none" w:color="auto"/>
          <w:vertAlign w:val="subscript"/>
          <w:lang w:val="en-US" w:eastAsia="zh-CN"/>
        </w:rPr>
        <w:t>一氧化炭</w:t>
      </w:r>
      <w:r>
        <w:rPr>
          <w:rFonts w:hint="default" w:ascii="Times New Roman" w:hAnsi="Times New Roman" w:eastAsia="宋体" w:cs="Times New Roman"/>
          <w:color w:val="auto"/>
          <w:sz w:val="24"/>
          <w:szCs w:val="24"/>
          <w:highlight w:val="none"/>
          <w:u w:val="none" w:color="auto"/>
          <w:lang w:val="en-US" w:eastAsia="zh-CN"/>
        </w:rPr>
        <w:t>=2330qCQ</w:t>
      </w:r>
    </w:p>
    <w:p w14:paraId="281F272A">
      <w:pPr>
        <w:keepNext w:val="0"/>
        <w:keepLines w:val="0"/>
        <w:pageBreakBefore w:val="0"/>
        <w:widowControl w:val="0"/>
        <w:kinsoku/>
        <w:wordWrap/>
        <w:overflowPunct/>
        <w:topLinePunct w:val="0"/>
        <w:autoSpaceDE/>
        <w:autoSpaceDN/>
        <w:bidi w:val="0"/>
        <w:adjustRightInd/>
        <w:snapToGrid w:val="0"/>
        <w:spacing w:line="520" w:lineRule="exact"/>
        <w:ind w:firstLine="1200" w:firstLineChars="500"/>
        <w:jc w:val="left"/>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lang w:val="en-US" w:eastAsia="zh-CN"/>
        </w:rPr>
        <w:t>式中：G</w:t>
      </w:r>
      <w:r>
        <w:rPr>
          <w:rFonts w:hint="default" w:ascii="Times New Roman" w:hAnsi="Times New Roman" w:eastAsia="宋体" w:cs="Times New Roman"/>
          <w:color w:val="auto"/>
          <w:sz w:val="24"/>
          <w:szCs w:val="24"/>
          <w:highlight w:val="none"/>
          <w:u w:val="none" w:color="auto"/>
          <w:vertAlign w:val="subscript"/>
          <w:lang w:val="en-US" w:eastAsia="zh-CN"/>
        </w:rPr>
        <w:t>一氧化炭</w:t>
      </w:r>
      <w:r>
        <w:rPr>
          <w:rFonts w:hint="default" w:ascii="Times New Roman" w:hAnsi="Times New Roman" w:eastAsia="宋体" w:cs="Times New Roman"/>
          <w:color w:val="auto"/>
          <w:sz w:val="24"/>
          <w:szCs w:val="24"/>
          <w:highlight w:val="none"/>
          <w:u w:val="none" w:color="auto"/>
          <w:lang w:val="en-US" w:eastAsia="zh-CN"/>
        </w:rPr>
        <w:t>—一氧化炭的产生量，kg/s；</w:t>
      </w:r>
    </w:p>
    <w:p w14:paraId="158E8CC1">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lang w:val="en-US" w:eastAsia="zh-CN"/>
        </w:rPr>
        <w:t>C—物质中炭的含量</w:t>
      </w:r>
      <w:r>
        <w:rPr>
          <w:rFonts w:hint="eastAsia" w:ascii="Times New Roman" w:hAnsi="Times New Roman" w:eastAsia="宋体" w:cs="Times New Roman"/>
          <w:color w:val="auto"/>
          <w:sz w:val="24"/>
          <w:szCs w:val="24"/>
          <w:highlight w:val="none"/>
          <w:u w:val="none" w:color="auto"/>
          <w:lang w:val="en-US" w:eastAsia="zh-CN"/>
        </w:rPr>
        <w:t>，混合物取0.4</w:t>
      </w:r>
      <w:r>
        <w:rPr>
          <w:rFonts w:hint="default" w:ascii="Times New Roman" w:hAnsi="Times New Roman" w:eastAsia="宋体" w:cs="Times New Roman"/>
          <w:color w:val="auto"/>
          <w:sz w:val="24"/>
          <w:szCs w:val="24"/>
          <w:highlight w:val="none"/>
          <w:u w:val="none" w:color="auto"/>
          <w:lang w:val="en-US" w:eastAsia="zh-CN"/>
        </w:rPr>
        <w:t>；</w:t>
      </w:r>
    </w:p>
    <w:p w14:paraId="602A36F6">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lang w:val="en-US" w:eastAsia="zh-CN"/>
        </w:rPr>
        <w:t>q—化学不完全燃烧值</w:t>
      </w:r>
      <w:r>
        <w:rPr>
          <w:rFonts w:hint="eastAsia" w:ascii="Times New Roman" w:hAnsi="Times New Roman" w:eastAsia="宋体" w:cs="Times New Roman"/>
          <w:color w:val="auto"/>
          <w:sz w:val="24"/>
          <w:szCs w:val="24"/>
          <w:highlight w:val="none"/>
          <w:u w:val="none" w:color="auto"/>
          <w:lang w:val="en-US" w:eastAsia="zh-CN"/>
        </w:rPr>
        <w:t>，</w:t>
      </w:r>
      <w:r>
        <w:rPr>
          <w:spacing w:val="0"/>
          <w:w w:val="100"/>
          <w:kern w:val="21"/>
          <w:position w:val="0"/>
          <w:sz w:val="24"/>
          <w:u w:val="none" w:color="auto"/>
        </w:rPr>
        <w:t>6.0%</w:t>
      </w:r>
      <w:r>
        <w:rPr>
          <w:rFonts w:hint="default" w:ascii="Times New Roman" w:hAnsi="Times New Roman" w:eastAsia="宋体" w:cs="Times New Roman"/>
          <w:color w:val="auto"/>
          <w:sz w:val="24"/>
          <w:szCs w:val="24"/>
          <w:highlight w:val="none"/>
          <w:u w:val="none" w:color="auto"/>
          <w:lang w:val="en-US" w:eastAsia="zh-CN"/>
        </w:rPr>
        <w:t>；</w:t>
      </w:r>
    </w:p>
    <w:p w14:paraId="33E5A53B">
      <w:pPr>
        <w:keepNext w:val="0"/>
        <w:keepLines w:val="0"/>
        <w:pageBreakBefore w:val="0"/>
        <w:widowControl w:val="0"/>
        <w:kinsoku/>
        <w:wordWrap/>
        <w:overflowPunct/>
        <w:topLinePunct w:val="0"/>
        <w:autoSpaceDE/>
        <w:autoSpaceDN/>
        <w:bidi w:val="0"/>
        <w:adjustRightInd/>
        <w:snapToGrid w:val="0"/>
        <w:spacing w:line="520" w:lineRule="exact"/>
        <w:ind w:firstLine="1680" w:firstLineChars="700"/>
        <w:jc w:val="left"/>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lang w:val="en-US" w:eastAsia="zh-CN"/>
        </w:rPr>
        <w:t>Q—参与燃烧的物质值</w:t>
      </w:r>
      <w:r>
        <w:rPr>
          <w:rFonts w:hint="eastAsia" w:ascii="Times New Roman" w:hAnsi="Times New Roman" w:eastAsia="宋体" w:cs="Times New Roman"/>
          <w:color w:val="auto"/>
          <w:sz w:val="24"/>
          <w:szCs w:val="24"/>
          <w:highlight w:val="none"/>
          <w:u w:val="none" w:color="auto"/>
          <w:lang w:val="en-US" w:eastAsia="zh-CN"/>
        </w:rPr>
        <w:t>，t/s。</w:t>
      </w:r>
    </w:p>
    <w:p w14:paraId="29A3FF35">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eastAsia"/>
          <w:color w:val="000000"/>
          <w:spacing w:val="0"/>
          <w:w w:val="100"/>
          <w:kern w:val="21"/>
          <w:position w:val="0"/>
          <w:sz w:val="24"/>
          <w:u w:val="none" w:color="auto"/>
          <w:lang w:val="en-US" w:eastAsia="zh-CN"/>
        </w:rPr>
        <w:t>本项目以电解液泄漏遇明火发生爆炸计，泄漏速率为0.232</w:t>
      </w:r>
      <w:r>
        <w:rPr>
          <w:color w:val="000000"/>
          <w:spacing w:val="0"/>
          <w:w w:val="100"/>
          <w:kern w:val="21"/>
          <w:position w:val="0"/>
          <w:sz w:val="24"/>
          <w:u w:val="none" w:color="auto"/>
        </w:rPr>
        <w:t>kg/s</w:t>
      </w:r>
      <w:r>
        <w:rPr>
          <w:rFonts w:hint="eastAsia"/>
          <w:color w:val="000000"/>
          <w:spacing w:val="0"/>
          <w:w w:val="100"/>
          <w:kern w:val="21"/>
          <w:position w:val="0"/>
          <w:sz w:val="24"/>
          <w:u w:val="none" w:color="auto"/>
          <w:lang w:eastAsia="zh-CN"/>
        </w:rPr>
        <w:t>，</w:t>
      </w:r>
      <w:r>
        <w:rPr>
          <w:rFonts w:hint="eastAsia"/>
          <w:color w:val="000000"/>
          <w:spacing w:val="0"/>
          <w:w w:val="100"/>
          <w:kern w:val="21"/>
          <w:position w:val="0"/>
          <w:sz w:val="24"/>
          <w:u w:val="none" w:color="auto"/>
          <w:lang w:val="en-US" w:eastAsia="zh-CN"/>
        </w:rPr>
        <w:t>计算得</w:t>
      </w:r>
      <w:r>
        <w:rPr>
          <w:rFonts w:hint="default" w:ascii="Times New Roman" w:hAnsi="Times New Roman" w:eastAsia="宋体" w:cs="Times New Roman"/>
          <w:color w:val="auto"/>
          <w:sz w:val="24"/>
          <w:szCs w:val="24"/>
          <w:highlight w:val="none"/>
          <w:u w:val="none" w:color="auto"/>
          <w:lang w:val="en-US" w:eastAsia="zh-CN"/>
        </w:rPr>
        <w:t>G</w:t>
      </w:r>
      <w:r>
        <w:rPr>
          <w:rFonts w:hint="default" w:ascii="Times New Roman" w:hAnsi="Times New Roman" w:eastAsia="宋体" w:cs="Times New Roman"/>
          <w:color w:val="auto"/>
          <w:sz w:val="24"/>
          <w:szCs w:val="24"/>
          <w:highlight w:val="none"/>
          <w:u w:val="none" w:color="auto"/>
          <w:vertAlign w:val="subscript"/>
          <w:lang w:val="en-US" w:eastAsia="zh-CN"/>
        </w:rPr>
        <w:t>一氧化炭</w:t>
      </w:r>
      <w:r>
        <w:rPr>
          <w:rFonts w:hint="eastAsia" w:ascii="Times New Roman" w:hAnsi="Times New Roman" w:eastAsia="宋体" w:cs="Times New Roman"/>
          <w:color w:val="auto"/>
          <w:sz w:val="24"/>
          <w:szCs w:val="24"/>
          <w:highlight w:val="none"/>
          <w:u w:val="none" w:color="auto"/>
          <w:vertAlign w:val="baseline"/>
          <w:lang w:val="en-US" w:eastAsia="zh-CN"/>
        </w:rPr>
        <w:t>为0.013</w:t>
      </w:r>
      <w:r>
        <w:rPr>
          <w:rFonts w:hint="default" w:ascii="Times New Roman" w:hAnsi="Times New Roman" w:eastAsia="宋体" w:cs="Times New Roman"/>
          <w:color w:val="auto"/>
          <w:sz w:val="24"/>
          <w:szCs w:val="24"/>
          <w:highlight w:val="none"/>
          <w:u w:val="none" w:color="auto"/>
          <w:lang w:val="en-US" w:eastAsia="zh-CN"/>
        </w:rPr>
        <w:t>kg/s</w:t>
      </w:r>
      <w:r>
        <w:rPr>
          <w:rFonts w:hint="eastAsia" w:ascii="Times New Roman" w:hAnsi="Times New Roman" w:eastAsia="宋体" w:cs="Times New Roman"/>
          <w:color w:val="auto"/>
          <w:sz w:val="24"/>
          <w:szCs w:val="24"/>
          <w:highlight w:val="none"/>
          <w:u w:val="none" w:color="auto"/>
          <w:lang w:val="en-US" w:eastAsia="zh-CN"/>
        </w:rPr>
        <w:t>。火灾全过程 CO 总产生量（保守燃烧时长 30min=1800s），则火灾全过程 CO 总产生量23.4</w:t>
      </w:r>
      <w:r>
        <w:rPr>
          <w:rFonts w:hint="default" w:ascii="Times New Roman" w:hAnsi="Times New Roman" w:eastAsia="宋体" w:cs="Times New Roman"/>
          <w:color w:val="auto"/>
          <w:sz w:val="24"/>
          <w:szCs w:val="24"/>
          <w:highlight w:val="none"/>
          <w:u w:val="none" w:color="auto"/>
          <w:lang w:val="en-US" w:eastAsia="zh-CN"/>
        </w:rPr>
        <w:t>kg</w:t>
      </w:r>
      <w:r>
        <w:rPr>
          <w:rFonts w:hint="eastAsia" w:ascii="Times New Roman" w:hAnsi="Times New Roman" w:eastAsia="宋体" w:cs="Times New Roman"/>
          <w:color w:val="auto"/>
          <w:sz w:val="24"/>
          <w:szCs w:val="24"/>
          <w:highlight w:val="none"/>
          <w:u w:val="none" w:color="auto"/>
          <w:lang w:val="en-US" w:eastAsia="zh-CN"/>
        </w:rPr>
        <w:t>。</w:t>
      </w:r>
    </w:p>
    <w:p w14:paraId="4D4A6DEF">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lang w:val="en-US" w:eastAsia="zh-CN"/>
        </w:rPr>
        <w:t>火灾伴生/次生</w:t>
      </w:r>
      <w:r>
        <w:rPr>
          <w:rFonts w:hint="eastAsia" w:ascii="Times New Roman" w:hAnsi="Times New Roman" w:eastAsia="宋体" w:cs="Times New Roman"/>
          <w:color w:val="auto"/>
          <w:sz w:val="24"/>
          <w:szCs w:val="24"/>
          <w:highlight w:val="none"/>
          <w:u w:val="none" w:color="auto"/>
          <w:lang w:val="en-US" w:eastAsia="zh-CN"/>
        </w:rPr>
        <w:t>HF</w:t>
      </w:r>
      <w:r>
        <w:rPr>
          <w:rFonts w:hint="default" w:ascii="Times New Roman" w:hAnsi="Times New Roman" w:eastAsia="宋体" w:cs="Times New Roman"/>
          <w:color w:val="auto"/>
          <w:sz w:val="24"/>
          <w:szCs w:val="24"/>
          <w:highlight w:val="none"/>
          <w:u w:val="none" w:color="auto"/>
          <w:lang w:val="en-US" w:eastAsia="zh-CN"/>
        </w:rPr>
        <w:t>产生量按下式计算。</w:t>
      </w:r>
    </w:p>
    <w:p w14:paraId="4D23F153">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eastAsia="宋体" w:cs="Times New Roman"/>
          <w:color w:val="0000FF"/>
          <w:sz w:val="24"/>
          <w:szCs w:val="24"/>
          <w:highlight w:val="none"/>
          <w:u w:val="none" w:color="auto"/>
          <w:vertAlign w:val="baseline"/>
          <w:lang w:val="en-US" w:eastAsia="zh-CN"/>
        </w:rPr>
      </w:pPr>
      <w:r>
        <w:rPr>
          <w:rFonts w:hint="default" w:ascii="Times New Roman" w:hAnsi="Times New Roman" w:eastAsia="宋体" w:cs="Times New Roman"/>
          <w:color w:val="auto"/>
          <w:sz w:val="24"/>
          <w:szCs w:val="24"/>
          <w:highlight w:val="none"/>
          <w:u w:val="none" w:color="auto"/>
          <w:lang w:val="en-US" w:eastAsia="zh-CN"/>
        </w:rPr>
        <w:t>G</w:t>
      </w:r>
      <w:r>
        <w:rPr>
          <w:rFonts w:hint="default" w:ascii="Times New Roman" w:hAnsi="Times New Roman" w:eastAsia="宋体" w:cs="Times New Roman"/>
          <w:color w:val="auto"/>
          <w:sz w:val="24"/>
          <w:szCs w:val="24"/>
          <w:highlight w:val="none"/>
          <w:u w:val="none" w:color="auto"/>
          <w:vertAlign w:val="subscript"/>
          <w:lang w:val="en-US" w:eastAsia="zh-CN"/>
        </w:rPr>
        <w:t>氟化氢</w:t>
      </w:r>
      <w:r>
        <w:rPr>
          <w:rFonts w:hint="default" w:ascii="Times New Roman" w:hAnsi="Times New Roman" w:eastAsia="宋体" w:cs="Times New Roman"/>
          <w:color w:val="auto"/>
          <w:sz w:val="24"/>
          <w:szCs w:val="24"/>
          <w:highlight w:val="none"/>
          <w:u w:val="none" w:color="auto"/>
          <w:lang w:val="en-US" w:eastAsia="zh-CN"/>
        </w:rPr>
        <w:t>=m</w:t>
      </w:r>
      <w:r>
        <w:rPr>
          <w:rFonts w:hint="default" w:ascii="Times New Roman" w:hAnsi="Times New Roman" w:eastAsia="宋体" w:cs="Times New Roman"/>
          <w:sz w:val="24"/>
          <w:szCs w:val="24"/>
          <w:u w:val="none" w:color="auto"/>
          <w:vertAlign w:val="subscript"/>
        </w:rPr>
        <w:t>电解液总泄漏量</w:t>
      </w:r>
      <w:r>
        <w:rPr>
          <w:rFonts w:hint="default" w:ascii="Times New Roman" w:hAnsi="Times New Roman" w:eastAsia="宋体" w:cs="Times New Roman"/>
          <w:sz w:val="24"/>
          <w:szCs w:val="24"/>
          <w:u w:val="none" w:color="auto"/>
          <w:vertAlign w:val="baseline"/>
          <w:lang w:val="en-US" w:eastAsia="zh-CN"/>
        </w:rPr>
        <w:t>*W</w:t>
      </w:r>
      <w:r>
        <w:rPr>
          <w:rFonts w:hint="default" w:ascii="Times New Roman" w:hAnsi="Times New Roman" w:eastAsia="宋体" w:cs="Times New Roman"/>
          <w:sz w:val="24"/>
          <w:szCs w:val="24"/>
          <w:u w:val="none" w:color="auto"/>
          <w:vertAlign w:val="subscript"/>
          <w:lang w:val="en-US" w:eastAsia="zh-CN"/>
        </w:rPr>
        <w:t>f总</w:t>
      </w:r>
      <w:r>
        <w:rPr>
          <w:rFonts w:hint="default" w:ascii="Times New Roman" w:hAnsi="Times New Roman" w:eastAsia="宋体" w:cs="Times New Roman"/>
          <w:sz w:val="24"/>
          <w:szCs w:val="24"/>
          <w:u w:val="none" w:color="auto"/>
          <w:vertAlign w:val="baseline"/>
          <w:lang w:val="en-US" w:eastAsia="zh-CN"/>
        </w:rPr>
        <w:t>*5%</w:t>
      </w:r>
    </w:p>
    <w:p w14:paraId="6E1A9679">
      <w:pPr>
        <w:keepNext w:val="0"/>
        <w:keepLines w:val="0"/>
        <w:pageBreakBefore w:val="0"/>
        <w:widowControl w:val="0"/>
        <w:kinsoku/>
        <w:wordWrap/>
        <w:overflowPunct/>
        <w:topLinePunct w:val="0"/>
        <w:autoSpaceDE/>
        <w:autoSpaceDN/>
        <w:bidi w:val="0"/>
        <w:adjustRightInd/>
        <w:snapToGrid w:val="0"/>
        <w:spacing w:line="520" w:lineRule="exact"/>
        <w:ind w:firstLine="1200" w:firstLineChars="500"/>
        <w:jc w:val="left"/>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lang w:val="en-US" w:eastAsia="zh-CN"/>
        </w:rPr>
        <w:t>式中：G</w:t>
      </w:r>
      <w:r>
        <w:rPr>
          <w:rFonts w:hint="eastAsia" w:ascii="Times New Roman" w:hAnsi="Times New Roman" w:eastAsia="宋体" w:cs="Times New Roman"/>
          <w:color w:val="auto"/>
          <w:sz w:val="24"/>
          <w:szCs w:val="24"/>
          <w:highlight w:val="none"/>
          <w:u w:val="none" w:color="auto"/>
          <w:vertAlign w:val="subscript"/>
          <w:lang w:val="en-US" w:eastAsia="zh-CN"/>
        </w:rPr>
        <w:t>氟化氢</w:t>
      </w:r>
      <w:r>
        <w:rPr>
          <w:rFonts w:hint="default" w:ascii="Times New Roman" w:hAnsi="Times New Roman" w:eastAsia="宋体" w:cs="Times New Roman"/>
          <w:color w:val="auto"/>
          <w:sz w:val="24"/>
          <w:szCs w:val="24"/>
          <w:highlight w:val="none"/>
          <w:u w:val="none" w:color="auto"/>
          <w:lang w:val="en-US" w:eastAsia="zh-CN"/>
        </w:rPr>
        <w:t>—</w:t>
      </w:r>
      <w:r>
        <w:rPr>
          <w:rFonts w:hint="eastAsia" w:ascii="Times New Roman" w:hAnsi="Times New Roman" w:eastAsia="宋体" w:cs="Times New Roman"/>
          <w:color w:val="auto"/>
          <w:sz w:val="24"/>
          <w:szCs w:val="24"/>
          <w:highlight w:val="none"/>
          <w:u w:val="none" w:color="auto"/>
          <w:lang w:val="en-US" w:eastAsia="zh-CN"/>
        </w:rPr>
        <w:t>氟化氢</w:t>
      </w:r>
      <w:r>
        <w:rPr>
          <w:rFonts w:hint="default" w:ascii="Times New Roman" w:hAnsi="Times New Roman" w:eastAsia="宋体" w:cs="Times New Roman"/>
          <w:color w:val="auto"/>
          <w:sz w:val="24"/>
          <w:szCs w:val="24"/>
          <w:highlight w:val="none"/>
          <w:u w:val="none" w:color="auto"/>
          <w:lang w:val="en-US" w:eastAsia="zh-CN"/>
        </w:rPr>
        <w:t>的产生量，kg/s；</w:t>
      </w:r>
    </w:p>
    <w:p w14:paraId="64A65354">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eastAsia" w:ascii="Times New Roman" w:hAnsi="Times New Roman" w:eastAsia="宋体" w:cs="Times New Roman"/>
          <w:color w:val="auto"/>
          <w:sz w:val="24"/>
          <w:szCs w:val="24"/>
          <w:highlight w:val="none"/>
          <w:u w:val="none" w:color="auto"/>
          <w:lang w:val="en-US" w:eastAsia="zh-CN"/>
        </w:rPr>
        <w:t>m</w:t>
      </w:r>
      <w:r>
        <w:rPr>
          <w:rFonts w:ascii="宋体" w:hAnsi="宋体" w:eastAsia="宋体" w:cs="宋体"/>
          <w:sz w:val="24"/>
          <w:szCs w:val="24"/>
          <w:u w:val="none" w:color="auto"/>
          <w:vertAlign w:val="subscript"/>
        </w:rPr>
        <w:t>电解液总泄漏量</w:t>
      </w:r>
      <w:r>
        <w:rPr>
          <w:rFonts w:hint="default" w:ascii="Times New Roman" w:hAnsi="Times New Roman" w:eastAsia="宋体" w:cs="Times New Roman"/>
          <w:color w:val="auto"/>
          <w:sz w:val="24"/>
          <w:szCs w:val="24"/>
          <w:highlight w:val="none"/>
          <w:u w:val="none" w:color="auto"/>
          <w:lang w:val="en-US" w:eastAsia="zh-CN"/>
        </w:rPr>
        <w:t>—</w:t>
      </w:r>
      <w:r>
        <w:rPr>
          <w:rFonts w:hint="eastAsia" w:ascii="Times New Roman" w:hAnsi="Times New Roman" w:eastAsia="宋体" w:cs="Times New Roman"/>
          <w:color w:val="auto"/>
          <w:sz w:val="24"/>
          <w:szCs w:val="24"/>
          <w:highlight w:val="none"/>
          <w:u w:val="none" w:color="auto"/>
          <w:lang w:val="en-US" w:eastAsia="zh-CN"/>
        </w:rPr>
        <w:t>电解液总泄漏量，139.2</w:t>
      </w:r>
      <w:r>
        <w:rPr>
          <w:rFonts w:hint="default" w:ascii="Times New Roman" w:hAnsi="Times New Roman" w:eastAsia="宋体" w:cs="Times New Roman"/>
          <w:color w:val="auto"/>
          <w:sz w:val="24"/>
          <w:szCs w:val="24"/>
          <w:highlight w:val="none"/>
          <w:u w:val="none" w:color="auto"/>
          <w:lang w:val="en-US" w:eastAsia="zh-CN"/>
        </w:rPr>
        <w:t>kg；</w:t>
      </w:r>
    </w:p>
    <w:p w14:paraId="2F05860E">
      <w:pPr>
        <w:keepNext w:val="0"/>
        <w:keepLines w:val="0"/>
        <w:pageBreakBefore w:val="0"/>
        <w:widowControl w:val="0"/>
        <w:kinsoku/>
        <w:wordWrap/>
        <w:overflowPunct/>
        <w:topLinePunct w:val="0"/>
        <w:autoSpaceDE/>
        <w:autoSpaceDN/>
        <w:bidi w:val="0"/>
        <w:adjustRightInd/>
        <w:snapToGrid w:val="0"/>
        <w:spacing w:line="520" w:lineRule="exact"/>
        <w:ind w:left="0" w:leftChars="0" w:firstLine="1680" w:firstLineChars="700"/>
        <w:jc w:val="left"/>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eastAsia" w:ascii="宋体" w:hAnsi="宋体" w:eastAsia="宋体" w:cs="宋体"/>
          <w:sz w:val="24"/>
          <w:szCs w:val="24"/>
          <w:u w:val="none" w:color="auto"/>
          <w:vertAlign w:val="baseline"/>
          <w:lang w:val="en-US" w:eastAsia="zh-CN"/>
        </w:rPr>
        <w:t>W</w:t>
      </w:r>
      <w:r>
        <w:rPr>
          <w:rFonts w:hint="eastAsia" w:ascii="宋体" w:hAnsi="宋体" w:eastAsia="宋体" w:cs="宋体"/>
          <w:sz w:val="24"/>
          <w:szCs w:val="24"/>
          <w:u w:val="none" w:color="auto"/>
          <w:vertAlign w:val="subscript"/>
          <w:lang w:val="en-US" w:eastAsia="zh-CN"/>
        </w:rPr>
        <w:t>f总</w:t>
      </w:r>
      <w:r>
        <w:rPr>
          <w:rFonts w:hint="default" w:ascii="Times New Roman" w:hAnsi="Times New Roman" w:eastAsia="宋体" w:cs="Times New Roman"/>
          <w:color w:val="auto"/>
          <w:sz w:val="24"/>
          <w:szCs w:val="24"/>
          <w:highlight w:val="none"/>
          <w:u w:val="none" w:color="auto"/>
          <w:lang w:val="en-US" w:eastAsia="zh-CN"/>
        </w:rPr>
        <w:t>—电解液氟元素总质量分数</w:t>
      </w:r>
      <w:r>
        <w:rPr>
          <w:rFonts w:hint="eastAsia" w:ascii="Times New Roman" w:hAnsi="Times New Roman" w:eastAsia="宋体" w:cs="Times New Roman"/>
          <w:color w:val="auto"/>
          <w:sz w:val="24"/>
          <w:szCs w:val="24"/>
          <w:highlight w:val="none"/>
          <w:u w:val="none" w:color="auto"/>
          <w:lang w:val="en-US" w:eastAsia="zh-CN"/>
        </w:rPr>
        <w:t>，约10%</w:t>
      </w:r>
      <w:r>
        <w:rPr>
          <w:rFonts w:hint="default" w:ascii="Times New Roman" w:hAnsi="Times New Roman" w:eastAsia="宋体" w:cs="Times New Roman"/>
          <w:color w:val="auto"/>
          <w:sz w:val="24"/>
          <w:szCs w:val="24"/>
          <w:highlight w:val="none"/>
          <w:u w:val="none" w:color="auto"/>
          <w:lang w:val="en-US" w:eastAsia="zh-CN"/>
        </w:rPr>
        <w:t>；</w:t>
      </w:r>
    </w:p>
    <w:p w14:paraId="61D6713B">
      <w:pPr>
        <w:keepNext w:val="0"/>
        <w:keepLines w:val="0"/>
        <w:pageBreakBefore w:val="0"/>
        <w:widowControl w:val="0"/>
        <w:kinsoku/>
        <w:wordWrap/>
        <w:overflowPunct/>
        <w:topLinePunct w:val="0"/>
        <w:autoSpaceDE/>
        <w:autoSpaceDN/>
        <w:bidi w:val="0"/>
        <w:adjustRightInd/>
        <w:snapToGrid w:val="0"/>
        <w:spacing w:line="520" w:lineRule="exact"/>
        <w:ind w:firstLine="720" w:firstLineChars="300"/>
        <w:jc w:val="left"/>
        <w:textAlignment w:val="auto"/>
        <w:outlineLvl w:val="9"/>
        <w:rPr>
          <w:rFonts w:hint="default" w:ascii="Times New Roman" w:hAnsi="Times New Roman" w:eastAsia="宋体" w:cs="Times New Roman"/>
          <w:color w:val="auto"/>
          <w:sz w:val="24"/>
          <w:szCs w:val="24"/>
          <w:highlight w:val="none"/>
          <w:u w:val="none" w:color="auto"/>
          <w:lang w:val="en-US" w:eastAsia="zh-CN"/>
        </w:rPr>
      </w:pPr>
      <w:r>
        <w:rPr>
          <w:rFonts w:hint="eastAsia" w:ascii="Times New Roman" w:hAnsi="Times New Roman" w:eastAsia="宋体" w:cs="Times New Roman"/>
          <w:color w:val="auto"/>
          <w:sz w:val="24"/>
          <w:szCs w:val="24"/>
          <w:highlight w:val="none"/>
          <w:u w:val="none" w:color="auto"/>
          <w:lang w:val="en-US" w:eastAsia="zh-CN"/>
        </w:rPr>
        <w:t>计算得</w:t>
      </w:r>
      <w:r>
        <w:rPr>
          <w:rFonts w:hint="default" w:ascii="Times New Roman" w:hAnsi="Times New Roman" w:eastAsia="宋体" w:cs="Times New Roman"/>
          <w:color w:val="auto"/>
          <w:sz w:val="24"/>
          <w:szCs w:val="24"/>
          <w:highlight w:val="none"/>
          <w:u w:val="none" w:color="auto"/>
          <w:lang w:val="en-US" w:eastAsia="zh-CN"/>
        </w:rPr>
        <w:t>火灾伴生/次生</w:t>
      </w:r>
      <w:r>
        <w:rPr>
          <w:rFonts w:hint="eastAsia" w:ascii="Times New Roman" w:hAnsi="Times New Roman" w:eastAsia="宋体" w:cs="Times New Roman"/>
          <w:color w:val="auto"/>
          <w:sz w:val="24"/>
          <w:szCs w:val="24"/>
          <w:highlight w:val="none"/>
          <w:u w:val="none" w:color="auto"/>
          <w:lang w:val="en-US" w:eastAsia="zh-CN"/>
        </w:rPr>
        <w:t>HF</w:t>
      </w:r>
      <w:r>
        <w:rPr>
          <w:rFonts w:hint="default" w:ascii="Times New Roman" w:hAnsi="Times New Roman" w:eastAsia="宋体" w:cs="Times New Roman"/>
          <w:color w:val="auto"/>
          <w:sz w:val="24"/>
          <w:szCs w:val="24"/>
          <w:highlight w:val="none"/>
          <w:u w:val="none" w:color="auto"/>
          <w:lang w:val="en-US" w:eastAsia="zh-CN"/>
        </w:rPr>
        <w:t>产生量</w:t>
      </w:r>
      <w:r>
        <w:rPr>
          <w:rFonts w:hint="eastAsia" w:ascii="Times New Roman" w:hAnsi="Times New Roman" w:eastAsia="宋体" w:cs="Times New Roman"/>
          <w:color w:val="auto"/>
          <w:sz w:val="24"/>
          <w:szCs w:val="24"/>
          <w:highlight w:val="none"/>
          <w:u w:val="none" w:color="auto"/>
          <w:lang w:val="en-US" w:eastAsia="zh-CN"/>
        </w:rPr>
        <w:t>0.696</w:t>
      </w:r>
      <w:r>
        <w:rPr>
          <w:rFonts w:hint="default" w:ascii="Times New Roman" w:hAnsi="Times New Roman" w:eastAsia="宋体" w:cs="Times New Roman"/>
          <w:color w:val="auto"/>
          <w:sz w:val="24"/>
          <w:szCs w:val="24"/>
          <w:highlight w:val="none"/>
          <w:u w:val="none" w:color="auto"/>
          <w:lang w:val="en-US" w:eastAsia="zh-CN"/>
        </w:rPr>
        <w:t>kg</w:t>
      </w:r>
      <w:r>
        <w:rPr>
          <w:rFonts w:hint="eastAsia" w:ascii="Times New Roman" w:hAnsi="Times New Roman" w:eastAsia="宋体" w:cs="Times New Roman"/>
          <w:color w:val="auto"/>
          <w:sz w:val="24"/>
          <w:szCs w:val="24"/>
          <w:highlight w:val="none"/>
          <w:u w:val="none" w:color="auto"/>
          <w:lang w:val="en-US" w:eastAsia="zh-CN"/>
        </w:rPr>
        <w:t>。保守燃烧时长 30min=1800s，则HF</w:t>
      </w:r>
      <w:r>
        <w:rPr>
          <w:rFonts w:hint="default" w:ascii="Times New Roman" w:hAnsi="Times New Roman" w:eastAsia="宋体" w:cs="Times New Roman"/>
          <w:color w:val="auto"/>
          <w:sz w:val="24"/>
          <w:szCs w:val="24"/>
          <w:highlight w:val="none"/>
          <w:u w:val="none" w:color="auto"/>
          <w:lang w:val="en-US" w:eastAsia="zh-CN"/>
        </w:rPr>
        <w:t>产生</w:t>
      </w:r>
      <w:r>
        <w:rPr>
          <w:rFonts w:hint="eastAsia" w:ascii="Times New Roman" w:hAnsi="Times New Roman" w:eastAsia="宋体" w:cs="Times New Roman"/>
          <w:color w:val="auto"/>
          <w:sz w:val="24"/>
          <w:szCs w:val="24"/>
          <w:highlight w:val="none"/>
          <w:u w:val="none" w:color="auto"/>
          <w:lang w:val="en-US" w:eastAsia="zh-CN"/>
        </w:rPr>
        <w:t>速率0.0004</w:t>
      </w:r>
      <w:r>
        <w:rPr>
          <w:rFonts w:hint="default" w:ascii="Times New Roman" w:hAnsi="Times New Roman" w:eastAsia="宋体" w:cs="Times New Roman"/>
          <w:color w:val="auto"/>
          <w:sz w:val="24"/>
          <w:szCs w:val="24"/>
          <w:highlight w:val="none"/>
          <w:u w:val="none" w:color="auto"/>
          <w:lang w:val="en-US" w:eastAsia="zh-CN"/>
        </w:rPr>
        <w:t>kg/s</w:t>
      </w:r>
      <w:r>
        <w:rPr>
          <w:rFonts w:hint="eastAsia" w:ascii="Times New Roman" w:hAnsi="Times New Roman" w:eastAsia="宋体" w:cs="Times New Roman"/>
          <w:color w:val="auto"/>
          <w:sz w:val="24"/>
          <w:szCs w:val="24"/>
          <w:highlight w:val="none"/>
          <w:u w:val="none" w:color="auto"/>
          <w:lang w:val="en-US" w:eastAsia="zh-CN"/>
        </w:rPr>
        <w:t>。</w:t>
      </w:r>
    </w:p>
    <w:p w14:paraId="1A0CA320">
      <w:pPr>
        <w:pStyle w:val="123"/>
        <w:keepNext w:val="0"/>
        <w:keepLines w:val="0"/>
        <w:pageBreakBefore w:val="0"/>
        <w:kinsoku/>
        <w:wordWrap/>
        <w:overflowPunct/>
        <w:autoSpaceDE/>
        <w:autoSpaceDN/>
        <w:bidi w:val="0"/>
        <w:spacing w:line="500" w:lineRule="exact"/>
        <w:textAlignment w:val="auto"/>
        <w:outlineLvl w:val="0"/>
        <w:rPr>
          <w:rFonts w:hint="eastAsia" w:ascii="Times New Roman" w:hAnsi="Times New Roman" w:cs="Times New Roman"/>
          <w:color w:val="auto"/>
          <w:spacing w:val="0"/>
          <w:w w:val="100"/>
          <w:kern w:val="21"/>
          <w:position w:val="0"/>
          <w:u w:val="none" w:color="auto"/>
          <w:lang w:val="en-US" w:eastAsia="zh-CN"/>
        </w:rPr>
      </w:pPr>
      <w:r>
        <w:rPr>
          <w:rFonts w:hint="eastAsia" w:ascii="Times New Roman" w:hAnsi="Times New Roman" w:cs="Times New Roman"/>
          <w:color w:val="auto"/>
          <w:spacing w:val="0"/>
          <w:w w:val="100"/>
          <w:kern w:val="21"/>
          <w:position w:val="0"/>
          <w:u w:val="none" w:color="auto"/>
          <w:lang w:val="en-US" w:eastAsia="zh-CN"/>
        </w:rPr>
        <w:t>风险预测与评价</w:t>
      </w:r>
    </w:p>
    <w:p w14:paraId="797EEA36">
      <w:pPr>
        <w:pStyle w:val="128"/>
        <w:numPr>
          <w:ilvl w:val="2"/>
          <w:numId w:val="0"/>
        </w:numPr>
        <w:bidi w:val="0"/>
        <w:ind w:leftChars="0"/>
        <w:outlineLvl w:val="2"/>
        <w:rPr>
          <w:rFonts w:hint="default" w:ascii="Times New Roman" w:hAnsi="Times New Roman" w:eastAsia="宋体" w:cs="Times New Roman"/>
          <w:color w:val="auto"/>
          <w:spacing w:val="0"/>
          <w:w w:val="100"/>
          <w:kern w:val="21"/>
          <w:position w:val="0"/>
          <w:u w:val="none" w:color="auto"/>
          <w:lang w:val="en-US" w:eastAsia="zh-CN"/>
        </w:rPr>
      </w:pPr>
      <w:r>
        <w:rPr>
          <w:rFonts w:hint="default" w:ascii="Times New Roman" w:hAnsi="Times New Roman" w:eastAsia="宋体" w:cs="Times New Roman"/>
          <w:color w:val="auto"/>
          <w:spacing w:val="0"/>
          <w:w w:val="100"/>
          <w:kern w:val="21"/>
          <w:position w:val="0"/>
          <w:u w:val="none" w:color="auto"/>
          <w:lang w:val="en-US" w:eastAsia="zh-CN"/>
        </w:rPr>
        <w:t>8.1有毒有害物质在大气中的扩散</w:t>
      </w:r>
    </w:p>
    <w:p w14:paraId="0287015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b/>
          <w:bCs/>
          <w:sz w:val="24"/>
          <w:szCs w:val="24"/>
          <w:u w:val="none" w:color="auto"/>
          <w:lang w:val="en-US" w:eastAsia="zh-CN"/>
        </w:rPr>
      </w:pPr>
      <w:r>
        <w:rPr>
          <w:rFonts w:hint="eastAsia" w:ascii="Times New Roman" w:hAnsi="Times New Roman" w:cs="Times New Roman"/>
          <w:b/>
          <w:bCs/>
          <w:sz w:val="24"/>
          <w:szCs w:val="24"/>
          <w:u w:val="none" w:color="auto"/>
          <w:lang w:val="en-US" w:eastAsia="zh-CN"/>
        </w:rPr>
        <w:t>8.1.1预测模型筛选</w:t>
      </w:r>
    </w:p>
    <w:p w14:paraId="5BB89505">
      <w:pPr>
        <w:pStyle w:val="4"/>
        <w:keepNext w:val="0"/>
        <w:keepLines w:val="0"/>
        <w:pageBreakBefore w:val="0"/>
        <w:widowControl/>
        <w:kinsoku/>
        <w:wordWrap/>
        <w:overflowPunct/>
        <w:topLinePunct/>
        <w:autoSpaceDE/>
        <w:autoSpaceDN/>
        <w:bidi w:val="0"/>
        <w:adjustRightInd w:val="0"/>
        <w:snapToGrid w:val="0"/>
        <w:spacing w:before="0" w:after="0" w:line="500" w:lineRule="exact"/>
        <w:ind w:left="0" w:right="0" w:firstLine="480" w:firstLineChars="200"/>
        <w:textAlignment w:val="auto"/>
        <w:rPr>
          <w:rFonts w:ascii="Times New Roman" w:hAnsi="Times New Roman" w:eastAsia="宋体" w:cs="Times New Roman"/>
          <w:spacing w:val="0"/>
          <w:w w:val="100"/>
          <w:kern w:val="21"/>
          <w:position w:val="0"/>
          <w:sz w:val="24"/>
          <w:u w:val="none" w:color="auto"/>
        </w:rPr>
      </w:pPr>
      <w:r>
        <w:rPr>
          <w:spacing w:val="0"/>
          <w:w w:val="100"/>
          <w:kern w:val="21"/>
          <w:position w:val="0"/>
          <w:sz w:val="24"/>
          <w:u w:val="none" w:color="auto"/>
        </w:rPr>
        <w:t>根据《建设项目环境风险评价技术导则》(HJ169-2018)要求，大气风险预测计算时应区分重质气体与轻质气体排放选择合适的大气风险预测模型。重质气体和轻质气体的</w:t>
      </w:r>
      <w:r>
        <w:rPr>
          <w:rFonts w:ascii="Times New Roman" w:hAnsi="Times New Roman" w:eastAsia="宋体" w:cs="Times New Roman"/>
          <w:spacing w:val="0"/>
          <w:w w:val="100"/>
          <w:kern w:val="21"/>
          <w:position w:val="0"/>
          <w:sz w:val="24"/>
          <w:u w:val="none" w:color="auto"/>
        </w:rPr>
        <w:t>判断依据可采用附录G中G.2推荐的理查德森数进行判定。一般地，依据排放类型，理查德森数的计算分连续排放、瞬时排放两种形式。Ri的计算公式具体为：</w:t>
      </w:r>
    </w:p>
    <w:p w14:paraId="4B9E76AA">
      <w:pPr>
        <w:pStyle w:val="4"/>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textAlignment w:val="auto"/>
        <w:rPr>
          <w:spacing w:val="0"/>
          <w:w w:val="100"/>
          <w:kern w:val="21"/>
          <w:position w:val="0"/>
          <w:sz w:val="24"/>
          <w:u w:val="none" w:color="auto"/>
        </w:rPr>
      </w:pPr>
      <w:r>
        <w:rPr>
          <w:spacing w:val="0"/>
          <w:w w:val="100"/>
          <w:kern w:val="21"/>
          <w:position w:val="0"/>
          <w:sz w:val="24"/>
          <w:u w:val="none" w:color="auto"/>
        </w:rPr>
        <w:t>连续排放：</w:t>
      </w:r>
    </w:p>
    <w:p w14:paraId="364B6964">
      <w:pPr>
        <w:spacing w:before="147" w:line="240" w:lineRule="auto"/>
        <w:ind w:firstLine="3409"/>
        <w:jc w:val="both"/>
        <w:rPr>
          <w:spacing w:val="0"/>
          <w:w w:val="100"/>
          <w:kern w:val="21"/>
          <w:position w:val="0"/>
          <w:u w:val="none" w:color="auto"/>
        </w:rPr>
      </w:pPr>
      <w:r>
        <w:rPr>
          <w:spacing w:val="0"/>
          <w:w w:val="100"/>
          <w:kern w:val="21"/>
          <w:position w:val="0"/>
          <w:u w:val="none" w:color="auto"/>
        </w:rPr>
        <w:drawing>
          <wp:inline distT="0" distB="0" distL="114300" distR="114300">
            <wp:extent cx="1863725" cy="630555"/>
            <wp:effectExtent l="0" t="0" r="3175" b="17145"/>
            <wp:docPr id="3" name="图片 8"/>
            <wp:cNvGraphicFramePr/>
            <a:graphic xmlns:a="http://schemas.openxmlformats.org/drawingml/2006/main">
              <a:graphicData uri="http://schemas.openxmlformats.org/drawingml/2006/picture">
                <pic:pic xmlns:pic="http://schemas.openxmlformats.org/drawingml/2006/picture">
                  <pic:nvPicPr>
                    <pic:cNvPr id="3" name="图片 8"/>
                    <pic:cNvPicPr/>
                  </pic:nvPicPr>
                  <pic:blipFill>
                    <a:blip r:embed="rId50"/>
                    <a:stretch>
                      <a:fillRect/>
                    </a:stretch>
                  </pic:blipFill>
                  <pic:spPr>
                    <a:xfrm>
                      <a:off x="0" y="0"/>
                      <a:ext cx="1863725" cy="630555"/>
                    </a:xfrm>
                    <a:prstGeom prst="rect">
                      <a:avLst/>
                    </a:prstGeom>
                    <a:noFill/>
                    <a:ln>
                      <a:noFill/>
                    </a:ln>
                  </pic:spPr>
                </pic:pic>
              </a:graphicData>
            </a:graphic>
          </wp:inline>
        </w:drawing>
      </w:r>
    </w:p>
    <w:p w14:paraId="0BE222BD">
      <w:pPr>
        <w:pStyle w:val="4"/>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textAlignment w:val="auto"/>
        <w:rPr>
          <w:spacing w:val="0"/>
          <w:w w:val="100"/>
          <w:kern w:val="21"/>
          <w:position w:val="0"/>
          <w:sz w:val="24"/>
          <w:u w:val="none" w:color="auto"/>
        </w:rPr>
      </w:pPr>
      <w:r>
        <w:rPr>
          <w:spacing w:val="0"/>
          <w:w w:val="100"/>
          <w:kern w:val="21"/>
          <w:position w:val="0"/>
          <w:sz w:val="24"/>
          <w:u w:val="none" w:color="auto"/>
        </w:rPr>
        <w:t>瞬时排放：</w:t>
      </w:r>
    </w:p>
    <w:p w14:paraId="11E51F04">
      <w:pPr>
        <w:spacing w:before="144" w:line="240" w:lineRule="auto"/>
        <w:ind w:firstLine="3375"/>
        <w:jc w:val="both"/>
        <w:rPr>
          <w:spacing w:val="0"/>
          <w:w w:val="100"/>
          <w:kern w:val="21"/>
          <w:position w:val="0"/>
          <w:u w:val="none" w:color="auto"/>
        </w:rPr>
      </w:pPr>
      <w:r>
        <w:rPr>
          <w:spacing w:val="0"/>
          <w:w w:val="100"/>
          <w:kern w:val="21"/>
          <w:position w:val="0"/>
          <w:u w:val="none" w:color="auto"/>
        </w:rPr>
        <w:drawing>
          <wp:inline distT="0" distB="0" distL="114300" distR="114300">
            <wp:extent cx="1904365" cy="546735"/>
            <wp:effectExtent l="0" t="0" r="635" b="5715"/>
            <wp:docPr id="14" name="图片 9"/>
            <wp:cNvGraphicFramePr/>
            <a:graphic xmlns:a="http://schemas.openxmlformats.org/drawingml/2006/main">
              <a:graphicData uri="http://schemas.openxmlformats.org/drawingml/2006/picture">
                <pic:pic xmlns:pic="http://schemas.openxmlformats.org/drawingml/2006/picture">
                  <pic:nvPicPr>
                    <pic:cNvPr id="14" name="图片 9"/>
                    <pic:cNvPicPr/>
                  </pic:nvPicPr>
                  <pic:blipFill>
                    <a:blip r:embed="rId51"/>
                    <a:stretch>
                      <a:fillRect/>
                    </a:stretch>
                  </pic:blipFill>
                  <pic:spPr>
                    <a:xfrm>
                      <a:off x="0" y="0"/>
                      <a:ext cx="1904365" cy="546735"/>
                    </a:xfrm>
                    <a:prstGeom prst="rect">
                      <a:avLst/>
                    </a:prstGeom>
                    <a:noFill/>
                    <a:ln>
                      <a:noFill/>
                    </a:ln>
                  </pic:spPr>
                </pic:pic>
              </a:graphicData>
            </a:graphic>
          </wp:inline>
        </w:drawing>
      </w:r>
    </w:p>
    <w:p w14:paraId="4EBE6C57">
      <w:pPr>
        <w:pageBreakBefore w:val="0"/>
        <w:kinsoku/>
        <w:bidi w:val="0"/>
        <w:spacing w:line="520" w:lineRule="exact"/>
        <w:ind w:left="0" w:leftChars="0" w:firstLine="1200" w:firstLineChars="500"/>
        <w:rPr>
          <w:rFonts w:hint="default" w:ascii="Times New Roman" w:hAnsi="Times New Roman" w:cs="Times New Roman"/>
          <w:color w:val="auto"/>
          <w:sz w:val="24"/>
          <w:szCs w:val="22"/>
          <w:u w:val="none" w:color="auto"/>
        </w:rPr>
      </w:pPr>
      <w:r>
        <w:rPr>
          <w:rFonts w:hint="default" w:ascii="Times New Roman" w:hAnsi="Times New Roman" w:cs="Times New Roman"/>
          <w:color w:val="auto"/>
          <w:sz w:val="24"/>
          <w:szCs w:val="22"/>
          <w:u w:val="none" w:color="auto"/>
        </w:rPr>
        <w:t>式中：ρrel—排放物质进入大气的初始密度，kg/m</w:t>
      </w:r>
      <w:r>
        <w:rPr>
          <w:rFonts w:hint="default" w:ascii="Times New Roman" w:hAnsi="Times New Roman" w:cs="Times New Roman"/>
          <w:color w:val="auto"/>
          <w:sz w:val="24"/>
          <w:szCs w:val="22"/>
          <w:u w:val="none" w:color="auto"/>
          <w:vertAlign w:val="superscript"/>
        </w:rPr>
        <w:t>3</w:t>
      </w:r>
      <w:r>
        <w:rPr>
          <w:rFonts w:hint="default" w:ascii="Times New Roman" w:hAnsi="Times New Roman" w:cs="Times New Roman"/>
          <w:color w:val="auto"/>
          <w:sz w:val="24"/>
          <w:szCs w:val="22"/>
          <w:u w:val="none" w:color="auto"/>
        </w:rPr>
        <w:t>；</w:t>
      </w:r>
    </w:p>
    <w:p w14:paraId="278A7AC9">
      <w:pPr>
        <w:pageBreakBefore w:val="0"/>
        <w:kinsoku/>
        <w:bidi w:val="0"/>
        <w:spacing w:line="520" w:lineRule="exact"/>
        <w:ind w:left="0" w:leftChars="0" w:firstLine="1200" w:firstLineChars="500"/>
        <w:rPr>
          <w:rFonts w:hint="default" w:ascii="Times New Roman" w:hAnsi="Times New Roman" w:cs="Times New Roman"/>
          <w:color w:val="auto"/>
          <w:sz w:val="24"/>
          <w:szCs w:val="22"/>
          <w:u w:val="none" w:color="auto"/>
        </w:rPr>
      </w:pPr>
      <w:r>
        <w:rPr>
          <w:rFonts w:hint="default" w:ascii="Times New Roman" w:hAnsi="Times New Roman" w:cs="Times New Roman"/>
          <w:color w:val="auto"/>
          <w:sz w:val="24"/>
          <w:szCs w:val="22"/>
          <w:u w:val="none" w:color="auto"/>
        </w:rPr>
        <w:t>ρa—环境空气密度，kg/m</w:t>
      </w:r>
      <w:r>
        <w:rPr>
          <w:rFonts w:hint="default" w:ascii="Times New Roman" w:hAnsi="Times New Roman" w:cs="Times New Roman"/>
          <w:color w:val="auto"/>
          <w:sz w:val="24"/>
          <w:szCs w:val="22"/>
          <w:u w:val="none" w:color="auto"/>
          <w:vertAlign w:val="superscript"/>
        </w:rPr>
        <w:t>3</w:t>
      </w:r>
      <w:r>
        <w:rPr>
          <w:rFonts w:hint="default" w:ascii="Times New Roman" w:hAnsi="Times New Roman" w:cs="Times New Roman"/>
          <w:color w:val="auto"/>
          <w:sz w:val="24"/>
          <w:szCs w:val="22"/>
          <w:u w:val="none" w:color="auto"/>
        </w:rPr>
        <w:t>；</w:t>
      </w:r>
    </w:p>
    <w:p w14:paraId="3732FE59">
      <w:pPr>
        <w:pageBreakBefore w:val="0"/>
        <w:kinsoku/>
        <w:bidi w:val="0"/>
        <w:spacing w:line="520" w:lineRule="exact"/>
        <w:ind w:left="0" w:leftChars="0" w:firstLine="1200" w:firstLineChars="500"/>
        <w:rPr>
          <w:rFonts w:hint="default" w:ascii="Times New Roman" w:hAnsi="Times New Roman" w:cs="Times New Roman"/>
          <w:color w:val="auto"/>
          <w:sz w:val="24"/>
          <w:szCs w:val="22"/>
          <w:u w:val="none" w:color="auto"/>
        </w:rPr>
      </w:pPr>
      <w:r>
        <w:rPr>
          <w:rFonts w:hint="default" w:ascii="Times New Roman" w:hAnsi="Times New Roman" w:cs="Times New Roman"/>
          <w:color w:val="auto"/>
          <w:sz w:val="24"/>
          <w:szCs w:val="22"/>
          <w:u w:val="none" w:color="auto"/>
        </w:rPr>
        <w:t>Q—连续排放烟羽的排放速率，kg/s；</w:t>
      </w:r>
    </w:p>
    <w:p w14:paraId="096F2F7C">
      <w:pPr>
        <w:pageBreakBefore w:val="0"/>
        <w:kinsoku/>
        <w:bidi w:val="0"/>
        <w:spacing w:line="520" w:lineRule="exact"/>
        <w:ind w:left="0" w:leftChars="0" w:firstLine="1200" w:firstLineChars="500"/>
        <w:rPr>
          <w:rFonts w:hint="default" w:ascii="Times New Roman" w:hAnsi="Times New Roman" w:cs="Times New Roman"/>
          <w:color w:val="auto"/>
          <w:sz w:val="24"/>
          <w:szCs w:val="22"/>
          <w:u w:val="none" w:color="auto"/>
        </w:rPr>
      </w:pPr>
      <w:r>
        <w:rPr>
          <w:rFonts w:hint="default" w:ascii="Times New Roman" w:hAnsi="Times New Roman" w:cs="Times New Roman"/>
          <w:color w:val="auto"/>
          <w:sz w:val="24"/>
          <w:szCs w:val="22"/>
          <w:u w:val="none" w:color="auto"/>
        </w:rPr>
        <w:t>Qt—瞬时排放的物质质量，kg；</w:t>
      </w:r>
    </w:p>
    <w:p w14:paraId="3B9C830C">
      <w:pPr>
        <w:pageBreakBefore w:val="0"/>
        <w:kinsoku/>
        <w:bidi w:val="0"/>
        <w:spacing w:line="520" w:lineRule="exact"/>
        <w:ind w:left="0" w:leftChars="0" w:firstLine="1200" w:firstLineChars="500"/>
        <w:rPr>
          <w:rFonts w:hint="default" w:ascii="Times New Roman" w:hAnsi="Times New Roman" w:cs="Times New Roman"/>
          <w:color w:val="auto"/>
          <w:sz w:val="24"/>
          <w:szCs w:val="22"/>
          <w:u w:val="none" w:color="auto"/>
        </w:rPr>
      </w:pPr>
      <w:r>
        <w:rPr>
          <w:rFonts w:hint="default" w:ascii="Times New Roman" w:hAnsi="Times New Roman" w:cs="Times New Roman"/>
          <w:color w:val="auto"/>
          <w:sz w:val="24"/>
          <w:szCs w:val="22"/>
          <w:u w:val="none" w:color="auto"/>
        </w:rPr>
        <w:t>Drel—初始的烟团宽度，即源直径，m；</w:t>
      </w:r>
    </w:p>
    <w:p w14:paraId="108CF8D6">
      <w:pPr>
        <w:pageBreakBefore w:val="0"/>
        <w:kinsoku/>
        <w:bidi w:val="0"/>
        <w:spacing w:line="520" w:lineRule="exact"/>
        <w:ind w:left="0" w:leftChars="0" w:firstLine="1200" w:firstLineChars="500"/>
        <w:rPr>
          <w:spacing w:val="0"/>
          <w:w w:val="100"/>
          <w:kern w:val="21"/>
          <w:position w:val="0"/>
          <w:sz w:val="24"/>
          <w:u w:val="none" w:color="auto"/>
        </w:rPr>
      </w:pPr>
      <w:r>
        <w:rPr>
          <w:rFonts w:hint="default" w:ascii="Times New Roman" w:hAnsi="Times New Roman" w:cs="Times New Roman"/>
          <w:color w:val="auto"/>
          <w:sz w:val="24"/>
          <w:szCs w:val="22"/>
          <w:u w:val="none" w:color="auto"/>
        </w:rPr>
        <w:t>Ur—10m高处风速，m/s</w:t>
      </w:r>
      <w:r>
        <w:rPr>
          <w:spacing w:val="0"/>
          <w:w w:val="100"/>
          <w:kern w:val="21"/>
          <w:position w:val="0"/>
          <w:sz w:val="24"/>
          <w:u w:val="none" w:color="auto"/>
        </w:rPr>
        <w:t>。</w:t>
      </w:r>
    </w:p>
    <w:p w14:paraId="57CC40AB">
      <w:pPr>
        <w:pStyle w:val="4"/>
        <w:keepNext w:val="0"/>
        <w:keepLines w:val="0"/>
        <w:pageBreakBefore w:val="0"/>
        <w:widowControl/>
        <w:kinsoku/>
        <w:wordWrap/>
        <w:overflowPunct/>
        <w:topLinePunct/>
        <w:autoSpaceDE/>
        <w:autoSpaceDN/>
        <w:bidi w:val="0"/>
        <w:adjustRightInd w:val="0"/>
        <w:snapToGrid w:val="0"/>
        <w:spacing w:before="0" w:after="0" w:line="500" w:lineRule="exact"/>
        <w:ind w:left="0" w:right="0" w:firstLine="480" w:firstLineChars="200"/>
        <w:textAlignment w:val="auto"/>
        <w:rPr>
          <w:rFonts w:hint="default" w:ascii="Times New Roman" w:hAnsi="Times New Roman" w:eastAsia="宋体" w:cs="Times New Roman"/>
          <w:spacing w:val="0"/>
          <w:w w:val="100"/>
          <w:kern w:val="21"/>
          <w:position w:val="0"/>
          <w:sz w:val="24"/>
          <w:u w:val="none" w:color="auto"/>
          <w:lang w:val="en-US" w:eastAsia="zh-CN"/>
        </w:rPr>
      </w:pPr>
      <w:r>
        <w:rPr>
          <w:rFonts w:hint="default" w:ascii="Times New Roman" w:hAnsi="Times New Roman" w:eastAsia="宋体" w:cs="Times New Roman"/>
          <w:spacing w:val="0"/>
          <w:w w:val="100"/>
          <w:kern w:val="21"/>
          <w:position w:val="0"/>
          <w:sz w:val="24"/>
          <w:u w:val="none" w:color="auto"/>
          <w:lang w:val="en-US" w:eastAsia="zh-CN"/>
        </w:rPr>
        <w:t>判断连续排放还是瞬时排放，可以通过对比排放时间Td和污染物到达最近的受体点（网格点或敏感点）的时间T确定。</w:t>
      </w:r>
    </w:p>
    <w:p w14:paraId="4FC99A4F">
      <w:pPr>
        <w:pStyle w:val="4"/>
        <w:keepNext w:val="0"/>
        <w:keepLines w:val="0"/>
        <w:pageBreakBefore w:val="0"/>
        <w:widowControl/>
        <w:kinsoku/>
        <w:wordWrap/>
        <w:overflowPunct/>
        <w:topLinePunct/>
        <w:autoSpaceDE/>
        <w:autoSpaceDN/>
        <w:bidi w:val="0"/>
        <w:adjustRightInd w:val="0"/>
        <w:snapToGrid w:val="0"/>
        <w:spacing w:before="0" w:after="0" w:line="500" w:lineRule="exact"/>
        <w:ind w:left="0" w:right="0" w:firstLine="480" w:firstLineChars="200"/>
        <w:textAlignment w:val="auto"/>
        <w:rPr>
          <w:rFonts w:hint="default" w:ascii="Times New Roman" w:hAnsi="Times New Roman" w:eastAsia="宋体" w:cs="Times New Roman"/>
          <w:spacing w:val="0"/>
          <w:w w:val="100"/>
          <w:kern w:val="21"/>
          <w:position w:val="0"/>
          <w:sz w:val="24"/>
          <w:u w:val="none" w:color="auto"/>
          <w:lang w:val="en-US" w:eastAsia="zh-CN"/>
        </w:rPr>
      </w:pPr>
      <w:r>
        <w:rPr>
          <w:rFonts w:hint="default" w:ascii="Times New Roman" w:hAnsi="Times New Roman" w:eastAsia="宋体" w:cs="Times New Roman"/>
          <w:spacing w:val="0"/>
          <w:w w:val="100"/>
          <w:kern w:val="21"/>
          <w:position w:val="0"/>
          <w:sz w:val="24"/>
          <w:u w:val="none" w:color="auto"/>
          <w:lang w:val="en-US" w:eastAsia="zh-CN"/>
        </w:rPr>
        <w:t>T=2X/Ur</w:t>
      </w:r>
    </w:p>
    <w:p w14:paraId="022C10FC">
      <w:pPr>
        <w:pStyle w:val="4"/>
        <w:keepNext w:val="0"/>
        <w:keepLines w:val="0"/>
        <w:pageBreakBefore w:val="0"/>
        <w:widowControl/>
        <w:kinsoku/>
        <w:wordWrap/>
        <w:overflowPunct/>
        <w:topLinePunct/>
        <w:autoSpaceDE/>
        <w:autoSpaceDN/>
        <w:bidi w:val="0"/>
        <w:adjustRightInd w:val="0"/>
        <w:snapToGrid w:val="0"/>
        <w:spacing w:before="0" w:after="0" w:line="500" w:lineRule="exact"/>
        <w:ind w:left="0" w:right="0" w:firstLine="480" w:firstLineChars="200"/>
        <w:textAlignment w:val="auto"/>
        <w:rPr>
          <w:rFonts w:hint="default" w:ascii="Times New Roman" w:hAnsi="Times New Roman" w:eastAsia="宋体" w:cs="Times New Roman"/>
          <w:spacing w:val="0"/>
          <w:w w:val="100"/>
          <w:kern w:val="21"/>
          <w:position w:val="0"/>
          <w:sz w:val="24"/>
          <w:u w:val="none" w:color="auto"/>
          <w:lang w:val="en-US" w:eastAsia="zh-CN"/>
        </w:rPr>
      </w:pPr>
      <w:r>
        <w:rPr>
          <w:rFonts w:hint="default" w:ascii="Times New Roman" w:hAnsi="Times New Roman" w:eastAsia="宋体" w:cs="Times New Roman"/>
          <w:spacing w:val="0"/>
          <w:w w:val="100"/>
          <w:kern w:val="21"/>
          <w:position w:val="0"/>
          <w:sz w:val="24"/>
          <w:u w:val="none" w:color="auto"/>
          <w:lang w:val="en-US" w:eastAsia="zh-CN"/>
        </w:rPr>
        <w:t>式中：X—事故发生地与计算点的距离，m；</w:t>
      </w:r>
    </w:p>
    <w:p w14:paraId="3C423698">
      <w:pPr>
        <w:pStyle w:val="4"/>
        <w:keepNext w:val="0"/>
        <w:keepLines w:val="0"/>
        <w:pageBreakBefore w:val="0"/>
        <w:widowControl/>
        <w:kinsoku/>
        <w:wordWrap/>
        <w:overflowPunct/>
        <w:topLinePunct/>
        <w:autoSpaceDE/>
        <w:autoSpaceDN/>
        <w:bidi w:val="0"/>
        <w:adjustRightInd w:val="0"/>
        <w:snapToGrid w:val="0"/>
        <w:spacing w:before="0" w:after="0" w:line="500" w:lineRule="exact"/>
        <w:ind w:left="0" w:right="0" w:firstLine="480" w:firstLineChars="200"/>
        <w:textAlignment w:val="auto"/>
        <w:rPr>
          <w:rFonts w:hint="default" w:ascii="Times New Roman" w:hAnsi="Times New Roman" w:eastAsia="宋体" w:cs="Times New Roman"/>
          <w:spacing w:val="0"/>
          <w:w w:val="100"/>
          <w:kern w:val="21"/>
          <w:position w:val="0"/>
          <w:sz w:val="24"/>
          <w:u w:val="none" w:color="auto"/>
          <w:lang w:val="en-US" w:eastAsia="zh-CN"/>
        </w:rPr>
      </w:pPr>
      <w:r>
        <w:rPr>
          <w:rFonts w:hint="default" w:ascii="Times New Roman" w:hAnsi="Times New Roman" w:eastAsia="宋体" w:cs="Times New Roman"/>
          <w:spacing w:val="0"/>
          <w:w w:val="100"/>
          <w:kern w:val="21"/>
          <w:position w:val="0"/>
          <w:sz w:val="24"/>
          <w:u w:val="none" w:color="auto"/>
          <w:lang w:val="en-US" w:eastAsia="zh-CN"/>
        </w:rPr>
        <w:t>Ur—10m高处风速，m/s。假设风速和风向在T时间段内保持不变。Ur取1.5m/s。当Td＞T时，可被认为是连续排放的；当Td≤T时，可被认为是瞬时排放。</w:t>
      </w:r>
    </w:p>
    <w:p w14:paraId="7436ED0A">
      <w:pPr>
        <w:pStyle w:val="4"/>
        <w:keepNext w:val="0"/>
        <w:keepLines w:val="0"/>
        <w:pageBreakBefore w:val="0"/>
        <w:widowControl/>
        <w:kinsoku/>
        <w:wordWrap/>
        <w:overflowPunct/>
        <w:topLinePunct/>
        <w:autoSpaceDE/>
        <w:autoSpaceDN/>
        <w:bidi w:val="0"/>
        <w:adjustRightInd w:val="0"/>
        <w:snapToGrid w:val="0"/>
        <w:spacing w:before="0" w:after="0" w:line="500" w:lineRule="exact"/>
        <w:ind w:left="0" w:right="0" w:firstLine="480" w:firstLineChars="200"/>
        <w:textAlignment w:val="auto"/>
        <w:rPr>
          <w:rFonts w:hint="default" w:ascii="Times New Roman" w:hAnsi="Times New Roman" w:eastAsia="宋体" w:cs="Times New Roman"/>
          <w:spacing w:val="0"/>
          <w:w w:val="100"/>
          <w:kern w:val="21"/>
          <w:position w:val="0"/>
          <w:sz w:val="24"/>
          <w:u w:val="none" w:color="auto"/>
          <w:lang w:val="en-US" w:eastAsia="zh-CN"/>
        </w:rPr>
      </w:pPr>
      <w:r>
        <w:rPr>
          <w:rFonts w:hint="default" w:ascii="Times New Roman" w:hAnsi="Times New Roman" w:eastAsia="宋体" w:cs="Times New Roman"/>
          <w:spacing w:val="0"/>
          <w:w w:val="100"/>
          <w:kern w:val="21"/>
          <w:position w:val="0"/>
          <w:sz w:val="24"/>
          <w:u w:val="none" w:color="auto"/>
          <w:lang w:val="en-US" w:eastAsia="zh-CN"/>
        </w:rPr>
        <w:t>判断标准为：对于连续排放，Ri≥1/6为重质气体，Ri＜1/6为轻质气体；对于瞬时排放，Ri＞0.04为重质气体，Ri≤0.04为轻质气体。</w:t>
      </w:r>
    </w:p>
    <w:p w14:paraId="04AE59A6">
      <w:pPr>
        <w:pageBreakBefore w:val="0"/>
        <w:kinsoku/>
        <w:bidi w:val="0"/>
        <w:spacing w:line="520" w:lineRule="exact"/>
        <w:ind w:firstLine="480" w:firstLineChars="200"/>
        <w:rPr>
          <w:rFonts w:hint="eastAsia" w:ascii="Times New Roman" w:hAnsi="Times New Roman" w:cs="Times New Roman"/>
          <w:sz w:val="24"/>
          <w:szCs w:val="24"/>
          <w:u w:val="none" w:color="auto"/>
          <w:lang w:val="en-US" w:eastAsia="zh-CN"/>
        </w:rPr>
      </w:pPr>
      <w:r>
        <w:rPr>
          <w:rFonts w:hint="default" w:ascii="Times New Roman" w:hAnsi="Times New Roman" w:eastAsia="宋体" w:cs="Times New Roman"/>
          <w:spacing w:val="0"/>
          <w:w w:val="100"/>
          <w:kern w:val="21"/>
          <w:position w:val="0"/>
          <w:sz w:val="24"/>
          <w:u w:val="none" w:color="auto"/>
          <w:lang w:val="en-US" w:eastAsia="zh-CN"/>
        </w:rPr>
        <w:t>本项目最近的受体点为厂界</w:t>
      </w:r>
      <w:r>
        <w:rPr>
          <w:rFonts w:hint="eastAsia" w:cs="Times New Roman"/>
          <w:spacing w:val="0"/>
          <w:w w:val="100"/>
          <w:kern w:val="21"/>
          <w:position w:val="0"/>
          <w:sz w:val="24"/>
          <w:u w:val="none" w:color="auto"/>
          <w:lang w:val="en-US" w:eastAsia="zh-CN"/>
        </w:rPr>
        <w:t>东</w:t>
      </w:r>
      <w:r>
        <w:rPr>
          <w:rFonts w:hint="eastAsia" w:ascii="Times New Roman" w:hAnsi="Times New Roman" w:eastAsia="宋体" w:cs="Times New Roman"/>
          <w:spacing w:val="0"/>
          <w:w w:val="100"/>
          <w:kern w:val="21"/>
          <w:position w:val="0"/>
          <w:sz w:val="24"/>
          <w:u w:val="none" w:color="auto"/>
          <w:lang w:val="en-US" w:eastAsia="zh-CN"/>
        </w:rPr>
        <w:t>南</w:t>
      </w:r>
      <w:r>
        <w:rPr>
          <w:rFonts w:hint="default" w:ascii="Times New Roman" w:hAnsi="Times New Roman" w:eastAsia="宋体" w:cs="Times New Roman"/>
          <w:spacing w:val="0"/>
          <w:w w:val="100"/>
          <w:kern w:val="21"/>
          <w:position w:val="0"/>
          <w:sz w:val="24"/>
          <w:u w:val="none" w:color="auto"/>
          <w:lang w:val="en-US" w:eastAsia="zh-CN"/>
        </w:rPr>
        <w:t>侧</w:t>
      </w:r>
      <w:r>
        <w:rPr>
          <w:rFonts w:hint="eastAsia" w:ascii="Times New Roman" w:hAnsi="Times New Roman" w:eastAsia="宋体" w:cs="Times New Roman"/>
          <w:spacing w:val="0"/>
          <w:w w:val="100"/>
          <w:kern w:val="21"/>
          <w:position w:val="0"/>
          <w:sz w:val="24"/>
          <w:u w:val="none" w:color="auto"/>
          <w:lang w:val="en-US" w:eastAsia="zh-CN"/>
        </w:rPr>
        <w:t>280</w:t>
      </w:r>
      <w:r>
        <w:rPr>
          <w:rFonts w:hint="default" w:ascii="Times New Roman" w:hAnsi="Times New Roman" w:eastAsia="宋体" w:cs="Times New Roman"/>
          <w:spacing w:val="0"/>
          <w:w w:val="100"/>
          <w:kern w:val="21"/>
          <w:position w:val="0"/>
          <w:sz w:val="24"/>
          <w:u w:val="none" w:color="auto"/>
          <w:lang w:val="en-US" w:eastAsia="zh-CN"/>
        </w:rPr>
        <w:t>m 处</w:t>
      </w:r>
      <w:r>
        <w:rPr>
          <w:rFonts w:hint="eastAsia" w:ascii="Times New Roman" w:hAnsi="Times New Roman" w:eastAsia="宋体" w:cs="Times New Roman"/>
          <w:spacing w:val="0"/>
          <w:w w:val="100"/>
          <w:kern w:val="21"/>
          <w:position w:val="0"/>
          <w:sz w:val="24"/>
          <w:u w:val="none" w:color="auto"/>
          <w:lang w:val="en-US" w:eastAsia="zh-CN"/>
        </w:rPr>
        <w:t>刘堤</w:t>
      </w:r>
      <w:r>
        <w:rPr>
          <w:rFonts w:hint="default" w:ascii="Times New Roman" w:hAnsi="Times New Roman" w:eastAsia="宋体" w:cs="Times New Roman"/>
          <w:spacing w:val="0"/>
          <w:w w:val="100"/>
          <w:kern w:val="21"/>
          <w:position w:val="0"/>
          <w:sz w:val="24"/>
          <w:u w:val="none" w:color="auto"/>
          <w:lang w:val="en-US" w:eastAsia="zh-CN"/>
        </w:rPr>
        <w:t>村，T=2X/Ur=2×</w:t>
      </w:r>
      <w:r>
        <w:rPr>
          <w:rFonts w:hint="eastAsia" w:ascii="Times New Roman" w:hAnsi="Times New Roman" w:eastAsia="宋体" w:cs="Times New Roman"/>
          <w:spacing w:val="0"/>
          <w:w w:val="100"/>
          <w:kern w:val="21"/>
          <w:position w:val="0"/>
          <w:sz w:val="24"/>
          <w:u w:val="none" w:color="auto"/>
          <w:lang w:val="en-US" w:eastAsia="zh-CN"/>
        </w:rPr>
        <w:t>280</w:t>
      </w:r>
      <w:r>
        <w:rPr>
          <w:rFonts w:hint="default" w:ascii="Times New Roman" w:hAnsi="Times New Roman" w:eastAsia="宋体" w:cs="Times New Roman"/>
          <w:spacing w:val="0"/>
          <w:w w:val="100"/>
          <w:kern w:val="21"/>
          <w:position w:val="0"/>
          <w:sz w:val="24"/>
          <w:u w:val="none" w:color="auto"/>
          <w:lang w:val="en-US" w:eastAsia="zh-CN"/>
        </w:rPr>
        <w:t>/1.5=</w:t>
      </w:r>
      <w:r>
        <w:rPr>
          <w:rFonts w:hint="eastAsia" w:ascii="Times New Roman" w:hAnsi="Times New Roman" w:eastAsia="宋体" w:cs="Times New Roman"/>
          <w:spacing w:val="0"/>
          <w:w w:val="100"/>
          <w:kern w:val="21"/>
          <w:position w:val="0"/>
          <w:sz w:val="24"/>
          <w:u w:val="none" w:color="auto"/>
          <w:lang w:val="en-US" w:eastAsia="zh-CN"/>
        </w:rPr>
        <w:t>373.3</w:t>
      </w:r>
      <w:r>
        <w:rPr>
          <w:rFonts w:hint="default" w:ascii="Times New Roman" w:hAnsi="Times New Roman" w:eastAsia="宋体" w:cs="Times New Roman"/>
          <w:spacing w:val="0"/>
          <w:w w:val="100"/>
          <w:kern w:val="21"/>
          <w:position w:val="0"/>
          <w:sz w:val="24"/>
          <w:u w:val="none" w:color="auto"/>
          <w:lang w:val="en-US" w:eastAsia="zh-CN"/>
        </w:rPr>
        <w:t>s，Td=600s（10min），Td</w:t>
      </w:r>
      <w:r>
        <w:rPr>
          <w:rFonts w:hint="eastAsia" w:ascii="Times New Roman" w:hAnsi="Times New Roman" w:eastAsia="宋体" w:cs="Times New Roman"/>
          <w:spacing w:val="0"/>
          <w:w w:val="100"/>
          <w:kern w:val="21"/>
          <w:position w:val="0"/>
          <w:sz w:val="24"/>
          <w:u w:val="none" w:color="auto"/>
          <w:lang w:val="en-US" w:eastAsia="zh-CN"/>
        </w:rPr>
        <w:t>＞</w:t>
      </w:r>
      <w:r>
        <w:rPr>
          <w:rFonts w:hint="default" w:ascii="Times New Roman" w:hAnsi="Times New Roman" w:eastAsia="宋体" w:cs="Times New Roman"/>
          <w:spacing w:val="0"/>
          <w:w w:val="100"/>
          <w:kern w:val="21"/>
          <w:position w:val="0"/>
          <w:sz w:val="24"/>
          <w:u w:val="none" w:color="auto"/>
          <w:lang w:val="en-US" w:eastAsia="zh-CN"/>
        </w:rPr>
        <w:t>T，事故源为</w:t>
      </w:r>
      <w:r>
        <w:rPr>
          <w:rFonts w:hint="eastAsia" w:ascii="Times New Roman" w:hAnsi="Times New Roman" w:eastAsia="宋体" w:cs="Times New Roman"/>
          <w:spacing w:val="0"/>
          <w:w w:val="100"/>
          <w:kern w:val="21"/>
          <w:position w:val="0"/>
          <w:sz w:val="24"/>
          <w:u w:val="none" w:color="auto"/>
          <w:lang w:val="en-US" w:eastAsia="zh-CN"/>
        </w:rPr>
        <w:t>连续</w:t>
      </w:r>
      <w:r>
        <w:rPr>
          <w:rFonts w:hint="default" w:ascii="Times New Roman" w:hAnsi="Times New Roman" w:eastAsia="宋体" w:cs="Times New Roman"/>
          <w:spacing w:val="0"/>
          <w:w w:val="100"/>
          <w:kern w:val="21"/>
          <w:position w:val="0"/>
          <w:sz w:val="24"/>
          <w:u w:val="none" w:color="auto"/>
          <w:lang w:val="en-US" w:eastAsia="zh-CN"/>
        </w:rPr>
        <w:t>排放</w:t>
      </w:r>
      <w:r>
        <w:rPr>
          <w:rFonts w:hint="eastAsia" w:cs="Times New Roman"/>
          <w:spacing w:val="0"/>
          <w:w w:val="100"/>
          <w:kern w:val="21"/>
          <w:position w:val="0"/>
          <w:sz w:val="24"/>
          <w:u w:val="none" w:color="auto"/>
          <w:lang w:val="en-US" w:eastAsia="zh-CN"/>
        </w:rPr>
        <w:t>。</w:t>
      </w:r>
      <w:r>
        <w:rPr>
          <w:rFonts w:hint="default" w:ascii="Times New Roman" w:hAnsi="Times New Roman" w:cs="Times New Roman"/>
          <w:sz w:val="24"/>
          <w:szCs w:val="24"/>
          <w:u w:val="none" w:color="auto"/>
          <w:lang w:val="en-US" w:eastAsia="zh-CN"/>
        </w:rPr>
        <w:t>经计算，NMP、电解液泄漏的理查德森数Ri&lt;1/6，为轻质气体，选用AFTOX模型进行预测</w:t>
      </w:r>
      <w:r>
        <w:rPr>
          <w:rFonts w:hint="eastAsia" w:ascii="Times New Roman" w:hAnsi="Times New Roman" w:cs="Times New Roman"/>
          <w:sz w:val="24"/>
          <w:szCs w:val="24"/>
          <w:u w:val="none" w:color="auto"/>
          <w:lang w:val="en-US" w:eastAsia="zh-CN"/>
        </w:rPr>
        <w:t>。</w:t>
      </w:r>
    </w:p>
    <w:p w14:paraId="3022437D">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泄漏理查德森数计算一览表</w:t>
      </w:r>
    </w:p>
    <w:tbl>
      <w:tblPr>
        <w:tblStyle w:val="3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5"/>
        <w:gridCol w:w="1325"/>
        <w:gridCol w:w="2750"/>
        <w:gridCol w:w="1540"/>
        <w:gridCol w:w="1541"/>
        <w:gridCol w:w="1541"/>
      </w:tblGrid>
      <w:tr w14:paraId="037D1B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45" w:type="dxa"/>
            <w:vMerge w:val="restart"/>
            <w:tcBorders>
              <w:tl2br w:val="nil"/>
              <w:tr2bl w:val="nil"/>
            </w:tcBorders>
            <w:vAlign w:val="center"/>
          </w:tcPr>
          <w:p w14:paraId="1010A3C0">
            <w:pPr>
              <w:bidi w:val="0"/>
              <w:spacing w:line="240" w:lineRule="auto"/>
              <w:jc w:val="center"/>
              <w:rPr>
                <w:rFonts w:hint="eastAsia" w:eastAsia="宋体"/>
                <w:sz w:val="21"/>
                <w:szCs w:val="21"/>
                <w:u w:val="none" w:color="auto"/>
                <w:vertAlign w:val="baseline"/>
                <w:lang w:val="en-US" w:eastAsia="zh-CN"/>
              </w:rPr>
            </w:pPr>
            <w:r>
              <w:rPr>
                <w:rFonts w:hint="eastAsia" w:ascii="宋体" w:hAnsi="宋体" w:eastAsia="宋体" w:cs="宋体"/>
                <w:sz w:val="21"/>
                <w:szCs w:val="21"/>
                <w:u w:val="none" w:color="auto"/>
                <w:lang w:val="en-US" w:eastAsia="zh-CN"/>
              </w:rPr>
              <w:t>序号</w:t>
            </w:r>
          </w:p>
        </w:tc>
        <w:tc>
          <w:tcPr>
            <w:tcW w:w="1325" w:type="dxa"/>
            <w:vMerge w:val="restart"/>
            <w:tcBorders>
              <w:tl2br w:val="nil"/>
              <w:tr2bl w:val="nil"/>
            </w:tcBorders>
            <w:vAlign w:val="center"/>
          </w:tcPr>
          <w:p w14:paraId="1763EEEB">
            <w:pPr>
              <w:bidi w:val="0"/>
              <w:spacing w:line="240" w:lineRule="auto"/>
              <w:jc w:val="center"/>
              <w:rPr>
                <w:rFonts w:hint="eastAsia" w:ascii="宋体" w:hAnsi="宋体" w:eastAsia="宋体" w:cs="宋体"/>
                <w:sz w:val="21"/>
                <w:szCs w:val="21"/>
                <w:u w:val="none" w:color="auto"/>
                <w:lang w:val="en-US" w:eastAsia="zh-CN"/>
              </w:rPr>
            </w:pPr>
            <w:r>
              <w:rPr>
                <w:rFonts w:hint="eastAsia" w:ascii="宋体" w:hAnsi="宋体" w:eastAsia="宋体" w:cs="宋体"/>
                <w:sz w:val="21"/>
                <w:szCs w:val="21"/>
                <w:u w:val="none" w:color="auto"/>
                <w:lang w:val="en-US" w:eastAsia="zh-CN"/>
              </w:rPr>
              <w:t>风险</w:t>
            </w:r>
          </w:p>
          <w:p w14:paraId="025160D1">
            <w:pPr>
              <w:bidi w:val="0"/>
              <w:spacing w:line="240" w:lineRule="auto"/>
              <w:jc w:val="center"/>
              <w:rPr>
                <w:rFonts w:hint="default"/>
                <w:sz w:val="21"/>
                <w:szCs w:val="21"/>
                <w:u w:val="none" w:color="auto"/>
                <w:vertAlign w:val="baseline"/>
                <w:lang w:val="en-US" w:eastAsia="zh-CN"/>
              </w:rPr>
            </w:pPr>
            <w:r>
              <w:rPr>
                <w:rFonts w:ascii="宋体" w:hAnsi="宋体" w:eastAsia="宋体" w:cs="宋体"/>
                <w:sz w:val="21"/>
                <w:szCs w:val="21"/>
                <w:u w:val="none" w:color="auto"/>
              </w:rPr>
              <w:t>物质</w:t>
            </w:r>
          </w:p>
        </w:tc>
        <w:tc>
          <w:tcPr>
            <w:tcW w:w="2750" w:type="dxa"/>
            <w:tcBorders>
              <w:tl2br w:val="nil"/>
              <w:tr2bl w:val="nil"/>
            </w:tcBorders>
            <w:vAlign w:val="center"/>
          </w:tcPr>
          <w:p w14:paraId="0C99F9E3">
            <w:pPr>
              <w:bidi w:val="0"/>
              <w:spacing w:line="240" w:lineRule="auto"/>
              <w:rPr>
                <w:rFonts w:hint="default"/>
                <w:sz w:val="21"/>
                <w:szCs w:val="21"/>
                <w:u w:val="none" w:color="auto"/>
                <w:vertAlign w:val="baseline"/>
                <w:lang w:val="en-US" w:eastAsia="zh-CN"/>
              </w:rPr>
            </w:pPr>
            <w:r>
              <w:rPr>
                <w:rFonts w:ascii="宋体" w:hAnsi="宋体" w:eastAsia="宋体" w:cs="宋体"/>
                <w:sz w:val="21"/>
                <w:szCs w:val="21"/>
                <w:u w:val="none" w:color="auto"/>
              </w:rPr>
              <w:t>排放物质进入大气初始密度</w:t>
            </w:r>
          </w:p>
        </w:tc>
        <w:tc>
          <w:tcPr>
            <w:tcW w:w="1540" w:type="dxa"/>
            <w:tcBorders>
              <w:tl2br w:val="nil"/>
              <w:tr2bl w:val="nil"/>
            </w:tcBorders>
            <w:vAlign w:val="center"/>
          </w:tcPr>
          <w:p w14:paraId="2C49C0CE">
            <w:pPr>
              <w:bidi w:val="0"/>
              <w:spacing w:line="240" w:lineRule="auto"/>
              <w:rPr>
                <w:rFonts w:hint="default"/>
                <w:sz w:val="21"/>
                <w:szCs w:val="21"/>
                <w:u w:val="none" w:color="auto"/>
                <w:vertAlign w:val="baseline"/>
                <w:lang w:val="en-US" w:eastAsia="zh-CN"/>
              </w:rPr>
            </w:pPr>
            <w:r>
              <w:rPr>
                <w:rFonts w:hint="default"/>
                <w:sz w:val="21"/>
                <w:szCs w:val="21"/>
                <w:u w:val="none" w:color="auto"/>
                <w:vertAlign w:val="baseline"/>
                <w:lang w:val="en-US" w:eastAsia="zh-CN"/>
              </w:rPr>
              <w:t>环境空气密度</w:t>
            </w:r>
          </w:p>
        </w:tc>
        <w:tc>
          <w:tcPr>
            <w:tcW w:w="1541" w:type="dxa"/>
            <w:tcBorders>
              <w:tl2br w:val="nil"/>
              <w:tr2bl w:val="nil"/>
            </w:tcBorders>
            <w:vAlign w:val="center"/>
          </w:tcPr>
          <w:p w14:paraId="0747F6CC">
            <w:pPr>
              <w:bidi w:val="0"/>
              <w:spacing w:line="240" w:lineRule="auto"/>
              <w:rPr>
                <w:rFonts w:hint="default"/>
                <w:sz w:val="21"/>
                <w:szCs w:val="21"/>
                <w:u w:val="none" w:color="auto"/>
                <w:vertAlign w:val="baseline"/>
                <w:lang w:val="en-US" w:eastAsia="zh-CN"/>
              </w:rPr>
            </w:pPr>
            <w:r>
              <w:rPr>
                <w:rFonts w:hint="default" w:ascii="Times New Roman" w:hAnsi="Times New Roman" w:cs="Times New Roman"/>
                <w:sz w:val="21"/>
                <w:szCs w:val="21"/>
                <w:u w:val="none" w:color="auto"/>
                <w:vertAlign w:val="baseline"/>
                <w:lang w:val="en-US" w:eastAsia="zh-CN"/>
              </w:rPr>
              <w:t>初始的烟团宽度</w:t>
            </w:r>
          </w:p>
        </w:tc>
        <w:tc>
          <w:tcPr>
            <w:tcW w:w="1541" w:type="dxa"/>
            <w:tcBorders>
              <w:tl2br w:val="nil"/>
              <w:tr2bl w:val="nil"/>
            </w:tcBorders>
            <w:vAlign w:val="center"/>
          </w:tcPr>
          <w:p w14:paraId="59ABE996">
            <w:pPr>
              <w:bidi w:val="0"/>
              <w:spacing w:line="240" w:lineRule="auto"/>
              <w:rPr>
                <w:rFonts w:hint="default"/>
                <w:sz w:val="21"/>
                <w:szCs w:val="21"/>
                <w:u w:val="none" w:color="auto"/>
                <w:vertAlign w:val="baseline"/>
                <w:lang w:val="en-US" w:eastAsia="zh-CN"/>
              </w:rPr>
            </w:pPr>
            <w:r>
              <w:rPr>
                <w:rFonts w:hint="default"/>
                <w:sz w:val="21"/>
                <w:szCs w:val="21"/>
                <w:u w:val="none" w:color="auto"/>
                <w:vertAlign w:val="baseline"/>
                <w:lang w:val="en-US" w:eastAsia="zh-CN"/>
              </w:rPr>
              <w:t>10m高处风速</w:t>
            </w:r>
          </w:p>
        </w:tc>
      </w:tr>
      <w:tr w14:paraId="290062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45" w:type="dxa"/>
            <w:vMerge w:val="continue"/>
            <w:tcBorders>
              <w:tl2br w:val="nil"/>
              <w:tr2bl w:val="nil"/>
            </w:tcBorders>
            <w:vAlign w:val="center"/>
          </w:tcPr>
          <w:p w14:paraId="1F5CAF14">
            <w:pPr>
              <w:bidi w:val="0"/>
              <w:spacing w:line="240" w:lineRule="auto"/>
              <w:jc w:val="center"/>
              <w:rPr>
                <w:rFonts w:hint="default"/>
                <w:sz w:val="21"/>
                <w:szCs w:val="21"/>
                <w:u w:val="none" w:color="auto"/>
                <w:vertAlign w:val="baseline"/>
                <w:lang w:val="en-US" w:eastAsia="zh-CN"/>
              </w:rPr>
            </w:pPr>
          </w:p>
        </w:tc>
        <w:tc>
          <w:tcPr>
            <w:tcW w:w="1325" w:type="dxa"/>
            <w:vMerge w:val="continue"/>
            <w:tcBorders>
              <w:tl2br w:val="nil"/>
              <w:tr2bl w:val="nil"/>
            </w:tcBorders>
            <w:vAlign w:val="center"/>
          </w:tcPr>
          <w:p w14:paraId="4A1D47D5">
            <w:pPr>
              <w:bidi w:val="0"/>
              <w:spacing w:line="240" w:lineRule="auto"/>
              <w:rPr>
                <w:rFonts w:hint="default"/>
                <w:sz w:val="21"/>
                <w:szCs w:val="21"/>
                <w:u w:val="none" w:color="auto"/>
                <w:vertAlign w:val="baseline"/>
                <w:lang w:val="en-US" w:eastAsia="zh-CN"/>
              </w:rPr>
            </w:pPr>
          </w:p>
        </w:tc>
        <w:tc>
          <w:tcPr>
            <w:tcW w:w="2750" w:type="dxa"/>
            <w:tcBorders>
              <w:tl2br w:val="nil"/>
              <w:tr2bl w:val="nil"/>
            </w:tcBorders>
            <w:vAlign w:val="center"/>
          </w:tcPr>
          <w:p w14:paraId="057A469A">
            <w:pPr>
              <w:bidi w:val="0"/>
              <w:spacing w:line="240" w:lineRule="auto"/>
              <w:jc w:val="center"/>
              <w:rPr>
                <w:rFonts w:hint="default"/>
                <w:sz w:val="21"/>
                <w:szCs w:val="21"/>
                <w:u w:val="none" w:color="auto"/>
                <w:vertAlign w:val="baseline"/>
                <w:lang w:val="en-US" w:eastAsia="zh-CN"/>
              </w:rPr>
            </w:pPr>
            <w:r>
              <w:rPr>
                <w:rFonts w:hint="default"/>
                <w:sz w:val="21"/>
                <w:szCs w:val="21"/>
                <w:u w:val="none" w:color="auto"/>
                <w:vertAlign w:val="baseline"/>
                <w:lang w:val="en-US" w:eastAsia="zh-CN"/>
              </w:rPr>
              <w:t>ρ</w:t>
            </w:r>
            <w:r>
              <w:rPr>
                <w:rFonts w:hint="default"/>
                <w:sz w:val="21"/>
                <w:szCs w:val="21"/>
                <w:u w:val="none" w:color="auto"/>
                <w:vertAlign w:val="subscript"/>
                <w:lang w:val="en-US" w:eastAsia="zh-CN"/>
              </w:rPr>
              <w:t>rel</w:t>
            </w:r>
          </w:p>
        </w:tc>
        <w:tc>
          <w:tcPr>
            <w:tcW w:w="1540" w:type="dxa"/>
            <w:tcBorders>
              <w:tl2br w:val="nil"/>
              <w:tr2bl w:val="nil"/>
            </w:tcBorders>
            <w:vAlign w:val="center"/>
          </w:tcPr>
          <w:p w14:paraId="56DB09A0">
            <w:pPr>
              <w:bidi w:val="0"/>
              <w:spacing w:line="240" w:lineRule="auto"/>
              <w:jc w:val="center"/>
              <w:rPr>
                <w:rFonts w:hint="default"/>
                <w:sz w:val="21"/>
                <w:szCs w:val="21"/>
                <w:u w:val="none" w:color="auto"/>
                <w:vertAlign w:val="baseline"/>
                <w:lang w:val="en-US" w:eastAsia="zh-CN"/>
              </w:rPr>
            </w:pPr>
            <w:r>
              <w:rPr>
                <w:rFonts w:hint="default" w:ascii="Times New Roman" w:hAnsi="Times New Roman" w:cs="Times New Roman"/>
                <w:color w:val="auto"/>
                <w:sz w:val="21"/>
                <w:szCs w:val="21"/>
                <w:u w:val="none" w:color="auto"/>
              </w:rPr>
              <w:t>ρ</w:t>
            </w:r>
            <w:r>
              <w:rPr>
                <w:rFonts w:hint="default" w:ascii="Times New Roman" w:hAnsi="Times New Roman" w:cs="Times New Roman"/>
                <w:color w:val="auto"/>
                <w:sz w:val="21"/>
                <w:szCs w:val="21"/>
                <w:u w:val="none" w:color="auto"/>
                <w:vertAlign w:val="subscript"/>
              </w:rPr>
              <w:t>a</w:t>
            </w:r>
          </w:p>
        </w:tc>
        <w:tc>
          <w:tcPr>
            <w:tcW w:w="1541" w:type="dxa"/>
            <w:tcBorders>
              <w:tl2br w:val="nil"/>
              <w:tr2bl w:val="nil"/>
            </w:tcBorders>
            <w:vAlign w:val="center"/>
          </w:tcPr>
          <w:p w14:paraId="1784581E">
            <w:pPr>
              <w:bidi w:val="0"/>
              <w:spacing w:line="240" w:lineRule="auto"/>
              <w:jc w:val="center"/>
              <w:rPr>
                <w:rFonts w:hint="default"/>
                <w:sz w:val="21"/>
                <w:szCs w:val="21"/>
                <w:u w:val="none" w:color="auto"/>
                <w:vertAlign w:val="baseline"/>
                <w:lang w:val="en-US" w:eastAsia="zh-CN"/>
              </w:rPr>
            </w:pPr>
            <w:r>
              <w:rPr>
                <w:rFonts w:hint="default" w:ascii="Times New Roman" w:hAnsi="Times New Roman" w:cs="Times New Roman"/>
                <w:color w:val="auto"/>
                <w:sz w:val="21"/>
                <w:szCs w:val="21"/>
                <w:u w:val="none" w:color="auto"/>
                <w:lang w:val="en-US" w:eastAsia="zh-CN"/>
              </w:rPr>
              <w:t>D</w:t>
            </w:r>
            <w:r>
              <w:rPr>
                <w:rFonts w:hint="default" w:ascii="Times New Roman" w:hAnsi="Times New Roman" w:cs="Times New Roman"/>
                <w:color w:val="auto"/>
                <w:sz w:val="21"/>
                <w:szCs w:val="21"/>
                <w:u w:val="none" w:color="auto"/>
                <w:vertAlign w:val="subscript"/>
                <w:lang w:val="en-US" w:eastAsia="zh-CN"/>
              </w:rPr>
              <w:t>rel</w:t>
            </w:r>
          </w:p>
        </w:tc>
        <w:tc>
          <w:tcPr>
            <w:tcW w:w="1541" w:type="dxa"/>
            <w:tcBorders>
              <w:tl2br w:val="nil"/>
              <w:tr2bl w:val="nil"/>
            </w:tcBorders>
            <w:vAlign w:val="center"/>
          </w:tcPr>
          <w:p w14:paraId="1938E830">
            <w:pPr>
              <w:bidi w:val="0"/>
              <w:spacing w:line="240" w:lineRule="auto"/>
              <w:jc w:val="center"/>
              <w:rPr>
                <w:rFonts w:hint="default"/>
                <w:sz w:val="21"/>
                <w:szCs w:val="21"/>
                <w:u w:val="none" w:color="auto"/>
                <w:vertAlign w:val="baseline"/>
                <w:lang w:val="en-US" w:eastAsia="zh-CN"/>
              </w:rPr>
            </w:pPr>
            <w:r>
              <w:rPr>
                <w:rFonts w:hint="default" w:ascii="Times New Roman" w:hAnsi="Times New Roman" w:cs="Times New Roman"/>
                <w:color w:val="auto"/>
                <w:sz w:val="21"/>
                <w:szCs w:val="21"/>
                <w:u w:val="none" w:color="auto"/>
                <w:lang w:val="en-US" w:eastAsia="zh-CN"/>
              </w:rPr>
              <w:t>U</w:t>
            </w:r>
            <w:r>
              <w:rPr>
                <w:rFonts w:hint="default" w:ascii="Times New Roman" w:hAnsi="Times New Roman" w:cs="Times New Roman"/>
                <w:color w:val="auto"/>
                <w:sz w:val="21"/>
                <w:szCs w:val="21"/>
                <w:u w:val="none" w:color="auto"/>
                <w:vertAlign w:val="subscript"/>
                <w:lang w:val="en-US" w:eastAsia="zh-CN"/>
              </w:rPr>
              <w:t>r</w:t>
            </w:r>
          </w:p>
        </w:tc>
      </w:tr>
      <w:tr w14:paraId="5CCD11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545" w:type="dxa"/>
            <w:vMerge w:val="continue"/>
            <w:tcBorders>
              <w:tl2br w:val="nil"/>
              <w:tr2bl w:val="nil"/>
            </w:tcBorders>
            <w:vAlign w:val="center"/>
          </w:tcPr>
          <w:p w14:paraId="51690D23">
            <w:pPr>
              <w:bidi w:val="0"/>
              <w:spacing w:line="240" w:lineRule="auto"/>
              <w:jc w:val="center"/>
              <w:rPr>
                <w:rFonts w:hint="default"/>
                <w:sz w:val="21"/>
                <w:szCs w:val="21"/>
                <w:u w:val="none" w:color="auto"/>
                <w:vertAlign w:val="baseline"/>
                <w:lang w:val="en-US" w:eastAsia="zh-CN"/>
              </w:rPr>
            </w:pPr>
          </w:p>
        </w:tc>
        <w:tc>
          <w:tcPr>
            <w:tcW w:w="1325" w:type="dxa"/>
            <w:vMerge w:val="continue"/>
            <w:tcBorders>
              <w:tl2br w:val="nil"/>
              <w:tr2bl w:val="nil"/>
            </w:tcBorders>
            <w:vAlign w:val="center"/>
          </w:tcPr>
          <w:p w14:paraId="02357765">
            <w:pPr>
              <w:bidi w:val="0"/>
              <w:spacing w:line="240" w:lineRule="auto"/>
              <w:rPr>
                <w:rFonts w:hint="default"/>
                <w:sz w:val="21"/>
                <w:szCs w:val="21"/>
                <w:u w:val="none" w:color="auto"/>
                <w:vertAlign w:val="baseline"/>
                <w:lang w:val="en-US" w:eastAsia="zh-CN"/>
              </w:rPr>
            </w:pPr>
          </w:p>
        </w:tc>
        <w:tc>
          <w:tcPr>
            <w:tcW w:w="2750" w:type="dxa"/>
            <w:tcBorders>
              <w:tl2br w:val="nil"/>
              <w:tr2bl w:val="nil"/>
            </w:tcBorders>
            <w:vAlign w:val="center"/>
          </w:tcPr>
          <w:p w14:paraId="7683098D">
            <w:pPr>
              <w:bidi w:val="0"/>
              <w:spacing w:line="240" w:lineRule="auto"/>
              <w:jc w:val="center"/>
              <w:rPr>
                <w:rFonts w:hint="default"/>
                <w:sz w:val="21"/>
                <w:szCs w:val="21"/>
                <w:u w:val="none" w:color="auto"/>
                <w:vertAlign w:val="baseline"/>
                <w:lang w:val="en-US" w:eastAsia="zh-CN"/>
              </w:rPr>
            </w:pPr>
            <w:r>
              <w:rPr>
                <w:rFonts w:hint="default" w:ascii="Times New Roman" w:hAnsi="Times New Roman" w:cs="Times New Roman"/>
                <w:color w:val="auto"/>
                <w:sz w:val="21"/>
                <w:szCs w:val="21"/>
                <w:u w:val="none" w:color="auto"/>
              </w:rPr>
              <w:t>kg</w:t>
            </w:r>
            <w:r>
              <w:rPr>
                <w:rFonts w:hint="default" w:ascii="Times New Roman" w:hAnsi="Times New Roman" w:cs="Times New Roman"/>
                <w:color w:val="auto"/>
                <w:sz w:val="21"/>
                <w:szCs w:val="21"/>
                <w:u w:val="none" w:color="auto"/>
                <w:lang w:val="en-US" w:eastAsia="zh-CN"/>
              </w:rPr>
              <w:t>/m</w:t>
            </w:r>
            <w:r>
              <w:rPr>
                <w:rFonts w:hint="default" w:ascii="Times New Roman" w:hAnsi="Times New Roman" w:cs="Times New Roman"/>
                <w:color w:val="auto"/>
                <w:sz w:val="21"/>
                <w:szCs w:val="21"/>
                <w:u w:val="none" w:color="auto"/>
                <w:vertAlign w:val="superscript"/>
                <w:lang w:val="en-US" w:eastAsia="zh-CN"/>
              </w:rPr>
              <w:t>3</w:t>
            </w:r>
          </w:p>
        </w:tc>
        <w:tc>
          <w:tcPr>
            <w:tcW w:w="1540" w:type="dxa"/>
            <w:tcBorders>
              <w:tl2br w:val="nil"/>
              <w:tr2bl w:val="nil"/>
            </w:tcBorders>
            <w:vAlign w:val="center"/>
          </w:tcPr>
          <w:p w14:paraId="668FBC02">
            <w:pPr>
              <w:bidi w:val="0"/>
              <w:spacing w:line="240" w:lineRule="auto"/>
              <w:jc w:val="center"/>
              <w:rPr>
                <w:rFonts w:hint="default"/>
                <w:sz w:val="21"/>
                <w:szCs w:val="21"/>
                <w:u w:val="none" w:color="auto"/>
                <w:vertAlign w:val="baseline"/>
                <w:lang w:val="en-US" w:eastAsia="zh-CN"/>
              </w:rPr>
            </w:pPr>
            <w:r>
              <w:rPr>
                <w:rFonts w:hint="default" w:ascii="Times New Roman" w:hAnsi="Times New Roman" w:cs="Times New Roman"/>
                <w:color w:val="auto"/>
                <w:sz w:val="21"/>
                <w:szCs w:val="21"/>
                <w:u w:val="none" w:color="auto"/>
              </w:rPr>
              <w:t>kg</w:t>
            </w:r>
            <w:r>
              <w:rPr>
                <w:rFonts w:hint="default" w:ascii="Times New Roman" w:hAnsi="Times New Roman" w:cs="Times New Roman"/>
                <w:color w:val="auto"/>
                <w:sz w:val="21"/>
                <w:szCs w:val="21"/>
                <w:u w:val="none" w:color="auto"/>
                <w:lang w:val="en-US" w:eastAsia="zh-CN"/>
              </w:rPr>
              <w:t>/m</w:t>
            </w:r>
            <w:r>
              <w:rPr>
                <w:rFonts w:hint="default" w:ascii="Times New Roman" w:hAnsi="Times New Roman" w:cs="Times New Roman"/>
                <w:color w:val="auto"/>
                <w:sz w:val="21"/>
                <w:szCs w:val="21"/>
                <w:u w:val="none" w:color="auto"/>
                <w:vertAlign w:val="superscript"/>
                <w:lang w:val="en-US" w:eastAsia="zh-CN"/>
              </w:rPr>
              <w:t>3</w:t>
            </w:r>
          </w:p>
        </w:tc>
        <w:tc>
          <w:tcPr>
            <w:tcW w:w="1541" w:type="dxa"/>
            <w:tcBorders>
              <w:tl2br w:val="nil"/>
              <w:tr2bl w:val="nil"/>
            </w:tcBorders>
            <w:vAlign w:val="center"/>
          </w:tcPr>
          <w:p w14:paraId="74FD7066">
            <w:pPr>
              <w:bidi w:val="0"/>
              <w:spacing w:line="240" w:lineRule="auto"/>
              <w:jc w:val="center"/>
              <w:rPr>
                <w:rFonts w:hint="default"/>
                <w:sz w:val="21"/>
                <w:szCs w:val="21"/>
                <w:u w:val="none" w:color="auto"/>
                <w:vertAlign w:val="baseline"/>
                <w:lang w:val="en-US" w:eastAsia="zh-CN"/>
              </w:rPr>
            </w:pPr>
            <w:r>
              <w:rPr>
                <w:rFonts w:hint="default" w:ascii="Times New Roman" w:hAnsi="Times New Roman" w:cs="Times New Roman"/>
                <w:color w:val="auto"/>
                <w:sz w:val="21"/>
                <w:szCs w:val="21"/>
                <w:u w:val="none" w:color="auto"/>
                <w:lang w:val="en-US" w:eastAsia="zh-CN"/>
              </w:rPr>
              <w:t>m</w:t>
            </w:r>
          </w:p>
        </w:tc>
        <w:tc>
          <w:tcPr>
            <w:tcW w:w="1541" w:type="dxa"/>
            <w:tcBorders>
              <w:tl2br w:val="nil"/>
              <w:tr2bl w:val="nil"/>
            </w:tcBorders>
            <w:vAlign w:val="center"/>
          </w:tcPr>
          <w:p w14:paraId="28025E82">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m/s</w:t>
            </w:r>
          </w:p>
        </w:tc>
      </w:tr>
      <w:tr w14:paraId="445275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45" w:type="dxa"/>
            <w:tcBorders>
              <w:tl2br w:val="nil"/>
              <w:tr2bl w:val="nil"/>
            </w:tcBorders>
            <w:vAlign w:val="center"/>
          </w:tcPr>
          <w:p w14:paraId="0FE40AB9">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1</w:t>
            </w:r>
          </w:p>
        </w:tc>
        <w:tc>
          <w:tcPr>
            <w:tcW w:w="1325" w:type="dxa"/>
            <w:tcBorders>
              <w:tl2br w:val="nil"/>
              <w:tr2bl w:val="nil"/>
            </w:tcBorders>
            <w:vAlign w:val="center"/>
          </w:tcPr>
          <w:p w14:paraId="5DA317E2">
            <w:pPr>
              <w:bidi w:val="0"/>
              <w:spacing w:line="240" w:lineRule="auto"/>
              <w:rPr>
                <w:rFonts w:hint="default"/>
                <w:sz w:val="21"/>
                <w:szCs w:val="21"/>
                <w:u w:val="none" w:color="auto"/>
                <w:vertAlign w:val="baseline"/>
                <w:lang w:val="en-US" w:eastAsia="zh-CN"/>
              </w:rPr>
            </w:pPr>
            <w:r>
              <w:rPr>
                <w:rFonts w:hint="default"/>
                <w:sz w:val="21"/>
                <w:szCs w:val="21"/>
                <w:u w:val="none" w:color="auto"/>
                <w:vertAlign w:val="baseline"/>
                <w:lang w:val="en-US" w:eastAsia="zh-CN"/>
              </w:rPr>
              <w:t>NMP</w:t>
            </w:r>
          </w:p>
        </w:tc>
        <w:tc>
          <w:tcPr>
            <w:tcW w:w="2750" w:type="dxa"/>
            <w:tcBorders>
              <w:tl2br w:val="nil"/>
              <w:tr2bl w:val="nil"/>
            </w:tcBorders>
            <w:vAlign w:val="center"/>
          </w:tcPr>
          <w:p w14:paraId="35C831A7">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0.9（以非甲烷总烃计)</w:t>
            </w:r>
          </w:p>
        </w:tc>
        <w:tc>
          <w:tcPr>
            <w:tcW w:w="1540" w:type="dxa"/>
            <w:tcBorders>
              <w:tl2br w:val="nil"/>
              <w:tr2bl w:val="nil"/>
            </w:tcBorders>
            <w:vAlign w:val="center"/>
          </w:tcPr>
          <w:p w14:paraId="1BD89B01">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1.29</w:t>
            </w:r>
          </w:p>
        </w:tc>
        <w:tc>
          <w:tcPr>
            <w:tcW w:w="1541" w:type="dxa"/>
            <w:tcBorders>
              <w:tl2br w:val="nil"/>
              <w:tr2bl w:val="nil"/>
            </w:tcBorders>
            <w:vAlign w:val="center"/>
          </w:tcPr>
          <w:p w14:paraId="1AA2A0EE">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8</w:t>
            </w:r>
          </w:p>
        </w:tc>
        <w:tc>
          <w:tcPr>
            <w:tcW w:w="1541" w:type="dxa"/>
            <w:tcBorders>
              <w:tl2br w:val="nil"/>
              <w:tr2bl w:val="nil"/>
            </w:tcBorders>
            <w:vAlign w:val="center"/>
          </w:tcPr>
          <w:p w14:paraId="5E5719F9">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1.5</w:t>
            </w:r>
          </w:p>
        </w:tc>
      </w:tr>
      <w:tr w14:paraId="17C58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45" w:type="dxa"/>
            <w:tcBorders>
              <w:tl2br w:val="nil"/>
              <w:tr2bl w:val="nil"/>
            </w:tcBorders>
            <w:vAlign w:val="center"/>
          </w:tcPr>
          <w:p w14:paraId="3B194A6B">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2</w:t>
            </w:r>
          </w:p>
        </w:tc>
        <w:tc>
          <w:tcPr>
            <w:tcW w:w="1325" w:type="dxa"/>
            <w:tcBorders>
              <w:tl2br w:val="nil"/>
              <w:tr2bl w:val="nil"/>
            </w:tcBorders>
            <w:vAlign w:val="center"/>
          </w:tcPr>
          <w:p w14:paraId="03F6A379">
            <w:pPr>
              <w:bidi w:val="0"/>
              <w:spacing w:line="240" w:lineRule="auto"/>
              <w:rPr>
                <w:rFonts w:hint="default"/>
                <w:b/>
                <w:bCs/>
                <w:sz w:val="21"/>
                <w:szCs w:val="21"/>
                <w:u w:val="none" w:color="auto"/>
                <w:vertAlign w:val="baseline"/>
                <w:lang w:val="en-US" w:eastAsia="zh-CN"/>
              </w:rPr>
            </w:pPr>
            <w:r>
              <w:rPr>
                <w:rFonts w:hint="default"/>
                <w:sz w:val="21"/>
                <w:szCs w:val="21"/>
                <w:u w:val="none" w:color="auto"/>
                <w:vertAlign w:val="baseline"/>
                <w:lang w:val="en-US" w:eastAsia="zh-CN"/>
              </w:rPr>
              <w:t>NMP</w:t>
            </w:r>
            <w:r>
              <w:rPr>
                <w:rFonts w:hint="eastAsia"/>
                <w:sz w:val="21"/>
                <w:szCs w:val="21"/>
                <w:u w:val="none" w:color="auto"/>
                <w:vertAlign w:val="baseline"/>
                <w:lang w:val="en-US" w:eastAsia="zh-CN"/>
              </w:rPr>
              <w:t>回收液</w:t>
            </w:r>
          </w:p>
        </w:tc>
        <w:tc>
          <w:tcPr>
            <w:tcW w:w="2750" w:type="dxa"/>
            <w:tcBorders>
              <w:tl2br w:val="nil"/>
              <w:tr2bl w:val="nil"/>
            </w:tcBorders>
            <w:vAlign w:val="center"/>
          </w:tcPr>
          <w:p w14:paraId="627D1ABE">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0.9（以非甲烷总烃计)</w:t>
            </w:r>
          </w:p>
        </w:tc>
        <w:tc>
          <w:tcPr>
            <w:tcW w:w="1540" w:type="dxa"/>
            <w:tcBorders>
              <w:tl2br w:val="nil"/>
              <w:tr2bl w:val="nil"/>
            </w:tcBorders>
            <w:vAlign w:val="center"/>
          </w:tcPr>
          <w:p w14:paraId="7138EF4A">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1.29</w:t>
            </w:r>
          </w:p>
        </w:tc>
        <w:tc>
          <w:tcPr>
            <w:tcW w:w="1541" w:type="dxa"/>
            <w:tcBorders>
              <w:tl2br w:val="nil"/>
              <w:tr2bl w:val="nil"/>
            </w:tcBorders>
            <w:vAlign w:val="center"/>
          </w:tcPr>
          <w:p w14:paraId="785F14C6">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8</w:t>
            </w:r>
          </w:p>
        </w:tc>
        <w:tc>
          <w:tcPr>
            <w:tcW w:w="1541" w:type="dxa"/>
            <w:tcBorders>
              <w:tl2br w:val="nil"/>
              <w:tr2bl w:val="nil"/>
            </w:tcBorders>
            <w:vAlign w:val="center"/>
          </w:tcPr>
          <w:p w14:paraId="1F6B0B28">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1.5</w:t>
            </w:r>
          </w:p>
        </w:tc>
      </w:tr>
      <w:tr w14:paraId="615EA3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45" w:type="dxa"/>
            <w:tcBorders>
              <w:tl2br w:val="nil"/>
              <w:tr2bl w:val="nil"/>
            </w:tcBorders>
            <w:vAlign w:val="center"/>
          </w:tcPr>
          <w:p w14:paraId="2747E447">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3</w:t>
            </w:r>
          </w:p>
        </w:tc>
        <w:tc>
          <w:tcPr>
            <w:tcW w:w="1325" w:type="dxa"/>
            <w:tcBorders>
              <w:tl2br w:val="nil"/>
              <w:tr2bl w:val="nil"/>
            </w:tcBorders>
            <w:vAlign w:val="center"/>
          </w:tcPr>
          <w:p w14:paraId="165B5737">
            <w:pPr>
              <w:bidi w:val="0"/>
              <w:spacing w:line="240" w:lineRule="auto"/>
              <w:rPr>
                <w:rFonts w:hint="default"/>
                <w:sz w:val="21"/>
                <w:szCs w:val="21"/>
                <w:u w:val="none" w:color="auto"/>
                <w:vertAlign w:val="baseline"/>
                <w:lang w:val="en-US" w:eastAsia="zh-CN"/>
              </w:rPr>
            </w:pPr>
            <w:r>
              <w:rPr>
                <w:rFonts w:hint="eastAsia"/>
                <w:sz w:val="21"/>
                <w:szCs w:val="21"/>
                <w:u w:val="none" w:color="auto"/>
                <w:vertAlign w:val="baseline"/>
                <w:lang w:val="en-US" w:eastAsia="zh-CN"/>
              </w:rPr>
              <w:t>电解液</w:t>
            </w:r>
          </w:p>
        </w:tc>
        <w:tc>
          <w:tcPr>
            <w:tcW w:w="2750" w:type="dxa"/>
            <w:tcBorders>
              <w:tl2br w:val="nil"/>
              <w:tr2bl w:val="nil"/>
            </w:tcBorders>
            <w:vAlign w:val="center"/>
          </w:tcPr>
          <w:p w14:paraId="09496A4E">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0.9（以非甲烷总烃计)</w:t>
            </w:r>
          </w:p>
        </w:tc>
        <w:tc>
          <w:tcPr>
            <w:tcW w:w="1540" w:type="dxa"/>
            <w:tcBorders>
              <w:tl2br w:val="nil"/>
              <w:tr2bl w:val="nil"/>
            </w:tcBorders>
            <w:vAlign w:val="center"/>
          </w:tcPr>
          <w:p w14:paraId="03A0E413">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1.29</w:t>
            </w:r>
          </w:p>
        </w:tc>
        <w:tc>
          <w:tcPr>
            <w:tcW w:w="1541" w:type="dxa"/>
            <w:tcBorders>
              <w:tl2br w:val="nil"/>
              <w:tr2bl w:val="nil"/>
            </w:tcBorders>
            <w:vAlign w:val="center"/>
          </w:tcPr>
          <w:p w14:paraId="72B5AFC4">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2</w:t>
            </w:r>
          </w:p>
        </w:tc>
        <w:tc>
          <w:tcPr>
            <w:tcW w:w="1541" w:type="dxa"/>
            <w:tcBorders>
              <w:tl2br w:val="nil"/>
              <w:tr2bl w:val="nil"/>
            </w:tcBorders>
            <w:vAlign w:val="center"/>
          </w:tcPr>
          <w:p w14:paraId="384ACB09">
            <w:pPr>
              <w:bidi w:val="0"/>
              <w:spacing w:line="240" w:lineRule="auto"/>
              <w:jc w:val="center"/>
              <w:rPr>
                <w:rFonts w:hint="default"/>
                <w:sz w:val="21"/>
                <w:szCs w:val="21"/>
                <w:u w:val="none" w:color="auto"/>
                <w:vertAlign w:val="baseline"/>
                <w:lang w:val="en-US" w:eastAsia="zh-CN"/>
              </w:rPr>
            </w:pPr>
            <w:r>
              <w:rPr>
                <w:rFonts w:hint="eastAsia"/>
                <w:sz w:val="21"/>
                <w:szCs w:val="21"/>
                <w:u w:val="none" w:color="auto"/>
                <w:vertAlign w:val="baseline"/>
                <w:lang w:val="en-US" w:eastAsia="zh-CN"/>
              </w:rPr>
              <w:t>1.5</w:t>
            </w:r>
          </w:p>
        </w:tc>
      </w:tr>
    </w:tbl>
    <w:p w14:paraId="1FBDE4EC">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eastAsia" w:ascii="Times New Roman" w:hAnsi="Times New Roman" w:eastAsia="宋体" w:cs="Times New Roman"/>
          <w:color w:val="000000"/>
          <w:sz w:val="24"/>
          <w:szCs w:val="24"/>
          <w:u w:val="none" w:color="auto"/>
          <w:lang w:val="en-US" w:eastAsia="zh-CN"/>
        </w:rPr>
        <w:t>经计算</w:t>
      </w:r>
      <w:r>
        <w:rPr>
          <w:rFonts w:hint="default" w:ascii="Times New Roman" w:hAnsi="Times New Roman" w:eastAsia="宋体" w:cs="Times New Roman"/>
          <w:color w:val="000000"/>
          <w:sz w:val="24"/>
          <w:szCs w:val="24"/>
          <w:u w:val="none" w:color="auto"/>
          <w:lang w:val="en-US" w:eastAsia="zh-CN"/>
        </w:rPr>
        <w:t>，NMP、电解液泄漏的理查德森数Ri&lt;1/6，为轻质气体</w:t>
      </w:r>
      <w:r>
        <w:rPr>
          <w:rFonts w:hint="eastAsia" w:ascii="Times New Roman" w:hAnsi="Times New Roman" w:eastAsia="宋体" w:cs="Times New Roman"/>
          <w:color w:val="000000"/>
          <w:sz w:val="24"/>
          <w:szCs w:val="24"/>
          <w:u w:val="none" w:color="auto"/>
          <w:lang w:val="en-US" w:eastAsia="zh-CN"/>
        </w:rPr>
        <w:t>。</w:t>
      </w:r>
    </w:p>
    <w:p w14:paraId="587AB808">
      <w:pPr>
        <w:spacing w:line="520" w:lineRule="exact"/>
        <w:ind w:firstLine="482" w:firstLineChars="200"/>
        <w:rPr>
          <w:rFonts w:hint="default" w:ascii="Times New Roman" w:hAnsi="Times New Roman" w:eastAsia="宋体" w:cs="Times New Roman"/>
          <w:b/>
          <w:bCs/>
          <w:color w:val="000000"/>
          <w:sz w:val="24"/>
          <w:szCs w:val="24"/>
          <w:u w:val="none" w:color="auto"/>
          <w:lang w:val="en-US" w:eastAsia="zh-CN"/>
        </w:rPr>
      </w:pPr>
      <w:r>
        <w:rPr>
          <w:rFonts w:hint="eastAsia" w:ascii="Times New Roman" w:hAnsi="Times New Roman" w:cs="Times New Roman"/>
          <w:b/>
          <w:bCs/>
          <w:sz w:val="24"/>
          <w:szCs w:val="24"/>
          <w:u w:val="none" w:color="auto"/>
          <w:lang w:val="en-US" w:eastAsia="zh-CN"/>
        </w:rPr>
        <w:t>8.1.2</w:t>
      </w:r>
      <w:r>
        <w:rPr>
          <w:rFonts w:hint="default" w:ascii="Times New Roman" w:hAnsi="Times New Roman" w:eastAsia="宋体" w:cs="Times New Roman"/>
          <w:b/>
          <w:bCs/>
          <w:color w:val="000000"/>
          <w:sz w:val="24"/>
          <w:szCs w:val="24"/>
          <w:u w:val="none" w:color="auto"/>
          <w:lang w:val="en-US" w:eastAsia="zh-CN"/>
        </w:rPr>
        <w:t>气</w:t>
      </w:r>
      <w:r>
        <w:rPr>
          <w:rFonts w:hint="eastAsia" w:ascii="Times New Roman" w:hAnsi="Times New Roman" w:eastAsia="宋体" w:cs="Times New Roman"/>
          <w:b/>
          <w:bCs/>
          <w:color w:val="000000"/>
          <w:sz w:val="24"/>
          <w:szCs w:val="24"/>
          <w:u w:val="none" w:color="auto"/>
          <w:lang w:val="en-US" w:eastAsia="zh-CN"/>
        </w:rPr>
        <w:t>象</w:t>
      </w:r>
      <w:r>
        <w:rPr>
          <w:rFonts w:hint="default" w:ascii="Times New Roman" w:hAnsi="Times New Roman" w:eastAsia="宋体" w:cs="Times New Roman"/>
          <w:b/>
          <w:bCs/>
          <w:color w:val="000000"/>
          <w:sz w:val="24"/>
          <w:szCs w:val="24"/>
          <w:u w:val="none" w:color="auto"/>
          <w:lang w:val="en-US" w:eastAsia="zh-CN"/>
        </w:rPr>
        <w:t xml:space="preserve">参数 </w:t>
      </w:r>
    </w:p>
    <w:p w14:paraId="78929B52">
      <w:pPr>
        <w:spacing w:line="520" w:lineRule="exact"/>
        <w:ind w:firstLine="480" w:firstLineChars="200"/>
        <w:rPr>
          <w:rFonts w:hint="eastAsia" w:ascii="Times New Roman" w:hAnsi="Times New Roman" w:eastAsia="宋体" w:cs="Times New Roman"/>
          <w:color w:val="000000"/>
          <w:sz w:val="24"/>
          <w:szCs w:val="24"/>
          <w:u w:val="none" w:color="auto"/>
        </w:rPr>
      </w:pPr>
      <w:r>
        <w:rPr>
          <w:rFonts w:hint="eastAsia" w:ascii="Times New Roman" w:hAnsi="Times New Roman" w:eastAsia="宋体" w:cs="Times New Roman"/>
          <w:color w:val="000000"/>
          <w:sz w:val="24"/>
          <w:szCs w:val="24"/>
          <w:u w:val="none" w:color="auto"/>
        </w:rPr>
        <w:t>本项目大气环境风险评价等级为二级，选择最不利气象条件进行后果预测。最不利气象条件取F类稳定度，1.5m/s风速，温度25℃，相对湿度50%。</w:t>
      </w:r>
    </w:p>
    <w:p w14:paraId="55CA90A6">
      <w:pPr>
        <w:spacing w:line="520" w:lineRule="exact"/>
        <w:ind w:firstLine="482" w:firstLineChars="200"/>
        <w:rPr>
          <w:rFonts w:hint="default" w:ascii="Times New Roman" w:hAnsi="Times New Roman" w:eastAsia="宋体" w:cs="Times New Roman"/>
          <w:b/>
          <w:bCs/>
          <w:color w:val="000000"/>
          <w:sz w:val="24"/>
          <w:szCs w:val="24"/>
          <w:u w:val="none" w:color="auto"/>
          <w:lang w:val="en-US" w:eastAsia="zh-CN"/>
        </w:rPr>
      </w:pPr>
      <w:r>
        <w:rPr>
          <w:rFonts w:hint="eastAsia" w:ascii="Times New Roman" w:hAnsi="Times New Roman" w:cs="Times New Roman"/>
          <w:b/>
          <w:bCs/>
          <w:sz w:val="24"/>
          <w:szCs w:val="24"/>
          <w:u w:val="none" w:color="auto"/>
          <w:lang w:val="en-US" w:eastAsia="zh-CN"/>
        </w:rPr>
        <w:t>8.1.3</w:t>
      </w:r>
      <w:r>
        <w:rPr>
          <w:rFonts w:hint="eastAsia" w:ascii="Times New Roman" w:hAnsi="Times New Roman" w:eastAsia="宋体" w:cs="Times New Roman"/>
          <w:b/>
          <w:bCs/>
          <w:color w:val="000000"/>
          <w:sz w:val="24"/>
          <w:szCs w:val="24"/>
          <w:u w:val="none" w:color="auto"/>
        </w:rPr>
        <w:t>预测内容</w:t>
      </w:r>
    </w:p>
    <w:p w14:paraId="6E10EAAD">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eastAsia" w:ascii="Times New Roman" w:hAnsi="Times New Roman" w:eastAsia="宋体" w:cs="Times New Roman"/>
          <w:color w:val="000000"/>
          <w:sz w:val="24"/>
          <w:szCs w:val="24"/>
          <w:u w:val="none" w:color="auto"/>
          <w:lang w:val="en-US" w:eastAsia="zh-CN"/>
        </w:rPr>
        <w:t>（1）</w:t>
      </w:r>
      <w:r>
        <w:rPr>
          <w:rFonts w:hint="default" w:ascii="Times New Roman" w:hAnsi="Times New Roman" w:eastAsia="宋体" w:cs="Times New Roman"/>
          <w:color w:val="000000"/>
          <w:sz w:val="24"/>
          <w:szCs w:val="24"/>
          <w:u w:val="none" w:color="auto"/>
          <w:lang w:val="en-US" w:eastAsia="zh-CN"/>
        </w:rPr>
        <w:t>下风向不同距离处有毒有害物质的最大浓度，以及预测浓度达到不同毒性终点浓度的最大影响范围。</w:t>
      </w:r>
    </w:p>
    <w:p w14:paraId="767F3761">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eastAsia" w:ascii="Times New Roman" w:hAnsi="Times New Roman" w:eastAsia="宋体" w:cs="Times New Roman"/>
          <w:color w:val="000000"/>
          <w:sz w:val="24"/>
          <w:szCs w:val="24"/>
          <w:u w:val="none" w:color="auto"/>
          <w:lang w:val="en-US" w:eastAsia="zh-CN"/>
        </w:rPr>
        <w:t>（2）</w:t>
      </w:r>
      <w:r>
        <w:rPr>
          <w:rFonts w:hint="default" w:ascii="Times New Roman" w:hAnsi="Times New Roman" w:eastAsia="宋体" w:cs="Times New Roman"/>
          <w:color w:val="000000"/>
          <w:sz w:val="24"/>
          <w:szCs w:val="24"/>
          <w:u w:val="none" w:color="auto"/>
          <w:lang w:val="en-US" w:eastAsia="zh-CN"/>
        </w:rPr>
        <w:t>各关心点的有毒有害物质浓度随时间变化情况，以及关心点的预测浓度超过评价标准时对应的时刻和持续时间。</w:t>
      </w:r>
    </w:p>
    <w:p w14:paraId="78542E31">
      <w:pPr>
        <w:spacing w:line="520" w:lineRule="exact"/>
        <w:ind w:firstLine="482" w:firstLineChars="200"/>
        <w:rPr>
          <w:rFonts w:hint="eastAsia" w:ascii="Times New Roman" w:hAnsi="Times New Roman" w:cs="Times New Roman"/>
          <w:b/>
          <w:bCs/>
          <w:color w:val="000000"/>
          <w:sz w:val="24"/>
          <w:szCs w:val="24"/>
          <w:u w:val="none" w:color="auto"/>
          <w:lang w:val="en-US" w:eastAsia="zh-CN"/>
        </w:rPr>
      </w:pPr>
      <w:r>
        <w:rPr>
          <w:rFonts w:hint="eastAsia" w:ascii="Times New Roman" w:hAnsi="Times New Roman" w:cs="Times New Roman"/>
          <w:b/>
          <w:bCs/>
          <w:sz w:val="24"/>
          <w:szCs w:val="24"/>
          <w:u w:val="none" w:color="auto"/>
          <w:lang w:val="en-US" w:eastAsia="zh-CN"/>
        </w:rPr>
        <w:t>8.1.4</w:t>
      </w:r>
      <w:r>
        <w:rPr>
          <w:rFonts w:hint="eastAsia" w:ascii="Times New Roman" w:hAnsi="Times New Roman" w:cs="Times New Roman"/>
          <w:b/>
          <w:bCs/>
          <w:color w:val="000000"/>
          <w:sz w:val="24"/>
          <w:szCs w:val="24"/>
          <w:u w:val="none" w:color="auto"/>
          <w:lang w:val="en-US" w:eastAsia="zh-CN"/>
        </w:rPr>
        <w:t>评价标准</w:t>
      </w:r>
    </w:p>
    <w:p w14:paraId="28A01B9C">
      <w:pPr>
        <w:pStyle w:val="4"/>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textAlignment w:val="auto"/>
        <w:rPr>
          <w:rFonts w:hint="eastAsia"/>
          <w:spacing w:val="0"/>
          <w:w w:val="100"/>
          <w:kern w:val="21"/>
          <w:position w:val="0"/>
          <w:sz w:val="24"/>
          <w:u w:val="none" w:color="auto"/>
          <w:lang w:eastAsia="zh-CN"/>
        </w:rPr>
      </w:pPr>
      <w:r>
        <w:rPr>
          <w:rFonts w:hint="eastAsia"/>
          <w:spacing w:val="0"/>
          <w:w w:val="100"/>
          <w:kern w:val="21"/>
          <w:position w:val="0"/>
          <w:sz w:val="24"/>
          <w:u w:val="none" w:color="auto"/>
          <w:lang w:eastAsia="zh-CN"/>
        </w:rPr>
        <w:t>根据（HJ169-2018）附录H，需预测的危险物质的大气毒性终点浓度选取结果见下表所示。</w:t>
      </w:r>
    </w:p>
    <w:p w14:paraId="1C3BE236">
      <w:pPr>
        <w:pStyle w:val="124"/>
        <w:bidi w:val="0"/>
        <w:jc w:val="center"/>
        <w:rPr>
          <w:rFonts w:hint="eastAsia" w:cs="Times New Roman"/>
          <w:color w:val="auto"/>
          <w:spacing w:val="0"/>
          <w:w w:val="100"/>
          <w:kern w:val="21"/>
          <w:position w:val="0"/>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cs="Times New Roman"/>
          <w:color w:val="auto"/>
          <w:spacing w:val="0"/>
          <w:w w:val="100"/>
          <w:kern w:val="21"/>
          <w:position w:val="0"/>
          <w:u w:val="none" w:color="auto"/>
          <w:lang w:val="en-US" w:eastAsia="zh-CN"/>
        </w:rPr>
        <w:t>预测涉及的危险物质特性毒性终点浓度选取一览表</w:t>
      </w:r>
    </w:p>
    <w:tbl>
      <w:tblPr>
        <w:tblStyle w:val="114"/>
        <w:tblW w:w="500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64"/>
        <w:gridCol w:w="1982"/>
        <w:gridCol w:w="2792"/>
        <w:gridCol w:w="2803"/>
      </w:tblGrid>
      <w:tr w14:paraId="1B362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810" w:type="pct"/>
            <w:vMerge w:val="restart"/>
            <w:tcBorders>
              <w:bottom w:val="nil"/>
            </w:tcBorders>
            <w:noWrap w:val="0"/>
            <w:vAlign w:val="center"/>
          </w:tcPr>
          <w:p w14:paraId="67BD00C9">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序号</w:t>
            </w:r>
          </w:p>
        </w:tc>
        <w:tc>
          <w:tcPr>
            <w:tcW w:w="1096" w:type="pct"/>
            <w:vMerge w:val="restart"/>
            <w:tcBorders>
              <w:bottom w:val="nil"/>
            </w:tcBorders>
            <w:noWrap w:val="0"/>
            <w:vAlign w:val="center"/>
          </w:tcPr>
          <w:p w14:paraId="65ECBD83">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物质名称</w:t>
            </w:r>
          </w:p>
        </w:tc>
        <w:tc>
          <w:tcPr>
            <w:tcW w:w="3093" w:type="pct"/>
            <w:gridSpan w:val="2"/>
            <w:noWrap w:val="0"/>
            <w:vAlign w:val="center"/>
          </w:tcPr>
          <w:p w14:paraId="6B73F8CA">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大气毒性终点浓度mg/m3</w:t>
            </w:r>
          </w:p>
        </w:tc>
      </w:tr>
      <w:tr w14:paraId="2D340A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810" w:type="pct"/>
            <w:vMerge w:val="continue"/>
            <w:tcBorders>
              <w:top w:val="nil"/>
            </w:tcBorders>
            <w:noWrap w:val="0"/>
            <w:vAlign w:val="center"/>
          </w:tcPr>
          <w:p w14:paraId="390F2907">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p>
        </w:tc>
        <w:tc>
          <w:tcPr>
            <w:tcW w:w="1096" w:type="pct"/>
            <w:vMerge w:val="continue"/>
            <w:tcBorders>
              <w:top w:val="nil"/>
            </w:tcBorders>
            <w:noWrap w:val="0"/>
            <w:vAlign w:val="center"/>
          </w:tcPr>
          <w:p w14:paraId="1A222813">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p>
        </w:tc>
        <w:tc>
          <w:tcPr>
            <w:tcW w:w="1544" w:type="pct"/>
            <w:noWrap w:val="0"/>
            <w:vAlign w:val="center"/>
          </w:tcPr>
          <w:p w14:paraId="17BFC0D8">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1 级</w:t>
            </w:r>
          </w:p>
        </w:tc>
        <w:tc>
          <w:tcPr>
            <w:tcW w:w="1549" w:type="pct"/>
            <w:noWrap w:val="0"/>
            <w:vAlign w:val="center"/>
          </w:tcPr>
          <w:p w14:paraId="19E8C331">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2 级</w:t>
            </w:r>
          </w:p>
        </w:tc>
      </w:tr>
      <w:tr w14:paraId="3F3EE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810" w:type="pct"/>
            <w:noWrap w:val="0"/>
            <w:vAlign w:val="center"/>
          </w:tcPr>
          <w:p w14:paraId="4A54E830">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1</w:t>
            </w:r>
          </w:p>
        </w:tc>
        <w:tc>
          <w:tcPr>
            <w:tcW w:w="1096" w:type="pct"/>
            <w:noWrap w:val="0"/>
            <w:vAlign w:val="center"/>
          </w:tcPr>
          <w:p w14:paraId="52EFB953">
            <w:pPr>
              <w:keepNext w:val="0"/>
              <w:keepLines w:val="0"/>
              <w:pageBreakBefore w:val="0"/>
              <w:widowControl/>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CO</w:t>
            </w:r>
          </w:p>
        </w:tc>
        <w:tc>
          <w:tcPr>
            <w:tcW w:w="1544" w:type="pct"/>
            <w:noWrap w:val="0"/>
            <w:vAlign w:val="center"/>
          </w:tcPr>
          <w:p w14:paraId="431A79A4">
            <w:pPr>
              <w:keepNext w:val="0"/>
              <w:keepLines w:val="0"/>
              <w:pageBreakBefore w:val="0"/>
              <w:widowControl/>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380</w:t>
            </w:r>
          </w:p>
        </w:tc>
        <w:tc>
          <w:tcPr>
            <w:tcW w:w="1549" w:type="pct"/>
            <w:noWrap w:val="0"/>
            <w:vAlign w:val="center"/>
          </w:tcPr>
          <w:p w14:paraId="63AEA603">
            <w:pPr>
              <w:keepNext w:val="0"/>
              <w:keepLines w:val="0"/>
              <w:pageBreakBefore w:val="0"/>
              <w:widowControl/>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95</w:t>
            </w:r>
          </w:p>
        </w:tc>
      </w:tr>
      <w:tr w14:paraId="74E18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810" w:type="pct"/>
            <w:noWrap w:val="0"/>
            <w:vAlign w:val="center"/>
          </w:tcPr>
          <w:p w14:paraId="0695DA7C">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2</w:t>
            </w:r>
          </w:p>
        </w:tc>
        <w:tc>
          <w:tcPr>
            <w:tcW w:w="1096" w:type="pct"/>
            <w:noWrap w:val="0"/>
            <w:vAlign w:val="center"/>
          </w:tcPr>
          <w:p w14:paraId="2D5CC4FF">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氟化氢</w:t>
            </w:r>
          </w:p>
        </w:tc>
        <w:tc>
          <w:tcPr>
            <w:tcW w:w="1544" w:type="pct"/>
            <w:noWrap w:val="0"/>
            <w:vAlign w:val="center"/>
          </w:tcPr>
          <w:p w14:paraId="73B661FA">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36</w:t>
            </w:r>
          </w:p>
        </w:tc>
        <w:tc>
          <w:tcPr>
            <w:tcW w:w="1549" w:type="pct"/>
            <w:noWrap w:val="0"/>
            <w:vAlign w:val="center"/>
          </w:tcPr>
          <w:p w14:paraId="1C41B8E1">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20</w:t>
            </w:r>
          </w:p>
        </w:tc>
      </w:tr>
      <w:tr w14:paraId="7EF7F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8" w:hRule="atLeast"/>
        </w:trPr>
        <w:tc>
          <w:tcPr>
            <w:tcW w:w="5000" w:type="pct"/>
            <w:gridSpan w:val="4"/>
            <w:noWrap w:val="0"/>
            <w:vAlign w:val="center"/>
          </w:tcPr>
          <w:p w14:paraId="3642BCF2">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备注：</w:t>
            </w:r>
            <w:r>
              <w:rPr>
                <w:rFonts w:hint="default" w:ascii="Times New Roman" w:hAnsi="Times New Roman" w:eastAsia="宋体" w:cs="Times New Roman"/>
                <w:color w:val="000000"/>
                <w:sz w:val="21"/>
                <w:szCs w:val="21"/>
                <w:u w:val="none" w:color="auto"/>
                <w:lang w:val="en-US" w:eastAsia="zh-CN"/>
              </w:rPr>
              <w:t>一般采用大气毒性终点浓度作为预测评价标准，导则附录H未规定NMP、电解液的大气毒性终点浓度值。本评价参照非甲烷总烃的毒性浓度，非甲烷总烃参考GBZ2-2002 中汽油标准值，半致死浓度LC</w:t>
            </w:r>
            <w:r>
              <w:rPr>
                <w:rFonts w:hint="default" w:ascii="Times New Roman" w:hAnsi="Times New Roman" w:eastAsia="宋体" w:cs="Times New Roman"/>
                <w:color w:val="000000"/>
                <w:sz w:val="21"/>
                <w:szCs w:val="21"/>
                <w:u w:val="none" w:color="auto"/>
                <w:vertAlign w:val="subscript"/>
                <w:lang w:val="en-US" w:eastAsia="zh-CN"/>
              </w:rPr>
              <w:t>50</w:t>
            </w:r>
            <w:r>
              <w:rPr>
                <w:rFonts w:hint="default" w:ascii="Times New Roman" w:hAnsi="Times New Roman" w:eastAsia="宋体" w:cs="Times New Roman"/>
                <w:color w:val="000000"/>
                <w:sz w:val="21"/>
                <w:szCs w:val="21"/>
                <w:u w:val="none" w:color="auto"/>
                <w:lang w:val="en-US" w:eastAsia="zh-CN"/>
              </w:rPr>
              <w:t>=103000mg/m</w:t>
            </w:r>
            <w:r>
              <w:rPr>
                <w:rFonts w:hint="default" w:ascii="Times New Roman" w:hAnsi="Times New Roman" w:eastAsia="宋体" w:cs="Times New Roman"/>
                <w:color w:val="000000"/>
                <w:sz w:val="21"/>
                <w:szCs w:val="21"/>
                <w:u w:val="none" w:color="auto"/>
                <w:vertAlign w:val="superscript"/>
                <w:lang w:val="en-US" w:eastAsia="zh-CN"/>
              </w:rPr>
              <w:t>3</w:t>
            </w:r>
            <w:r>
              <w:rPr>
                <w:rFonts w:hint="default" w:ascii="Times New Roman" w:hAnsi="Times New Roman" w:eastAsia="宋体" w:cs="Times New Roman"/>
                <w:color w:val="000000"/>
                <w:sz w:val="21"/>
                <w:szCs w:val="21"/>
                <w:u w:val="none" w:color="auto"/>
                <w:lang w:val="en-US" w:eastAsia="zh-CN"/>
              </w:rPr>
              <w:t>，短时间容许接触浓度为450mg/m</w:t>
            </w:r>
            <w:r>
              <w:rPr>
                <w:rFonts w:hint="default" w:ascii="Times New Roman" w:hAnsi="Times New Roman" w:eastAsia="宋体" w:cs="Times New Roman"/>
                <w:color w:val="000000"/>
                <w:sz w:val="21"/>
                <w:szCs w:val="21"/>
                <w:u w:val="none" w:color="auto"/>
                <w:vertAlign w:val="superscript"/>
                <w:lang w:val="en-US" w:eastAsia="zh-CN"/>
              </w:rPr>
              <w:t>3</w:t>
            </w:r>
            <w:r>
              <w:rPr>
                <w:rFonts w:hint="default" w:ascii="Times New Roman" w:hAnsi="Times New Roman" w:eastAsia="宋体" w:cs="Times New Roman"/>
                <w:color w:val="000000"/>
                <w:sz w:val="21"/>
                <w:szCs w:val="21"/>
                <w:u w:val="none" w:color="auto"/>
                <w:lang w:val="en-US" w:eastAsia="zh-CN"/>
              </w:rPr>
              <w:t>。</w:t>
            </w:r>
          </w:p>
        </w:tc>
      </w:tr>
    </w:tbl>
    <w:p w14:paraId="77121365">
      <w:pPr>
        <w:spacing w:line="520" w:lineRule="exact"/>
        <w:ind w:firstLine="482" w:firstLineChars="200"/>
        <w:rPr>
          <w:rFonts w:hint="default" w:ascii="Times New Roman" w:hAnsi="Times New Roman" w:eastAsia="宋体" w:cs="Times New Roman"/>
          <w:b/>
          <w:bCs/>
          <w:color w:val="000000"/>
          <w:sz w:val="24"/>
          <w:szCs w:val="24"/>
          <w:u w:val="none" w:color="auto"/>
          <w:lang w:val="en-US" w:eastAsia="zh-CN"/>
        </w:rPr>
      </w:pPr>
      <w:r>
        <w:rPr>
          <w:rFonts w:hint="eastAsia" w:ascii="Times New Roman" w:hAnsi="Times New Roman" w:cs="Times New Roman"/>
          <w:b/>
          <w:bCs/>
          <w:sz w:val="24"/>
          <w:szCs w:val="24"/>
          <w:u w:val="none" w:color="auto"/>
          <w:lang w:val="en-US" w:eastAsia="zh-CN"/>
        </w:rPr>
        <w:t>8.1.5</w:t>
      </w:r>
      <w:r>
        <w:rPr>
          <w:rFonts w:hint="eastAsia" w:ascii="Times New Roman" w:hAnsi="Times New Roman" w:eastAsia="宋体" w:cs="Times New Roman"/>
          <w:b/>
          <w:bCs/>
          <w:color w:val="000000"/>
          <w:sz w:val="24"/>
          <w:szCs w:val="24"/>
          <w:u w:val="none" w:color="auto"/>
          <w:lang w:val="en-US" w:eastAsia="zh-CN"/>
        </w:rPr>
        <w:t>预测结果</w:t>
      </w:r>
    </w:p>
    <w:p w14:paraId="12D8FDA2">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eastAsia" w:ascii="Times New Roman" w:hAnsi="Times New Roman" w:cs="Times New Roman"/>
          <w:color w:val="000000"/>
          <w:sz w:val="24"/>
          <w:szCs w:val="24"/>
          <w:u w:val="none" w:color="auto"/>
          <w:lang w:val="en-US" w:eastAsia="zh-CN"/>
        </w:rPr>
        <w:t>（1）风险物质泄漏事故影响</w:t>
      </w:r>
    </w:p>
    <w:p w14:paraId="7CB3D182">
      <w:pPr>
        <w:spacing w:line="520" w:lineRule="exact"/>
        <w:ind w:firstLine="480" w:firstLineChars="200"/>
        <w:rPr>
          <w:rFonts w:hint="eastAsia"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采用AFTOX模型预测NMP、电解液泄漏后下风向NMP、电解液最大浓度及短 时间容许接触浓度下风向最远影响距离预测结果</w:t>
      </w:r>
      <w:r>
        <w:rPr>
          <w:rFonts w:hint="eastAsia" w:ascii="Times New Roman" w:hAnsi="Times New Roman" w:eastAsia="宋体" w:cs="Times New Roman"/>
          <w:color w:val="000000"/>
          <w:sz w:val="24"/>
          <w:szCs w:val="24"/>
          <w:u w:val="none" w:color="auto"/>
          <w:lang w:val="en-US" w:eastAsia="zh-CN"/>
        </w:rPr>
        <w:t>见下表。</w:t>
      </w:r>
    </w:p>
    <w:p w14:paraId="63D32B05">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default"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风险物质泄漏预测结果一览表</w:t>
      </w:r>
    </w:p>
    <w:tbl>
      <w:tblPr>
        <w:tblStyle w:val="3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12"/>
        <w:gridCol w:w="1454"/>
        <w:gridCol w:w="2654"/>
        <w:gridCol w:w="1173"/>
        <w:gridCol w:w="1401"/>
        <w:gridCol w:w="2048"/>
      </w:tblGrid>
      <w:tr w14:paraId="62540F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12" w:type="dxa"/>
            <w:tcBorders>
              <w:tl2br w:val="nil"/>
              <w:tr2bl w:val="nil"/>
            </w:tcBorders>
          </w:tcPr>
          <w:p w14:paraId="67B27DC3">
            <w:pPr>
              <w:bidi w:val="0"/>
              <w:rPr>
                <w:rFonts w:hint="default"/>
                <w:u w:val="none" w:color="auto"/>
                <w:vertAlign w:val="baseline"/>
                <w:lang w:val="en-US" w:eastAsia="zh-CN"/>
              </w:rPr>
            </w:pPr>
            <w:r>
              <w:rPr>
                <w:rFonts w:hint="eastAsia"/>
                <w:u w:val="none" w:color="auto"/>
                <w:vertAlign w:val="baseline"/>
                <w:lang w:val="en-US" w:eastAsia="zh-CN"/>
              </w:rPr>
              <w:t>序号</w:t>
            </w:r>
          </w:p>
        </w:tc>
        <w:tc>
          <w:tcPr>
            <w:tcW w:w="1454" w:type="dxa"/>
            <w:tcBorders>
              <w:tl2br w:val="nil"/>
              <w:tr2bl w:val="nil"/>
            </w:tcBorders>
          </w:tcPr>
          <w:p w14:paraId="45E0DFA9">
            <w:pPr>
              <w:bidi w:val="0"/>
              <w:rPr>
                <w:rFonts w:hint="default"/>
                <w:u w:val="none" w:color="auto"/>
                <w:vertAlign w:val="baseline"/>
                <w:lang w:val="en-US" w:eastAsia="zh-CN"/>
              </w:rPr>
            </w:pPr>
            <w:r>
              <w:rPr>
                <w:rFonts w:hint="eastAsia"/>
                <w:u w:val="none" w:color="auto"/>
                <w:vertAlign w:val="baseline"/>
                <w:lang w:val="en-US" w:eastAsia="zh-CN"/>
              </w:rPr>
              <w:t>风险物质</w:t>
            </w:r>
          </w:p>
        </w:tc>
        <w:tc>
          <w:tcPr>
            <w:tcW w:w="2654" w:type="dxa"/>
            <w:tcBorders>
              <w:tl2br w:val="nil"/>
              <w:tr2bl w:val="nil"/>
            </w:tcBorders>
          </w:tcPr>
          <w:p w14:paraId="7C5A3534">
            <w:pPr>
              <w:bidi w:val="0"/>
              <w:rPr>
                <w:rFonts w:hint="default"/>
                <w:u w:val="none" w:color="auto"/>
                <w:vertAlign w:val="baseline"/>
                <w:lang w:val="en-US" w:eastAsia="zh-CN"/>
              </w:rPr>
            </w:pPr>
            <w:r>
              <w:rPr>
                <w:rFonts w:hint="default"/>
                <w:u w:val="none" w:color="auto"/>
                <w:vertAlign w:val="baseline"/>
                <w:lang w:val="en-US" w:eastAsia="zh-CN"/>
              </w:rPr>
              <w:t>评价标准mg/m</w:t>
            </w:r>
            <w:r>
              <w:rPr>
                <w:rFonts w:hint="default"/>
                <w:u w:val="none" w:color="auto"/>
                <w:vertAlign w:val="superscript"/>
                <w:lang w:val="en-US" w:eastAsia="zh-CN"/>
              </w:rPr>
              <w:t>3</w:t>
            </w:r>
          </w:p>
        </w:tc>
        <w:tc>
          <w:tcPr>
            <w:tcW w:w="1173" w:type="dxa"/>
            <w:tcBorders>
              <w:tl2br w:val="nil"/>
              <w:tr2bl w:val="nil"/>
            </w:tcBorders>
          </w:tcPr>
          <w:p w14:paraId="336358CE">
            <w:pPr>
              <w:bidi w:val="0"/>
              <w:rPr>
                <w:rFonts w:hint="default"/>
                <w:u w:val="none" w:color="auto"/>
                <w:vertAlign w:val="baseline"/>
                <w:lang w:val="en-US" w:eastAsia="zh-CN"/>
              </w:rPr>
            </w:pPr>
            <w:r>
              <w:rPr>
                <w:rFonts w:hint="default"/>
                <w:u w:val="none" w:color="auto"/>
                <w:vertAlign w:val="baseline"/>
                <w:lang w:val="en-US" w:eastAsia="zh-CN"/>
              </w:rPr>
              <w:t>最大浓度mg/m</w:t>
            </w:r>
            <w:r>
              <w:rPr>
                <w:rFonts w:hint="default"/>
                <w:u w:val="none" w:color="auto"/>
                <w:vertAlign w:val="superscript"/>
                <w:lang w:val="en-US" w:eastAsia="zh-CN"/>
              </w:rPr>
              <w:t>3</w:t>
            </w:r>
          </w:p>
        </w:tc>
        <w:tc>
          <w:tcPr>
            <w:tcW w:w="1401" w:type="dxa"/>
            <w:tcBorders>
              <w:tl2br w:val="nil"/>
              <w:tr2bl w:val="nil"/>
            </w:tcBorders>
          </w:tcPr>
          <w:p w14:paraId="3EABFC00">
            <w:pPr>
              <w:bidi w:val="0"/>
              <w:rPr>
                <w:rFonts w:hint="default"/>
                <w:u w:val="none" w:color="auto"/>
                <w:vertAlign w:val="baseline"/>
                <w:lang w:val="en-US" w:eastAsia="zh-CN"/>
              </w:rPr>
            </w:pPr>
            <w:r>
              <w:rPr>
                <w:rFonts w:hint="default"/>
                <w:u w:val="none" w:color="auto"/>
                <w:vertAlign w:val="baseline"/>
                <w:lang w:val="en-US" w:eastAsia="zh-CN"/>
              </w:rPr>
              <w:t>出现距离</w:t>
            </w:r>
            <w:r>
              <w:rPr>
                <w:rFonts w:hint="eastAsia"/>
                <w:u w:val="none" w:color="auto"/>
                <w:vertAlign w:val="baseline"/>
                <w:lang w:val="en-US" w:eastAsia="zh-CN"/>
              </w:rPr>
              <w:t>m</w:t>
            </w:r>
          </w:p>
        </w:tc>
        <w:tc>
          <w:tcPr>
            <w:tcW w:w="2048" w:type="dxa"/>
            <w:tcBorders>
              <w:tl2br w:val="nil"/>
              <w:tr2bl w:val="nil"/>
            </w:tcBorders>
          </w:tcPr>
          <w:p w14:paraId="51DB03FA">
            <w:pPr>
              <w:bidi w:val="0"/>
              <w:rPr>
                <w:rFonts w:hint="default"/>
                <w:u w:val="none" w:color="auto"/>
                <w:vertAlign w:val="baseline"/>
                <w:lang w:val="en-US" w:eastAsia="zh-CN"/>
              </w:rPr>
            </w:pPr>
            <w:r>
              <w:rPr>
                <w:rFonts w:hint="default"/>
                <w:u w:val="none" w:color="auto"/>
                <w:vertAlign w:val="baseline"/>
                <w:lang w:val="en-US" w:eastAsia="zh-CN"/>
              </w:rPr>
              <w:t>最远影响距离m</w:t>
            </w:r>
          </w:p>
        </w:tc>
      </w:tr>
      <w:tr w14:paraId="1E2DC0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512" w:type="dxa"/>
            <w:tcBorders>
              <w:tl2br w:val="nil"/>
              <w:tr2bl w:val="nil"/>
            </w:tcBorders>
          </w:tcPr>
          <w:p w14:paraId="6809BED7">
            <w:pPr>
              <w:bidi w:val="0"/>
              <w:rPr>
                <w:rFonts w:hint="default"/>
                <w:u w:val="none" w:color="auto"/>
                <w:vertAlign w:val="baseline"/>
                <w:lang w:val="en-US" w:eastAsia="zh-CN"/>
              </w:rPr>
            </w:pPr>
            <w:r>
              <w:rPr>
                <w:rFonts w:hint="eastAsia"/>
                <w:u w:val="none" w:color="auto"/>
                <w:vertAlign w:val="baseline"/>
                <w:lang w:val="en-US" w:eastAsia="zh-CN"/>
              </w:rPr>
              <w:t>1</w:t>
            </w:r>
          </w:p>
        </w:tc>
        <w:tc>
          <w:tcPr>
            <w:tcW w:w="1454" w:type="dxa"/>
            <w:tcBorders>
              <w:tl2br w:val="nil"/>
              <w:tr2bl w:val="nil"/>
            </w:tcBorders>
            <w:vAlign w:val="center"/>
          </w:tcPr>
          <w:p w14:paraId="1F6B99E9">
            <w:pPr>
              <w:bidi w:val="0"/>
              <w:spacing w:line="240" w:lineRule="auto"/>
              <w:jc w:val="center"/>
              <w:rPr>
                <w:rFonts w:hint="default"/>
                <w:u w:val="none" w:color="auto"/>
                <w:vertAlign w:val="baseline"/>
                <w:lang w:val="en-US" w:eastAsia="zh-CN"/>
              </w:rPr>
            </w:pPr>
            <w:r>
              <w:rPr>
                <w:rFonts w:hint="default" w:ascii="Times New Roman" w:hAnsi="Times New Roman" w:eastAsia="宋体" w:cs="Times New Roman"/>
                <w:sz w:val="21"/>
                <w:szCs w:val="21"/>
                <w:u w:val="none" w:color="auto"/>
                <w:vertAlign w:val="baseline"/>
                <w:lang w:val="en-US" w:eastAsia="zh-CN"/>
              </w:rPr>
              <w:t>NMP</w:t>
            </w:r>
          </w:p>
        </w:tc>
        <w:tc>
          <w:tcPr>
            <w:tcW w:w="2654" w:type="dxa"/>
            <w:tcBorders>
              <w:tl2br w:val="nil"/>
              <w:tr2bl w:val="nil"/>
            </w:tcBorders>
          </w:tcPr>
          <w:p w14:paraId="54567CEA">
            <w:pPr>
              <w:bidi w:val="0"/>
              <w:jc w:val="center"/>
              <w:rPr>
                <w:rFonts w:hint="default" w:ascii="Times New Roman" w:hAnsi="Times New Roman" w:cs="Times New Roman"/>
                <w:u w:val="none" w:color="auto"/>
                <w:vertAlign w:val="baseline"/>
                <w:lang w:val="en-US" w:eastAsia="zh-CN"/>
              </w:rPr>
            </w:pPr>
            <w:r>
              <w:rPr>
                <w:rFonts w:hint="eastAsia" w:ascii="Times New Roman" w:hAnsi="Times New Roman" w:cs="Times New Roman"/>
                <w:u w:val="none" w:color="auto"/>
                <w:vertAlign w:val="baseline"/>
                <w:lang w:val="en-US" w:eastAsia="zh-CN"/>
              </w:rPr>
              <w:t>短时间容许接触浓度(450)</w:t>
            </w:r>
          </w:p>
        </w:tc>
        <w:tc>
          <w:tcPr>
            <w:tcW w:w="1173" w:type="dxa"/>
            <w:tcBorders>
              <w:tl2br w:val="nil"/>
              <w:tr2bl w:val="nil"/>
            </w:tcBorders>
          </w:tcPr>
          <w:p w14:paraId="54C11C14">
            <w:pPr>
              <w:bidi w:val="0"/>
              <w:jc w:val="center"/>
              <w:rPr>
                <w:rFonts w:hint="default"/>
                <w:u w:val="none" w:color="auto"/>
                <w:vertAlign w:val="baseline"/>
                <w:lang w:val="en-US" w:eastAsia="zh-CN"/>
              </w:rPr>
            </w:pPr>
            <w:r>
              <w:rPr>
                <w:rFonts w:hint="default"/>
                <w:u w:val="none" w:color="auto"/>
                <w:vertAlign w:val="baseline"/>
                <w:lang w:val="en-US" w:eastAsia="zh-CN"/>
              </w:rPr>
              <w:t>126.8</w:t>
            </w:r>
          </w:p>
        </w:tc>
        <w:tc>
          <w:tcPr>
            <w:tcW w:w="1401" w:type="dxa"/>
            <w:tcBorders>
              <w:tl2br w:val="nil"/>
              <w:tr2bl w:val="nil"/>
            </w:tcBorders>
          </w:tcPr>
          <w:p w14:paraId="2F76548B">
            <w:pPr>
              <w:bidi w:val="0"/>
              <w:spacing w:line="240" w:lineRule="auto"/>
              <w:jc w:val="center"/>
              <w:rPr>
                <w:rFonts w:hint="default" w:ascii="Times New Roman" w:hAnsi="Times New Roman" w:eastAsia="宋体" w:cs="Times New Roman"/>
                <w:sz w:val="21"/>
                <w:szCs w:val="21"/>
                <w:u w:val="none" w:color="auto"/>
                <w:vertAlign w:val="baseline"/>
                <w:lang w:val="en-US" w:eastAsia="zh-CN"/>
              </w:rPr>
            </w:pPr>
            <w:r>
              <w:rPr>
                <w:rFonts w:hint="eastAsia" w:ascii="Times New Roman" w:hAnsi="Times New Roman" w:eastAsia="宋体" w:cs="Times New Roman"/>
                <w:sz w:val="21"/>
                <w:szCs w:val="21"/>
                <w:u w:val="none" w:color="auto"/>
                <w:vertAlign w:val="baseline"/>
                <w:lang w:val="en-US" w:eastAsia="zh-CN"/>
              </w:rPr>
              <w:t>32</w:t>
            </w:r>
          </w:p>
        </w:tc>
        <w:tc>
          <w:tcPr>
            <w:tcW w:w="2048" w:type="dxa"/>
            <w:tcBorders>
              <w:tl2br w:val="nil"/>
              <w:tr2bl w:val="nil"/>
            </w:tcBorders>
          </w:tcPr>
          <w:p w14:paraId="4C32B2EB">
            <w:pPr>
              <w:bidi w:val="0"/>
              <w:jc w:val="center"/>
              <w:rPr>
                <w:rFonts w:hint="default"/>
                <w:u w:val="none" w:color="auto"/>
                <w:vertAlign w:val="baseline"/>
                <w:lang w:val="en-US" w:eastAsia="zh-CN"/>
              </w:rPr>
            </w:pPr>
            <w:r>
              <w:rPr>
                <w:rFonts w:hint="default"/>
                <w:u w:val="none" w:color="auto"/>
                <w:vertAlign w:val="baseline"/>
                <w:lang w:val="en-US" w:eastAsia="zh-CN"/>
              </w:rPr>
              <w:t>未达到</w:t>
            </w:r>
          </w:p>
        </w:tc>
      </w:tr>
      <w:tr w14:paraId="4400F2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12" w:type="dxa"/>
            <w:tcBorders>
              <w:tl2br w:val="nil"/>
              <w:tr2bl w:val="nil"/>
            </w:tcBorders>
          </w:tcPr>
          <w:p w14:paraId="3872AAD0">
            <w:pPr>
              <w:bidi w:val="0"/>
              <w:rPr>
                <w:rFonts w:hint="default"/>
                <w:u w:val="none" w:color="auto"/>
                <w:vertAlign w:val="baseline"/>
                <w:lang w:val="en-US" w:eastAsia="zh-CN"/>
              </w:rPr>
            </w:pPr>
            <w:r>
              <w:rPr>
                <w:rFonts w:hint="eastAsia"/>
                <w:u w:val="none" w:color="auto"/>
                <w:vertAlign w:val="baseline"/>
                <w:lang w:val="en-US" w:eastAsia="zh-CN"/>
              </w:rPr>
              <w:t>2</w:t>
            </w:r>
          </w:p>
        </w:tc>
        <w:tc>
          <w:tcPr>
            <w:tcW w:w="1454" w:type="dxa"/>
            <w:tcBorders>
              <w:tl2br w:val="nil"/>
              <w:tr2bl w:val="nil"/>
            </w:tcBorders>
            <w:vAlign w:val="center"/>
          </w:tcPr>
          <w:p w14:paraId="6C1FE8E3">
            <w:pPr>
              <w:bidi w:val="0"/>
              <w:spacing w:line="240" w:lineRule="auto"/>
              <w:jc w:val="center"/>
              <w:rPr>
                <w:rFonts w:hint="default"/>
                <w:u w:val="none" w:color="auto"/>
                <w:vertAlign w:val="baseline"/>
                <w:lang w:val="en-US" w:eastAsia="zh-CN"/>
              </w:rPr>
            </w:pPr>
            <w:r>
              <w:rPr>
                <w:rFonts w:hint="default"/>
                <w:sz w:val="21"/>
                <w:szCs w:val="21"/>
                <w:u w:val="none" w:color="auto"/>
                <w:vertAlign w:val="baseline"/>
                <w:lang w:val="en-US" w:eastAsia="zh-CN"/>
              </w:rPr>
              <w:t>NMP</w:t>
            </w:r>
            <w:r>
              <w:rPr>
                <w:rFonts w:hint="eastAsia"/>
                <w:sz w:val="21"/>
                <w:szCs w:val="21"/>
                <w:u w:val="none" w:color="auto"/>
                <w:vertAlign w:val="baseline"/>
                <w:lang w:val="en-US" w:eastAsia="zh-CN"/>
              </w:rPr>
              <w:t>回收液</w:t>
            </w:r>
          </w:p>
        </w:tc>
        <w:tc>
          <w:tcPr>
            <w:tcW w:w="2654" w:type="dxa"/>
            <w:tcBorders>
              <w:tl2br w:val="nil"/>
              <w:tr2bl w:val="nil"/>
            </w:tcBorders>
          </w:tcPr>
          <w:p w14:paraId="0BDBC7D5">
            <w:pPr>
              <w:bidi w:val="0"/>
              <w:jc w:val="center"/>
              <w:rPr>
                <w:rFonts w:hint="default" w:ascii="Times New Roman" w:hAnsi="Times New Roman" w:cs="Times New Roman"/>
                <w:u w:val="none" w:color="auto"/>
                <w:vertAlign w:val="baseline"/>
                <w:lang w:val="en-US" w:eastAsia="zh-CN"/>
              </w:rPr>
            </w:pPr>
            <w:r>
              <w:rPr>
                <w:rFonts w:hint="eastAsia" w:ascii="Times New Roman" w:hAnsi="Times New Roman" w:cs="Times New Roman"/>
                <w:u w:val="none" w:color="auto"/>
                <w:vertAlign w:val="baseline"/>
                <w:lang w:val="en-US" w:eastAsia="zh-CN"/>
              </w:rPr>
              <w:t>短时间容许接触浓度(450)</w:t>
            </w:r>
          </w:p>
        </w:tc>
        <w:tc>
          <w:tcPr>
            <w:tcW w:w="1173" w:type="dxa"/>
            <w:tcBorders>
              <w:tl2br w:val="nil"/>
              <w:tr2bl w:val="nil"/>
            </w:tcBorders>
          </w:tcPr>
          <w:p w14:paraId="3706C265">
            <w:pPr>
              <w:bidi w:val="0"/>
              <w:jc w:val="center"/>
              <w:rPr>
                <w:rFonts w:hint="default"/>
                <w:u w:val="none" w:color="auto"/>
                <w:vertAlign w:val="baseline"/>
                <w:lang w:val="en-US" w:eastAsia="zh-CN"/>
              </w:rPr>
            </w:pPr>
            <w:r>
              <w:rPr>
                <w:rFonts w:hint="default"/>
                <w:u w:val="none" w:color="auto"/>
                <w:vertAlign w:val="baseline"/>
                <w:lang w:val="en-US" w:eastAsia="zh-CN"/>
              </w:rPr>
              <w:t>63.5</w:t>
            </w:r>
          </w:p>
        </w:tc>
        <w:tc>
          <w:tcPr>
            <w:tcW w:w="1401" w:type="dxa"/>
            <w:tcBorders>
              <w:tl2br w:val="nil"/>
              <w:tr2bl w:val="nil"/>
            </w:tcBorders>
          </w:tcPr>
          <w:p w14:paraId="15A1FAC1">
            <w:pPr>
              <w:bidi w:val="0"/>
              <w:spacing w:line="240" w:lineRule="auto"/>
              <w:jc w:val="center"/>
              <w:rPr>
                <w:rFonts w:hint="default" w:ascii="Times New Roman" w:hAnsi="Times New Roman" w:eastAsia="宋体" w:cs="Times New Roman"/>
                <w:sz w:val="21"/>
                <w:szCs w:val="21"/>
                <w:u w:val="none" w:color="auto"/>
                <w:vertAlign w:val="baseline"/>
                <w:lang w:val="en-US" w:eastAsia="zh-CN"/>
              </w:rPr>
            </w:pPr>
            <w:r>
              <w:rPr>
                <w:rFonts w:hint="default" w:ascii="Times New Roman" w:hAnsi="Times New Roman" w:eastAsia="宋体" w:cs="Times New Roman"/>
                <w:sz w:val="21"/>
                <w:szCs w:val="21"/>
                <w:u w:val="none" w:color="auto"/>
                <w:vertAlign w:val="baseline"/>
                <w:lang w:val="en-US" w:eastAsia="zh-CN"/>
              </w:rPr>
              <w:t>30</w:t>
            </w:r>
          </w:p>
        </w:tc>
        <w:tc>
          <w:tcPr>
            <w:tcW w:w="2048" w:type="dxa"/>
            <w:tcBorders>
              <w:tl2br w:val="nil"/>
              <w:tr2bl w:val="nil"/>
            </w:tcBorders>
          </w:tcPr>
          <w:p w14:paraId="228A87C2">
            <w:pPr>
              <w:bidi w:val="0"/>
              <w:jc w:val="center"/>
              <w:rPr>
                <w:rFonts w:hint="default"/>
                <w:u w:val="none" w:color="auto"/>
                <w:vertAlign w:val="baseline"/>
                <w:lang w:val="en-US" w:eastAsia="zh-CN"/>
              </w:rPr>
            </w:pPr>
            <w:r>
              <w:rPr>
                <w:rFonts w:hint="default"/>
                <w:u w:val="none" w:color="auto"/>
                <w:vertAlign w:val="baseline"/>
                <w:lang w:val="en-US" w:eastAsia="zh-CN"/>
              </w:rPr>
              <w:t>未达到</w:t>
            </w:r>
          </w:p>
        </w:tc>
      </w:tr>
      <w:tr w14:paraId="1C5ABF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12" w:type="dxa"/>
            <w:tcBorders>
              <w:tl2br w:val="nil"/>
              <w:tr2bl w:val="nil"/>
            </w:tcBorders>
          </w:tcPr>
          <w:p w14:paraId="78D1142C">
            <w:pPr>
              <w:bidi w:val="0"/>
              <w:rPr>
                <w:rFonts w:hint="default"/>
                <w:u w:val="none" w:color="auto"/>
                <w:vertAlign w:val="baseline"/>
                <w:lang w:val="en-US" w:eastAsia="zh-CN"/>
              </w:rPr>
            </w:pPr>
            <w:r>
              <w:rPr>
                <w:rFonts w:hint="eastAsia"/>
                <w:u w:val="none" w:color="auto"/>
                <w:vertAlign w:val="baseline"/>
                <w:lang w:val="en-US" w:eastAsia="zh-CN"/>
              </w:rPr>
              <w:t>3</w:t>
            </w:r>
          </w:p>
        </w:tc>
        <w:tc>
          <w:tcPr>
            <w:tcW w:w="1454" w:type="dxa"/>
            <w:tcBorders>
              <w:tl2br w:val="nil"/>
              <w:tr2bl w:val="nil"/>
            </w:tcBorders>
            <w:vAlign w:val="center"/>
          </w:tcPr>
          <w:p w14:paraId="32FD720E">
            <w:pPr>
              <w:bidi w:val="0"/>
              <w:spacing w:line="240" w:lineRule="auto"/>
              <w:jc w:val="center"/>
              <w:rPr>
                <w:rFonts w:hint="default"/>
                <w:u w:val="none" w:color="auto"/>
                <w:vertAlign w:val="baseline"/>
                <w:lang w:val="en-US" w:eastAsia="zh-CN"/>
              </w:rPr>
            </w:pPr>
            <w:r>
              <w:rPr>
                <w:rFonts w:hint="eastAsia"/>
                <w:sz w:val="21"/>
                <w:szCs w:val="21"/>
                <w:u w:val="none" w:color="auto"/>
                <w:vertAlign w:val="baseline"/>
                <w:lang w:val="en-US" w:eastAsia="zh-CN"/>
              </w:rPr>
              <w:t>电解液</w:t>
            </w:r>
          </w:p>
        </w:tc>
        <w:tc>
          <w:tcPr>
            <w:tcW w:w="2654" w:type="dxa"/>
            <w:tcBorders>
              <w:tl2br w:val="nil"/>
              <w:tr2bl w:val="nil"/>
            </w:tcBorders>
          </w:tcPr>
          <w:p w14:paraId="017A979B">
            <w:pPr>
              <w:bidi w:val="0"/>
              <w:jc w:val="center"/>
              <w:rPr>
                <w:rFonts w:hint="default" w:ascii="Times New Roman" w:hAnsi="Times New Roman" w:cs="Times New Roman"/>
                <w:u w:val="none" w:color="auto"/>
                <w:vertAlign w:val="baseline"/>
                <w:lang w:val="en-US" w:eastAsia="zh-CN"/>
              </w:rPr>
            </w:pPr>
            <w:r>
              <w:rPr>
                <w:rFonts w:hint="eastAsia" w:ascii="Times New Roman" w:hAnsi="Times New Roman" w:cs="Times New Roman"/>
                <w:u w:val="none" w:color="auto"/>
                <w:vertAlign w:val="baseline"/>
                <w:lang w:val="en-US" w:eastAsia="zh-CN"/>
              </w:rPr>
              <w:t>短时间容许接触浓度(450)</w:t>
            </w:r>
          </w:p>
        </w:tc>
        <w:tc>
          <w:tcPr>
            <w:tcW w:w="1173" w:type="dxa"/>
            <w:tcBorders>
              <w:tl2br w:val="nil"/>
              <w:tr2bl w:val="nil"/>
            </w:tcBorders>
          </w:tcPr>
          <w:p w14:paraId="7E4FC35A">
            <w:pPr>
              <w:bidi w:val="0"/>
              <w:jc w:val="center"/>
              <w:rPr>
                <w:rFonts w:hint="default"/>
                <w:u w:val="none" w:color="auto"/>
                <w:vertAlign w:val="baseline"/>
                <w:lang w:val="en-US" w:eastAsia="zh-CN"/>
              </w:rPr>
            </w:pPr>
            <w:r>
              <w:rPr>
                <w:rFonts w:hint="default"/>
                <w:u w:val="none" w:color="auto"/>
                <w:vertAlign w:val="baseline"/>
                <w:lang w:val="en-US" w:eastAsia="zh-CN"/>
              </w:rPr>
              <w:t>2164.3</w:t>
            </w:r>
          </w:p>
        </w:tc>
        <w:tc>
          <w:tcPr>
            <w:tcW w:w="1401" w:type="dxa"/>
            <w:tcBorders>
              <w:tl2br w:val="nil"/>
              <w:tr2bl w:val="nil"/>
            </w:tcBorders>
          </w:tcPr>
          <w:p w14:paraId="7586F932">
            <w:pPr>
              <w:bidi w:val="0"/>
              <w:spacing w:line="240" w:lineRule="auto"/>
              <w:jc w:val="center"/>
              <w:rPr>
                <w:rFonts w:hint="default" w:ascii="Times New Roman" w:hAnsi="Times New Roman" w:eastAsia="宋体" w:cs="Times New Roman"/>
                <w:sz w:val="21"/>
                <w:szCs w:val="21"/>
                <w:u w:val="none" w:color="auto"/>
                <w:vertAlign w:val="baseline"/>
                <w:lang w:val="en-US" w:eastAsia="zh-CN"/>
              </w:rPr>
            </w:pPr>
            <w:r>
              <w:rPr>
                <w:rFonts w:hint="default" w:ascii="Times New Roman" w:hAnsi="Times New Roman" w:eastAsia="宋体" w:cs="Times New Roman"/>
                <w:sz w:val="21"/>
                <w:szCs w:val="21"/>
                <w:u w:val="none" w:color="auto"/>
                <w:vertAlign w:val="baseline"/>
                <w:lang w:val="en-US" w:eastAsia="zh-CN"/>
              </w:rPr>
              <w:t>16</w:t>
            </w:r>
          </w:p>
        </w:tc>
        <w:tc>
          <w:tcPr>
            <w:tcW w:w="2048" w:type="dxa"/>
            <w:tcBorders>
              <w:tl2br w:val="nil"/>
              <w:tr2bl w:val="nil"/>
            </w:tcBorders>
          </w:tcPr>
          <w:p w14:paraId="16EB685E">
            <w:pPr>
              <w:bidi w:val="0"/>
              <w:jc w:val="center"/>
              <w:rPr>
                <w:rFonts w:hint="default"/>
                <w:u w:val="none" w:color="auto"/>
                <w:vertAlign w:val="baseline"/>
                <w:lang w:val="en-US" w:eastAsia="zh-CN"/>
              </w:rPr>
            </w:pPr>
            <w:r>
              <w:rPr>
                <w:rFonts w:hint="eastAsia"/>
                <w:u w:val="none" w:color="auto"/>
                <w:vertAlign w:val="baseline"/>
                <w:lang w:val="en-US" w:eastAsia="zh-CN"/>
              </w:rPr>
              <w:t>112</w:t>
            </w:r>
          </w:p>
        </w:tc>
      </w:tr>
    </w:tbl>
    <w:p w14:paraId="0EAA68F1">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eastAsia" w:ascii="Times New Roman" w:hAnsi="Times New Roman" w:eastAsia="宋体" w:cs="Times New Roman"/>
          <w:color w:val="000000"/>
          <w:sz w:val="24"/>
          <w:szCs w:val="24"/>
          <w:u w:val="none" w:color="auto"/>
          <w:lang w:val="en-US" w:eastAsia="zh-CN"/>
        </w:rPr>
        <w:t>预测结果，距离本项目最近的村庄为项目厂界</w:t>
      </w:r>
      <w:r>
        <w:rPr>
          <w:rFonts w:hint="eastAsia" w:cs="Times New Roman"/>
          <w:color w:val="000000"/>
          <w:sz w:val="24"/>
          <w:szCs w:val="24"/>
          <w:u w:val="none" w:color="auto"/>
          <w:lang w:val="en-US" w:eastAsia="zh-CN"/>
        </w:rPr>
        <w:t>东</w:t>
      </w:r>
      <w:r>
        <w:rPr>
          <w:rFonts w:hint="eastAsia" w:ascii="Times New Roman" w:hAnsi="Times New Roman" w:eastAsia="宋体" w:cs="Times New Roman"/>
          <w:color w:val="000000"/>
          <w:sz w:val="24"/>
          <w:szCs w:val="24"/>
          <w:u w:val="none" w:color="auto"/>
          <w:lang w:val="en-US" w:eastAsia="zh-CN"/>
        </w:rPr>
        <w:t>南侧280m处的刘堤村，不在影响范围内。</w:t>
      </w:r>
    </w:p>
    <w:p w14:paraId="004B0BB5">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eastAsia" w:ascii="Times New Roman" w:hAnsi="Times New Roman" w:eastAsia="宋体" w:cs="Times New Roman"/>
          <w:color w:val="000000"/>
          <w:sz w:val="24"/>
          <w:szCs w:val="24"/>
          <w:u w:val="none" w:color="auto"/>
          <w:lang w:val="en-US" w:eastAsia="zh-CN"/>
        </w:rPr>
        <w:t>（2）电解液不完全燃烧伴生</w:t>
      </w:r>
      <w:r>
        <w:rPr>
          <w:rFonts w:hint="default" w:ascii="Times New Roman" w:hAnsi="Times New Roman" w:eastAsia="宋体" w:cs="Times New Roman"/>
          <w:color w:val="000000"/>
          <w:sz w:val="24"/>
          <w:szCs w:val="24"/>
          <w:u w:val="none" w:color="auto"/>
          <w:lang w:val="en-US" w:eastAsia="zh-CN"/>
        </w:rPr>
        <w:t>CO</w:t>
      </w:r>
    </w:p>
    <w:p w14:paraId="43589F82">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default" w:ascii="Times New Roman" w:hAnsi="Times New Roman" w:eastAsia="宋体" w:cs="Times New Roman"/>
          <w:color w:val="000000"/>
          <w:sz w:val="24"/>
          <w:szCs w:val="24"/>
          <w:u w:val="none" w:color="auto"/>
          <w:lang w:val="en-US" w:eastAsia="zh-CN"/>
        </w:rPr>
        <w:t>根据上述预测模式以及事故源强，在最不利气象条件下，</w:t>
      </w:r>
      <w:r>
        <w:rPr>
          <w:rFonts w:hint="eastAsia" w:ascii="Times New Roman" w:hAnsi="Times New Roman" w:eastAsia="宋体" w:cs="Times New Roman"/>
          <w:color w:val="000000"/>
          <w:sz w:val="24"/>
          <w:szCs w:val="24"/>
          <w:u w:val="none" w:color="auto"/>
          <w:lang w:val="en-US" w:eastAsia="zh-CN"/>
        </w:rPr>
        <w:t>电解液泄露</w:t>
      </w:r>
      <w:r>
        <w:rPr>
          <w:rFonts w:hint="default" w:ascii="Times New Roman" w:hAnsi="Times New Roman" w:eastAsia="宋体" w:cs="Times New Roman"/>
          <w:color w:val="000000"/>
          <w:sz w:val="24"/>
          <w:szCs w:val="24"/>
          <w:u w:val="none" w:color="auto"/>
          <w:lang w:val="en-US" w:eastAsia="zh-CN"/>
        </w:rPr>
        <w:t>不完全燃烧伴生CO时下风向不同距离最大浓度</w:t>
      </w:r>
      <w:r>
        <w:rPr>
          <w:rFonts w:hint="eastAsia" w:ascii="Times New Roman" w:hAnsi="Times New Roman" w:eastAsia="宋体" w:cs="Times New Roman"/>
          <w:color w:val="000000"/>
          <w:sz w:val="24"/>
          <w:szCs w:val="24"/>
          <w:u w:val="none" w:color="auto"/>
          <w:lang w:val="en-US" w:eastAsia="zh-CN"/>
        </w:rPr>
        <w:t>分布图见下</w:t>
      </w:r>
      <w:r>
        <w:rPr>
          <w:rFonts w:hint="default" w:ascii="Times New Roman" w:hAnsi="Times New Roman" w:eastAsia="宋体" w:cs="Times New Roman"/>
          <w:color w:val="000000"/>
          <w:sz w:val="24"/>
          <w:szCs w:val="24"/>
          <w:u w:val="none" w:color="auto"/>
          <w:lang w:val="en-US" w:eastAsia="zh-CN"/>
        </w:rPr>
        <w:t>图。</w:t>
      </w:r>
    </w:p>
    <w:p w14:paraId="1E1B4E5F">
      <w:pPr>
        <w:keepNext w:val="0"/>
        <w:keepLines w:val="0"/>
        <w:pageBreakBefore w:val="0"/>
        <w:kinsoku/>
        <w:wordWrap/>
        <w:overflowPunct/>
        <w:autoSpaceDE/>
        <w:autoSpaceDN/>
        <w:bidi w:val="0"/>
        <w:spacing w:line="440" w:lineRule="exact"/>
        <w:ind w:left="0" w:leftChars="0" w:firstLine="0" w:firstLineChars="0"/>
        <w:textAlignment w:val="auto"/>
        <w:rPr>
          <w:rFonts w:hint="eastAsia" w:cs="Times New Roman"/>
          <w:b/>
          <w:bCs/>
          <w:color w:val="auto"/>
          <w:spacing w:val="0"/>
          <w:w w:val="100"/>
          <w:kern w:val="21"/>
          <w:position w:val="0"/>
          <w:sz w:val="28"/>
          <w:szCs w:val="28"/>
          <w:u w:val="none" w:color="auto"/>
          <w:lang w:val="en-US" w:eastAsia="zh-CN"/>
        </w:rPr>
      </w:pPr>
      <w:r>
        <w:rPr>
          <w:u w:val="none" w:color="auto"/>
        </w:rPr>
        <w:drawing>
          <wp:anchor distT="0" distB="0" distL="114300" distR="114300" simplePos="0" relativeHeight="251749376" behindDoc="0" locked="0" layoutInCell="1" allowOverlap="1">
            <wp:simplePos x="0" y="0"/>
            <wp:positionH relativeFrom="column">
              <wp:posOffset>231775</wp:posOffset>
            </wp:positionH>
            <wp:positionV relativeFrom="paragraph">
              <wp:posOffset>60960</wp:posOffset>
            </wp:positionV>
            <wp:extent cx="5077460" cy="2552065"/>
            <wp:effectExtent l="0" t="0" r="8890" b="635"/>
            <wp:wrapNone/>
            <wp:docPr id="10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2"/>
                    <pic:cNvPicPr>
                      <a:picLocks noChangeAspect="1"/>
                    </pic:cNvPicPr>
                  </pic:nvPicPr>
                  <pic:blipFill>
                    <a:blip r:embed="rId52"/>
                    <a:stretch>
                      <a:fillRect/>
                    </a:stretch>
                  </pic:blipFill>
                  <pic:spPr>
                    <a:xfrm>
                      <a:off x="0" y="0"/>
                      <a:ext cx="5077460" cy="2552065"/>
                    </a:xfrm>
                    <a:prstGeom prst="rect">
                      <a:avLst/>
                    </a:prstGeom>
                    <a:noFill/>
                    <a:ln>
                      <a:noFill/>
                    </a:ln>
                  </pic:spPr>
                </pic:pic>
              </a:graphicData>
            </a:graphic>
          </wp:anchor>
        </w:drawing>
      </w:r>
    </w:p>
    <w:p w14:paraId="3D7D9EB5">
      <w:pPr>
        <w:keepNext w:val="0"/>
        <w:keepLines w:val="0"/>
        <w:pageBreakBefore w:val="0"/>
        <w:kinsoku/>
        <w:wordWrap/>
        <w:overflowPunct/>
        <w:autoSpaceDE/>
        <w:autoSpaceDN/>
        <w:bidi w:val="0"/>
        <w:spacing w:line="440" w:lineRule="exact"/>
        <w:ind w:left="0" w:leftChars="0" w:firstLine="0" w:firstLineChars="0"/>
        <w:textAlignment w:val="auto"/>
        <w:rPr>
          <w:rFonts w:hint="eastAsia" w:cs="Times New Roman"/>
          <w:b/>
          <w:bCs/>
          <w:color w:val="auto"/>
          <w:spacing w:val="0"/>
          <w:w w:val="100"/>
          <w:kern w:val="21"/>
          <w:position w:val="0"/>
          <w:sz w:val="28"/>
          <w:szCs w:val="28"/>
          <w:u w:val="none" w:color="auto"/>
          <w:lang w:val="en-US" w:eastAsia="zh-CN"/>
        </w:rPr>
      </w:pPr>
    </w:p>
    <w:p w14:paraId="6CDA2B35">
      <w:pPr>
        <w:keepNext w:val="0"/>
        <w:keepLines w:val="0"/>
        <w:pageBreakBefore w:val="0"/>
        <w:kinsoku/>
        <w:wordWrap/>
        <w:overflowPunct/>
        <w:autoSpaceDE/>
        <w:autoSpaceDN/>
        <w:bidi w:val="0"/>
        <w:spacing w:line="440" w:lineRule="exact"/>
        <w:ind w:left="0" w:leftChars="0" w:firstLine="0" w:firstLineChars="0"/>
        <w:textAlignment w:val="auto"/>
        <w:rPr>
          <w:rFonts w:hint="eastAsia" w:cs="Times New Roman"/>
          <w:b/>
          <w:bCs/>
          <w:color w:val="auto"/>
          <w:spacing w:val="0"/>
          <w:w w:val="100"/>
          <w:kern w:val="21"/>
          <w:position w:val="0"/>
          <w:sz w:val="28"/>
          <w:szCs w:val="28"/>
          <w:u w:val="none" w:color="auto"/>
          <w:lang w:val="en-US" w:eastAsia="zh-CN"/>
        </w:rPr>
      </w:pPr>
    </w:p>
    <w:p w14:paraId="64B02DF8">
      <w:pPr>
        <w:keepNext w:val="0"/>
        <w:keepLines w:val="0"/>
        <w:pageBreakBefore w:val="0"/>
        <w:kinsoku/>
        <w:wordWrap/>
        <w:overflowPunct/>
        <w:autoSpaceDE/>
        <w:autoSpaceDN/>
        <w:bidi w:val="0"/>
        <w:spacing w:line="440" w:lineRule="exact"/>
        <w:ind w:left="0" w:leftChars="0" w:firstLine="0" w:firstLineChars="0"/>
        <w:textAlignment w:val="auto"/>
        <w:rPr>
          <w:rFonts w:hint="eastAsia" w:cs="Times New Roman"/>
          <w:b/>
          <w:bCs/>
          <w:color w:val="auto"/>
          <w:spacing w:val="0"/>
          <w:w w:val="100"/>
          <w:kern w:val="21"/>
          <w:position w:val="0"/>
          <w:sz w:val="28"/>
          <w:szCs w:val="28"/>
          <w:u w:val="none" w:color="auto"/>
          <w:lang w:val="en-US" w:eastAsia="zh-CN"/>
        </w:rPr>
      </w:pPr>
    </w:p>
    <w:p w14:paraId="0627C4F3">
      <w:pPr>
        <w:keepNext w:val="0"/>
        <w:keepLines w:val="0"/>
        <w:pageBreakBefore w:val="0"/>
        <w:kinsoku/>
        <w:wordWrap/>
        <w:overflowPunct/>
        <w:autoSpaceDE/>
        <w:autoSpaceDN/>
        <w:bidi w:val="0"/>
        <w:spacing w:line="440" w:lineRule="exact"/>
        <w:ind w:left="0" w:leftChars="0" w:firstLine="0" w:firstLineChars="0"/>
        <w:textAlignment w:val="auto"/>
        <w:rPr>
          <w:rFonts w:hint="eastAsia" w:cs="Times New Roman"/>
          <w:b/>
          <w:bCs/>
          <w:color w:val="auto"/>
          <w:spacing w:val="0"/>
          <w:w w:val="100"/>
          <w:kern w:val="21"/>
          <w:position w:val="0"/>
          <w:sz w:val="28"/>
          <w:szCs w:val="28"/>
          <w:u w:val="none" w:color="auto"/>
          <w:lang w:val="en-US" w:eastAsia="zh-CN"/>
        </w:rPr>
      </w:pPr>
    </w:p>
    <w:p w14:paraId="2333475D">
      <w:pPr>
        <w:keepNext w:val="0"/>
        <w:keepLines w:val="0"/>
        <w:pageBreakBefore w:val="0"/>
        <w:kinsoku/>
        <w:wordWrap/>
        <w:overflowPunct/>
        <w:autoSpaceDE/>
        <w:autoSpaceDN/>
        <w:bidi w:val="0"/>
        <w:spacing w:line="440" w:lineRule="exact"/>
        <w:ind w:left="0" w:leftChars="0" w:firstLine="0" w:firstLineChars="0"/>
        <w:textAlignment w:val="auto"/>
        <w:rPr>
          <w:rFonts w:hint="eastAsia" w:cs="Times New Roman"/>
          <w:b/>
          <w:bCs/>
          <w:color w:val="auto"/>
          <w:spacing w:val="0"/>
          <w:w w:val="100"/>
          <w:kern w:val="21"/>
          <w:position w:val="0"/>
          <w:sz w:val="28"/>
          <w:szCs w:val="28"/>
          <w:u w:val="none" w:color="auto"/>
          <w:lang w:val="en-US" w:eastAsia="zh-CN"/>
        </w:rPr>
      </w:pPr>
    </w:p>
    <w:p w14:paraId="5120C804">
      <w:pPr>
        <w:keepNext w:val="0"/>
        <w:keepLines w:val="0"/>
        <w:pageBreakBefore w:val="0"/>
        <w:kinsoku/>
        <w:wordWrap/>
        <w:overflowPunct/>
        <w:autoSpaceDE/>
        <w:autoSpaceDN/>
        <w:bidi w:val="0"/>
        <w:spacing w:line="440" w:lineRule="exact"/>
        <w:ind w:left="0" w:leftChars="0" w:firstLine="0" w:firstLineChars="0"/>
        <w:textAlignment w:val="auto"/>
        <w:rPr>
          <w:rFonts w:hint="eastAsia" w:cs="Times New Roman"/>
          <w:b/>
          <w:bCs/>
          <w:color w:val="auto"/>
          <w:spacing w:val="0"/>
          <w:w w:val="100"/>
          <w:kern w:val="21"/>
          <w:position w:val="0"/>
          <w:sz w:val="28"/>
          <w:szCs w:val="28"/>
          <w:u w:val="none" w:color="auto"/>
          <w:lang w:val="en-US" w:eastAsia="zh-CN"/>
        </w:rPr>
      </w:pPr>
    </w:p>
    <w:p w14:paraId="6066DA89">
      <w:pPr>
        <w:keepNext w:val="0"/>
        <w:keepLines w:val="0"/>
        <w:pageBreakBefore w:val="0"/>
        <w:kinsoku/>
        <w:wordWrap/>
        <w:overflowPunct/>
        <w:autoSpaceDE/>
        <w:autoSpaceDN/>
        <w:bidi w:val="0"/>
        <w:spacing w:line="440" w:lineRule="exact"/>
        <w:ind w:left="0" w:leftChars="0" w:firstLine="0" w:firstLineChars="0"/>
        <w:textAlignment w:val="auto"/>
        <w:rPr>
          <w:rFonts w:hint="eastAsia" w:cs="Times New Roman"/>
          <w:b/>
          <w:bCs/>
          <w:color w:val="auto"/>
          <w:spacing w:val="0"/>
          <w:w w:val="100"/>
          <w:kern w:val="21"/>
          <w:position w:val="0"/>
          <w:sz w:val="28"/>
          <w:szCs w:val="28"/>
          <w:u w:val="none" w:color="auto"/>
          <w:lang w:val="en-US" w:eastAsia="zh-CN"/>
        </w:rPr>
      </w:pPr>
    </w:p>
    <w:p w14:paraId="778BA1A2">
      <w:pPr>
        <w:keepNext w:val="0"/>
        <w:keepLines w:val="0"/>
        <w:pageBreakBefore w:val="0"/>
        <w:kinsoku/>
        <w:wordWrap/>
        <w:overflowPunct/>
        <w:autoSpaceDE/>
        <w:autoSpaceDN/>
        <w:bidi w:val="0"/>
        <w:spacing w:line="440" w:lineRule="exact"/>
        <w:ind w:left="0" w:leftChars="0" w:firstLine="0" w:firstLineChars="0"/>
        <w:textAlignment w:val="auto"/>
        <w:rPr>
          <w:rFonts w:hint="eastAsia" w:cs="Times New Roman"/>
          <w:b/>
          <w:bCs/>
          <w:color w:val="auto"/>
          <w:spacing w:val="0"/>
          <w:w w:val="100"/>
          <w:kern w:val="21"/>
          <w:position w:val="0"/>
          <w:sz w:val="28"/>
          <w:szCs w:val="28"/>
          <w:u w:val="none" w:color="auto"/>
          <w:lang w:val="en-US" w:eastAsia="zh-CN"/>
        </w:rPr>
      </w:pPr>
    </w:p>
    <w:p w14:paraId="06EFE051">
      <w:pPr>
        <w:keepNext w:val="0"/>
        <w:keepLines w:val="0"/>
        <w:pageBreakBefore w:val="0"/>
        <w:kinsoku/>
        <w:wordWrap/>
        <w:overflowPunct/>
        <w:autoSpaceDE/>
        <w:autoSpaceDN/>
        <w:bidi w:val="0"/>
        <w:spacing w:line="440" w:lineRule="exact"/>
        <w:ind w:left="0" w:leftChars="0" w:firstLine="0" w:firstLineChars="0"/>
        <w:textAlignment w:val="auto"/>
        <w:rPr>
          <w:rFonts w:hint="eastAsia" w:cs="Times New Roman"/>
          <w:b/>
          <w:bCs/>
          <w:color w:val="auto"/>
          <w:spacing w:val="0"/>
          <w:w w:val="100"/>
          <w:kern w:val="21"/>
          <w:position w:val="0"/>
          <w:sz w:val="28"/>
          <w:szCs w:val="28"/>
          <w:u w:val="none" w:color="auto"/>
          <w:lang w:val="en-US" w:eastAsia="zh-CN"/>
        </w:rPr>
      </w:pPr>
    </w:p>
    <w:p w14:paraId="7BF730B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黑体" w:cs="Times New Roman"/>
          <w:b w:val="0"/>
          <w:bCs w:val="0"/>
          <w:color w:val="auto"/>
          <w:spacing w:val="0"/>
          <w:w w:val="100"/>
          <w:kern w:val="21"/>
          <w:sz w:val="24"/>
          <w:szCs w:val="24"/>
          <w:u w:val="none" w:color="auto"/>
          <w:lang w:val="en-US" w:eastAsia="zh-CN"/>
        </w:rPr>
      </w:pPr>
      <w:r>
        <w:rPr>
          <w:rFonts w:hint="eastAsia" w:ascii="Times New Roman" w:hAnsi="Times New Roman" w:eastAsia="黑体" w:cs="Times New Roman"/>
          <w:b w:val="0"/>
          <w:bCs w:val="0"/>
          <w:color w:val="auto"/>
          <w:spacing w:val="0"/>
          <w:w w:val="100"/>
          <w:kern w:val="21"/>
          <w:sz w:val="24"/>
          <w:szCs w:val="24"/>
          <w:u w:val="none" w:color="auto"/>
          <w:lang w:val="en-US" w:eastAsia="zh-CN"/>
        </w:rPr>
        <w:t>图</w:t>
      </w:r>
      <w:r>
        <w:rPr>
          <w:rFonts w:hint="eastAsia" w:eastAsia="黑体" w:cs="Times New Roman"/>
          <w:b w:val="0"/>
          <w:bCs w:val="0"/>
          <w:color w:val="auto"/>
          <w:spacing w:val="0"/>
          <w:w w:val="100"/>
          <w:kern w:val="21"/>
          <w:sz w:val="24"/>
          <w:szCs w:val="24"/>
          <w:u w:val="none" w:color="auto"/>
          <w:lang w:val="en-US" w:eastAsia="zh-CN"/>
        </w:rPr>
        <w:t xml:space="preserve">3  </w:t>
      </w:r>
      <w:r>
        <w:rPr>
          <w:rFonts w:hint="eastAsia" w:ascii="Times New Roman" w:hAnsi="Times New Roman" w:eastAsia="黑体" w:cs="Times New Roman"/>
          <w:b w:val="0"/>
          <w:bCs w:val="0"/>
          <w:color w:val="auto"/>
          <w:spacing w:val="0"/>
          <w:w w:val="100"/>
          <w:kern w:val="21"/>
          <w:sz w:val="24"/>
          <w:szCs w:val="24"/>
          <w:u w:val="none" w:color="auto"/>
          <w:lang w:val="en-US" w:eastAsia="zh-CN"/>
        </w:rPr>
        <w:t xml:space="preserve">  最不利气象条件下CO下风向不同距离最大浓度分布图</w:t>
      </w:r>
    </w:p>
    <w:p w14:paraId="3282CFD4">
      <w:pPr>
        <w:spacing w:line="520" w:lineRule="exact"/>
        <w:ind w:firstLine="480" w:firstLineChars="200"/>
        <w:rPr>
          <w:rFonts w:hint="eastAsia" w:ascii="Times New Roman" w:hAnsi="Times New Roman" w:eastAsia="宋体" w:cs="Times New Roman"/>
          <w:color w:val="000000"/>
          <w:sz w:val="24"/>
          <w:szCs w:val="24"/>
          <w:u w:val="none" w:color="auto"/>
          <w:lang w:val="en-US" w:eastAsia="zh-CN"/>
        </w:rPr>
      </w:pPr>
    </w:p>
    <w:p w14:paraId="2B0A7EFC">
      <w:pPr>
        <w:spacing w:line="520" w:lineRule="exact"/>
        <w:ind w:firstLine="480" w:firstLineChars="200"/>
        <w:rPr>
          <w:rFonts w:hint="eastAsia" w:ascii="Times New Roman" w:hAnsi="Times New Roman" w:eastAsia="宋体" w:cs="Times New Roman"/>
          <w:color w:val="000000"/>
          <w:sz w:val="24"/>
          <w:szCs w:val="24"/>
          <w:u w:val="none" w:color="auto"/>
          <w:lang w:val="en-US" w:eastAsia="zh-CN"/>
        </w:rPr>
      </w:pPr>
    </w:p>
    <w:p w14:paraId="620DA2AD">
      <w:pPr>
        <w:spacing w:line="520" w:lineRule="exact"/>
        <w:ind w:firstLine="480" w:firstLineChars="200"/>
        <w:rPr>
          <w:rFonts w:hint="eastAsia" w:ascii="Times New Roman" w:hAnsi="Times New Roman" w:eastAsia="宋体" w:cs="Times New Roman"/>
          <w:color w:val="000000"/>
          <w:sz w:val="24"/>
          <w:szCs w:val="24"/>
          <w:u w:val="none" w:color="auto"/>
          <w:lang w:val="en-US" w:eastAsia="zh-CN"/>
        </w:rPr>
      </w:pPr>
    </w:p>
    <w:p w14:paraId="13F1AFE4">
      <w:pPr>
        <w:spacing w:line="520" w:lineRule="exact"/>
        <w:ind w:firstLine="480" w:firstLineChars="200"/>
        <w:rPr>
          <w:rFonts w:hint="eastAsia" w:ascii="Times New Roman" w:hAnsi="Times New Roman" w:eastAsia="宋体" w:cs="Times New Roman"/>
          <w:color w:val="000000"/>
          <w:sz w:val="24"/>
          <w:szCs w:val="24"/>
          <w:u w:val="none" w:color="auto"/>
          <w:lang w:val="en-US" w:eastAsia="zh-CN"/>
        </w:rPr>
      </w:pPr>
    </w:p>
    <w:p w14:paraId="092505CF">
      <w:pPr>
        <w:spacing w:line="520" w:lineRule="exact"/>
        <w:ind w:firstLine="480" w:firstLineChars="200"/>
        <w:rPr>
          <w:rFonts w:hint="eastAsia" w:ascii="Times New Roman" w:hAnsi="Times New Roman" w:eastAsia="宋体" w:cs="Times New Roman"/>
          <w:color w:val="000000"/>
          <w:sz w:val="24"/>
          <w:szCs w:val="24"/>
          <w:u w:val="none" w:color="auto"/>
          <w:lang w:val="en-US" w:eastAsia="zh-CN"/>
        </w:rPr>
      </w:pPr>
    </w:p>
    <w:p w14:paraId="5DF19D53">
      <w:pPr>
        <w:spacing w:line="520" w:lineRule="exact"/>
        <w:ind w:firstLine="480" w:firstLineChars="200"/>
        <w:rPr>
          <w:rFonts w:hint="eastAsia" w:ascii="Times New Roman" w:hAnsi="Times New Roman" w:eastAsia="宋体" w:cs="Times New Roman"/>
          <w:color w:val="000000"/>
          <w:sz w:val="24"/>
          <w:szCs w:val="24"/>
          <w:u w:val="none" w:color="auto"/>
          <w:lang w:val="en-US" w:eastAsia="zh-CN"/>
        </w:rPr>
      </w:pPr>
    </w:p>
    <w:p w14:paraId="2F95EBB9">
      <w:pPr>
        <w:spacing w:line="520" w:lineRule="exact"/>
        <w:ind w:firstLine="480" w:firstLineChars="200"/>
        <w:rPr>
          <w:rFonts w:hint="eastAsia" w:ascii="Times New Roman" w:hAnsi="Times New Roman" w:eastAsia="宋体" w:cs="Times New Roman"/>
          <w:color w:val="000000"/>
          <w:sz w:val="24"/>
          <w:szCs w:val="24"/>
          <w:u w:val="none" w:color="auto"/>
          <w:lang w:val="en-US" w:eastAsia="zh-CN"/>
        </w:rPr>
      </w:pPr>
    </w:p>
    <w:p w14:paraId="402550B2">
      <w:pPr>
        <w:spacing w:line="520" w:lineRule="exact"/>
        <w:ind w:firstLine="480" w:firstLineChars="200"/>
        <w:rPr>
          <w:rFonts w:hint="eastAsia" w:ascii="Times New Roman" w:hAnsi="Times New Roman" w:eastAsia="宋体" w:cs="Times New Roman"/>
          <w:color w:val="000000"/>
          <w:sz w:val="24"/>
          <w:szCs w:val="24"/>
          <w:u w:val="none" w:color="auto"/>
          <w:lang w:val="en-US" w:eastAsia="zh-CN"/>
        </w:rPr>
      </w:pPr>
    </w:p>
    <w:p w14:paraId="5D846125">
      <w:pPr>
        <w:spacing w:line="520" w:lineRule="exact"/>
        <w:ind w:firstLine="480" w:firstLineChars="200"/>
        <w:rPr>
          <w:rFonts w:hint="default" w:ascii="Times New Roman" w:hAnsi="Times New Roman" w:eastAsia="宋体" w:cs="Times New Roman"/>
          <w:color w:val="000000"/>
          <w:sz w:val="24"/>
          <w:szCs w:val="24"/>
          <w:u w:val="none" w:color="auto"/>
          <w:lang w:val="en-US" w:eastAsia="zh-CN"/>
        </w:rPr>
      </w:pPr>
      <w:r>
        <w:rPr>
          <w:rFonts w:hint="eastAsia" w:ascii="Times New Roman" w:hAnsi="Times New Roman" w:eastAsia="宋体" w:cs="Times New Roman"/>
          <w:color w:val="000000"/>
          <w:sz w:val="24"/>
          <w:szCs w:val="24"/>
          <w:u w:val="none" w:color="auto"/>
          <w:lang w:val="en-US" w:eastAsia="zh-CN"/>
        </w:rPr>
        <w:t>（3）电解液不完全燃烧伴生氟化氢</w:t>
      </w:r>
    </w:p>
    <w:p w14:paraId="65675F66">
      <w:pPr>
        <w:spacing w:line="520" w:lineRule="exact"/>
        <w:ind w:firstLine="420" w:firstLineChars="200"/>
        <w:rPr>
          <w:rFonts w:hint="default" w:ascii="Times New Roman" w:hAnsi="Times New Roman" w:eastAsia="宋体" w:cs="Times New Roman"/>
          <w:color w:val="000000"/>
          <w:sz w:val="24"/>
          <w:szCs w:val="24"/>
          <w:u w:val="none" w:color="auto"/>
          <w:lang w:val="en-US" w:eastAsia="zh-CN"/>
        </w:rPr>
      </w:pPr>
      <w:r>
        <w:rPr>
          <w:u w:val="none" w:color="auto"/>
        </w:rPr>
        <w:drawing>
          <wp:anchor distT="0" distB="0" distL="114300" distR="114300" simplePos="0" relativeHeight="251750400" behindDoc="0" locked="0" layoutInCell="1" allowOverlap="1">
            <wp:simplePos x="0" y="0"/>
            <wp:positionH relativeFrom="column">
              <wp:posOffset>367030</wp:posOffset>
            </wp:positionH>
            <wp:positionV relativeFrom="paragraph">
              <wp:posOffset>99695</wp:posOffset>
            </wp:positionV>
            <wp:extent cx="4907280" cy="2466340"/>
            <wp:effectExtent l="0" t="0" r="7620" b="10160"/>
            <wp:wrapNone/>
            <wp:docPr id="10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3"/>
                    <pic:cNvPicPr>
                      <a:picLocks noChangeAspect="1"/>
                    </pic:cNvPicPr>
                  </pic:nvPicPr>
                  <pic:blipFill>
                    <a:blip r:embed="rId53"/>
                    <a:stretch>
                      <a:fillRect/>
                    </a:stretch>
                  </pic:blipFill>
                  <pic:spPr>
                    <a:xfrm>
                      <a:off x="0" y="0"/>
                      <a:ext cx="4907280" cy="2466340"/>
                    </a:xfrm>
                    <a:prstGeom prst="rect">
                      <a:avLst/>
                    </a:prstGeom>
                    <a:noFill/>
                    <a:ln>
                      <a:noFill/>
                    </a:ln>
                  </pic:spPr>
                </pic:pic>
              </a:graphicData>
            </a:graphic>
          </wp:anchor>
        </w:drawing>
      </w:r>
    </w:p>
    <w:p w14:paraId="415F7250">
      <w:pPr>
        <w:keepNext w:val="0"/>
        <w:keepLines w:val="0"/>
        <w:pageBreakBefore w:val="0"/>
        <w:kinsoku/>
        <w:wordWrap/>
        <w:overflowPunct/>
        <w:autoSpaceDE/>
        <w:autoSpaceDN/>
        <w:bidi w:val="0"/>
        <w:spacing w:line="440" w:lineRule="exact"/>
        <w:ind w:left="0" w:leftChars="0" w:firstLine="0" w:firstLineChars="0"/>
        <w:textAlignment w:val="auto"/>
        <w:rPr>
          <w:rFonts w:hint="eastAsia" w:ascii="方正公文仿宋" w:hAnsi="方正公文仿宋" w:eastAsia="方正公文仿宋" w:cs="方正公文仿宋"/>
          <w:b/>
          <w:bCs/>
          <w:color w:val="auto"/>
          <w:spacing w:val="0"/>
          <w:w w:val="100"/>
          <w:kern w:val="21"/>
          <w:position w:val="0"/>
          <w:sz w:val="28"/>
          <w:szCs w:val="28"/>
          <w:u w:val="none" w:color="auto"/>
          <w:lang w:val="en-US" w:eastAsia="zh-CN"/>
        </w:rPr>
      </w:pPr>
    </w:p>
    <w:p w14:paraId="161647D9">
      <w:pPr>
        <w:keepNext w:val="0"/>
        <w:keepLines w:val="0"/>
        <w:pageBreakBefore w:val="0"/>
        <w:kinsoku/>
        <w:wordWrap/>
        <w:overflowPunct/>
        <w:autoSpaceDE/>
        <w:autoSpaceDN/>
        <w:bidi w:val="0"/>
        <w:spacing w:line="440" w:lineRule="exact"/>
        <w:ind w:left="0" w:leftChars="0" w:firstLine="0" w:firstLineChars="0"/>
        <w:textAlignment w:val="auto"/>
        <w:rPr>
          <w:rFonts w:hint="eastAsia" w:ascii="方正公文仿宋" w:hAnsi="方正公文仿宋" w:eastAsia="方正公文仿宋" w:cs="方正公文仿宋"/>
          <w:b/>
          <w:bCs/>
          <w:color w:val="auto"/>
          <w:spacing w:val="0"/>
          <w:w w:val="100"/>
          <w:kern w:val="21"/>
          <w:position w:val="0"/>
          <w:sz w:val="28"/>
          <w:szCs w:val="28"/>
          <w:u w:val="none" w:color="auto"/>
          <w:lang w:val="en-US" w:eastAsia="zh-CN"/>
        </w:rPr>
      </w:pPr>
    </w:p>
    <w:p w14:paraId="582423BD">
      <w:pPr>
        <w:keepNext w:val="0"/>
        <w:keepLines w:val="0"/>
        <w:pageBreakBefore w:val="0"/>
        <w:kinsoku/>
        <w:wordWrap/>
        <w:overflowPunct/>
        <w:autoSpaceDE/>
        <w:autoSpaceDN/>
        <w:bidi w:val="0"/>
        <w:spacing w:line="440" w:lineRule="exact"/>
        <w:ind w:left="0" w:leftChars="0" w:firstLine="0" w:firstLineChars="0"/>
        <w:textAlignment w:val="auto"/>
        <w:rPr>
          <w:rFonts w:hint="eastAsia" w:ascii="方正公文仿宋" w:hAnsi="方正公文仿宋" w:eastAsia="方正公文仿宋" w:cs="方正公文仿宋"/>
          <w:b/>
          <w:bCs/>
          <w:color w:val="auto"/>
          <w:spacing w:val="0"/>
          <w:w w:val="100"/>
          <w:kern w:val="21"/>
          <w:position w:val="0"/>
          <w:sz w:val="28"/>
          <w:szCs w:val="28"/>
          <w:u w:val="none" w:color="auto"/>
          <w:lang w:val="en-US" w:eastAsia="zh-CN"/>
        </w:rPr>
      </w:pPr>
    </w:p>
    <w:p w14:paraId="5A95FAD4">
      <w:pPr>
        <w:keepNext w:val="0"/>
        <w:keepLines w:val="0"/>
        <w:pageBreakBefore w:val="0"/>
        <w:kinsoku/>
        <w:wordWrap/>
        <w:overflowPunct/>
        <w:autoSpaceDE/>
        <w:autoSpaceDN/>
        <w:bidi w:val="0"/>
        <w:spacing w:line="440" w:lineRule="exact"/>
        <w:ind w:left="0" w:leftChars="0" w:firstLine="0" w:firstLineChars="0"/>
        <w:textAlignment w:val="auto"/>
        <w:rPr>
          <w:rFonts w:hint="eastAsia" w:ascii="方正公文仿宋" w:hAnsi="方正公文仿宋" w:eastAsia="方正公文仿宋" w:cs="方正公文仿宋"/>
          <w:b/>
          <w:bCs/>
          <w:color w:val="auto"/>
          <w:spacing w:val="0"/>
          <w:w w:val="100"/>
          <w:kern w:val="21"/>
          <w:position w:val="0"/>
          <w:sz w:val="28"/>
          <w:szCs w:val="28"/>
          <w:u w:val="none" w:color="auto"/>
          <w:lang w:val="en-US" w:eastAsia="zh-CN"/>
        </w:rPr>
      </w:pPr>
    </w:p>
    <w:p w14:paraId="5999EDE0">
      <w:pPr>
        <w:keepNext w:val="0"/>
        <w:keepLines w:val="0"/>
        <w:pageBreakBefore w:val="0"/>
        <w:kinsoku/>
        <w:wordWrap/>
        <w:overflowPunct/>
        <w:autoSpaceDE/>
        <w:autoSpaceDN/>
        <w:bidi w:val="0"/>
        <w:spacing w:line="440" w:lineRule="exact"/>
        <w:ind w:left="0" w:leftChars="0" w:firstLine="0" w:firstLineChars="0"/>
        <w:textAlignment w:val="auto"/>
        <w:rPr>
          <w:rFonts w:hint="eastAsia" w:ascii="方正公文仿宋" w:hAnsi="方正公文仿宋" w:eastAsia="方正公文仿宋" w:cs="方正公文仿宋"/>
          <w:b/>
          <w:bCs/>
          <w:color w:val="auto"/>
          <w:spacing w:val="0"/>
          <w:w w:val="100"/>
          <w:kern w:val="21"/>
          <w:position w:val="0"/>
          <w:sz w:val="28"/>
          <w:szCs w:val="28"/>
          <w:u w:val="none" w:color="auto"/>
          <w:lang w:val="en-US" w:eastAsia="zh-CN"/>
        </w:rPr>
      </w:pPr>
    </w:p>
    <w:p w14:paraId="122A642F">
      <w:pPr>
        <w:keepNext w:val="0"/>
        <w:keepLines w:val="0"/>
        <w:pageBreakBefore w:val="0"/>
        <w:kinsoku/>
        <w:wordWrap/>
        <w:overflowPunct/>
        <w:autoSpaceDE/>
        <w:autoSpaceDN/>
        <w:bidi w:val="0"/>
        <w:spacing w:line="440" w:lineRule="exact"/>
        <w:ind w:left="0" w:leftChars="0" w:firstLine="0" w:firstLineChars="0"/>
        <w:textAlignment w:val="auto"/>
        <w:rPr>
          <w:rFonts w:hint="eastAsia" w:ascii="方正公文仿宋" w:hAnsi="方正公文仿宋" w:eastAsia="方正公文仿宋" w:cs="方正公文仿宋"/>
          <w:b/>
          <w:bCs/>
          <w:color w:val="auto"/>
          <w:spacing w:val="0"/>
          <w:w w:val="100"/>
          <w:kern w:val="21"/>
          <w:position w:val="0"/>
          <w:sz w:val="28"/>
          <w:szCs w:val="28"/>
          <w:u w:val="none" w:color="auto"/>
          <w:lang w:val="en-US" w:eastAsia="zh-CN"/>
        </w:rPr>
      </w:pPr>
    </w:p>
    <w:p w14:paraId="63509BE2">
      <w:pPr>
        <w:bidi w:val="0"/>
        <w:rPr>
          <w:rFonts w:hint="eastAsia"/>
          <w:u w:val="none" w:color="auto"/>
          <w:lang w:val="en-US" w:eastAsia="zh-CN"/>
        </w:rPr>
      </w:pPr>
    </w:p>
    <w:p w14:paraId="79EC8525">
      <w:pPr>
        <w:bidi w:val="0"/>
        <w:rPr>
          <w:rFonts w:hint="eastAsia"/>
          <w:u w:val="none" w:color="auto"/>
          <w:lang w:val="en-US" w:eastAsia="zh-CN"/>
        </w:rPr>
      </w:pPr>
    </w:p>
    <w:p w14:paraId="2E2089DB">
      <w:pPr>
        <w:bidi w:val="0"/>
        <w:rPr>
          <w:rFonts w:hint="eastAsia"/>
          <w:u w:val="none" w:color="auto"/>
          <w:lang w:val="en-US" w:eastAsia="zh-CN"/>
        </w:rPr>
      </w:pPr>
    </w:p>
    <w:p w14:paraId="0486D87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黑体" w:cs="Times New Roman"/>
          <w:b w:val="0"/>
          <w:bCs w:val="0"/>
          <w:color w:val="auto"/>
          <w:spacing w:val="0"/>
          <w:w w:val="100"/>
          <w:kern w:val="21"/>
          <w:sz w:val="24"/>
          <w:szCs w:val="24"/>
          <w:u w:val="none" w:color="auto"/>
          <w:lang w:val="en-US" w:eastAsia="zh-CN"/>
        </w:rPr>
      </w:pPr>
      <w:r>
        <w:rPr>
          <w:rFonts w:hint="eastAsia" w:ascii="Times New Roman" w:hAnsi="Times New Roman" w:eastAsia="黑体" w:cs="Times New Roman"/>
          <w:b w:val="0"/>
          <w:bCs w:val="0"/>
          <w:color w:val="auto"/>
          <w:spacing w:val="0"/>
          <w:w w:val="100"/>
          <w:kern w:val="21"/>
          <w:sz w:val="24"/>
          <w:szCs w:val="24"/>
          <w:u w:val="none" w:color="auto"/>
          <w:lang w:val="en-US" w:eastAsia="zh-CN"/>
        </w:rPr>
        <w:t>图</w:t>
      </w:r>
      <w:r>
        <w:rPr>
          <w:rFonts w:hint="eastAsia" w:eastAsia="黑体" w:cs="Times New Roman"/>
          <w:b w:val="0"/>
          <w:bCs w:val="0"/>
          <w:color w:val="auto"/>
          <w:spacing w:val="0"/>
          <w:w w:val="100"/>
          <w:kern w:val="21"/>
          <w:sz w:val="24"/>
          <w:szCs w:val="24"/>
          <w:u w:val="none" w:color="auto"/>
          <w:lang w:val="en-US" w:eastAsia="zh-CN"/>
        </w:rPr>
        <w:t xml:space="preserve">4  </w:t>
      </w:r>
      <w:r>
        <w:rPr>
          <w:rFonts w:hint="eastAsia" w:ascii="Times New Roman" w:hAnsi="Times New Roman" w:eastAsia="黑体" w:cs="Times New Roman"/>
          <w:b w:val="0"/>
          <w:bCs w:val="0"/>
          <w:color w:val="auto"/>
          <w:spacing w:val="0"/>
          <w:w w:val="100"/>
          <w:kern w:val="21"/>
          <w:sz w:val="24"/>
          <w:szCs w:val="24"/>
          <w:u w:val="none" w:color="auto"/>
          <w:lang w:val="en-US" w:eastAsia="zh-CN"/>
        </w:rPr>
        <w:t xml:space="preserve">  最不利气象条件下氟化氢下风向不同距离最大浓度分布图</w:t>
      </w:r>
    </w:p>
    <w:p w14:paraId="20CF098E">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zh-CN" w:bidi="zh-CN"/>
        </w:rPr>
      </w:pPr>
      <w:r>
        <w:rPr>
          <w:rFonts w:hint="eastAsia" w:ascii="Times New Roman" w:hAnsi="Times New Roman" w:eastAsia="宋体" w:cs="Times New Roman"/>
          <w:color w:val="000000"/>
          <w:sz w:val="24"/>
          <w:szCs w:val="24"/>
          <w:u w:val="none" w:color="auto"/>
          <w:lang w:val="en-US" w:eastAsia="zh-CN"/>
        </w:rPr>
        <w:t>从图中可知，</w:t>
      </w:r>
      <w:r>
        <w:rPr>
          <w:rFonts w:hint="default" w:ascii="Times New Roman" w:hAnsi="Times New Roman" w:eastAsia="宋体" w:cs="Times New Roman"/>
          <w:color w:val="auto"/>
          <w:kern w:val="2"/>
          <w:sz w:val="24"/>
          <w:szCs w:val="24"/>
          <w:highlight w:val="none"/>
          <w:u w:val="none" w:color="auto"/>
          <w:lang w:val="en-US" w:eastAsia="zh-CN" w:bidi="zh-CN"/>
        </w:rPr>
        <w:t xml:space="preserve">发生火灾后，次生伴生污染物 CO </w:t>
      </w:r>
      <w:r>
        <w:rPr>
          <w:rFonts w:hint="eastAsia" w:ascii="Times New Roman" w:hAnsi="Times New Roman" w:eastAsia="宋体" w:cs="Times New Roman"/>
          <w:color w:val="auto"/>
          <w:kern w:val="2"/>
          <w:sz w:val="24"/>
          <w:szCs w:val="24"/>
          <w:highlight w:val="none"/>
          <w:u w:val="none" w:color="auto"/>
          <w:lang w:val="en-US" w:eastAsia="zh-CN" w:bidi="zh-CN"/>
        </w:rPr>
        <w:t xml:space="preserve">的最大落地浓度出现在距离泄漏 位置 </w:t>
      </w:r>
      <w:r>
        <w:rPr>
          <w:rFonts w:hint="eastAsia" w:ascii="Times New Roman" w:hAnsi="Times New Roman" w:cs="Times New Roman"/>
          <w:color w:val="auto"/>
          <w:kern w:val="2"/>
          <w:sz w:val="24"/>
          <w:szCs w:val="24"/>
          <w:highlight w:val="none"/>
          <w:u w:val="none" w:color="auto"/>
          <w:lang w:val="en-US" w:eastAsia="zh-CN" w:bidi="zh-CN"/>
        </w:rPr>
        <w:t>60</w:t>
      </w:r>
      <w:r>
        <w:rPr>
          <w:rFonts w:hint="default" w:ascii="Times New Roman" w:hAnsi="Times New Roman" w:eastAsia="宋体" w:cs="Times New Roman"/>
          <w:color w:val="auto"/>
          <w:kern w:val="2"/>
          <w:sz w:val="24"/>
          <w:szCs w:val="24"/>
          <w:highlight w:val="none"/>
          <w:u w:val="none" w:color="auto"/>
          <w:lang w:val="en-US" w:eastAsia="zh-CN" w:bidi="zh-CN"/>
        </w:rPr>
        <w:t xml:space="preserve">m </w:t>
      </w:r>
      <w:r>
        <w:rPr>
          <w:rFonts w:hint="eastAsia" w:ascii="Times New Roman" w:hAnsi="Times New Roman" w:eastAsia="宋体" w:cs="Times New Roman"/>
          <w:color w:val="auto"/>
          <w:kern w:val="2"/>
          <w:sz w:val="24"/>
          <w:szCs w:val="24"/>
          <w:highlight w:val="none"/>
          <w:u w:val="none" w:color="auto"/>
          <w:lang w:val="en-US" w:eastAsia="zh-CN" w:bidi="zh-CN"/>
        </w:rPr>
        <w:t>处，最大落地浓度为</w:t>
      </w:r>
      <w:r>
        <w:rPr>
          <w:rFonts w:hint="eastAsia" w:ascii="Times New Roman" w:hAnsi="Times New Roman" w:cs="Times New Roman"/>
          <w:color w:val="auto"/>
          <w:kern w:val="2"/>
          <w:sz w:val="24"/>
          <w:szCs w:val="24"/>
          <w:highlight w:val="none"/>
          <w:u w:val="none" w:color="auto"/>
          <w:lang w:val="en-US" w:eastAsia="zh-CN" w:bidi="zh-CN"/>
        </w:rPr>
        <w:t>50.76</w:t>
      </w:r>
      <w:r>
        <w:rPr>
          <w:rFonts w:hint="default" w:ascii="Times New Roman" w:hAnsi="Times New Roman" w:eastAsia="宋体" w:cs="Times New Roman"/>
          <w:color w:val="auto"/>
          <w:kern w:val="2"/>
          <w:sz w:val="24"/>
          <w:szCs w:val="24"/>
          <w:highlight w:val="none"/>
          <w:u w:val="none" w:color="auto"/>
          <w:lang w:val="en-US" w:eastAsia="zh-CN" w:bidi="zh-CN"/>
        </w:rPr>
        <w:t>mg/m</w:t>
      </w:r>
      <w:r>
        <w:rPr>
          <w:rFonts w:hint="eastAsia" w:ascii="Times New Roman" w:hAnsi="Times New Roman" w:eastAsia="宋体" w:cs="Times New Roman"/>
          <w:color w:val="auto"/>
          <w:kern w:val="2"/>
          <w:sz w:val="24"/>
          <w:szCs w:val="24"/>
          <w:highlight w:val="none"/>
          <w:u w:val="none" w:color="auto"/>
          <w:vertAlign w:val="superscript"/>
          <w:lang w:val="en-US" w:eastAsia="zh-CN" w:bidi="zh-CN"/>
        </w:rPr>
        <w:t>3</w:t>
      </w:r>
      <w:r>
        <w:rPr>
          <w:rFonts w:hint="eastAsia" w:ascii="Times New Roman" w:hAnsi="Times New Roman" w:eastAsia="宋体" w:cs="Times New Roman"/>
          <w:color w:val="auto"/>
          <w:kern w:val="2"/>
          <w:sz w:val="24"/>
          <w:szCs w:val="24"/>
          <w:highlight w:val="none"/>
          <w:u w:val="none" w:color="auto"/>
          <w:lang w:val="en-US" w:eastAsia="zh-CN" w:bidi="zh-CN"/>
        </w:rPr>
        <w:t>，</w:t>
      </w:r>
      <w:r>
        <w:rPr>
          <w:rFonts w:hint="eastAsia" w:cs="Times New Roman"/>
          <w:color w:val="auto"/>
          <w:kern w:val="2"/>
          <w:sz w:val="24"/>
          <w:szCs w:val="24"/>
          <w:highlight w:val="none"/>
          <w:u w:val="none" w:color="auto"/>
          <w:lang w:val="en-US" w:eastAsia="zh-CN" w:bidi="zh-CN"/>
        </w:rPr>
        <w:t>距离厂界东南侧280m处的刘堤村</w:t>
      </w:r>
      <w:r>
        <w:rPr>
          <w:rFonts w:hint="default" w:ascii="Times New Roman" w:hAnsi="Times New Roman" w:eastAsia="宋体" w:cs="Times New Roman"/>
          <w:color w:val="auto"/>
          <w:kern w:val="2"/>
          <w:sz w:val="24"/>
          <w:szCs w:val="24"/>
          <w:highlight w:val="none"/>
          <w:u w:val="none" w:color="auto"/>
          <w:lang w:val="en-US" w:eastAsia="zh-CN" w:bidi="zh-CN"/>
        </w:rPr>
        <w:t>CO</w:t>
      </w:r>
      <w:r>
        <w:rPr>
          <w:rFonts w:hint="eastAsia" w:cs="Times New Roman"/>
          <w:color w:val="auto"/>
          <w:kern w:val="2"/>
          <w:sz w:val="24"/>
          <w:szCs w:val="24"/>
          <w:highlight w:val="none"/>
          <w:u w:val="none" w:color="auto"/>
          <w:lang w:val="en-US" w:eastAsia="zh-CN" w:bidi="zh-CN"/>
        </w:rPr>
        <w:t>最大落地浓度为20.779</w:t>
      </w:r>
      <w:r>
        <w:rPr>
          <w:rFonts w:hint="default" w:ascii="Times New Roman" w:hAnsi="Times New Roman" w:eastAsia="宋体" w:cs="Times New Roman"/>
          <w:color w:val="auto"/>
          <w:kern w:val="2"/>
          <w:sz w:val="24"/>
          <w:szCs w:val="24"/>
          <w:highlight w:val="none"/>
          <w:u w:val="none" w:color="auto"/>
          <w:lang w:val="en-US" w:eastAsia="zh-CN" w:bidi="zh-CN"/>
        </w:rPr>
        <w:t>mg/m</w:t>
      </w:r>
      <w:r>
        <w:rPr>
          <w:rFonts w:hint="eastAsia" w:ascii="Times New Roman" w:hAnsi="Times New Roman" w:eastAsia="宋体" w:cs="Times New Roman"/>
          <w:color w:val="auto"/>
          <w:kern w:val="2"/>
          <w:sz w:val="24"/>
          <w:szCs w:val="24"/>
          <w:highlight w:val="none"/>
          <w:u w:val="none" w:color="auto"/>
          <w:vertAlign w:val="superscript"/>
          <w:lang w:val="en-US" w:eastAsia="zh-CN" w:bidi="zh-CN"/>
        </w:rPr>
        <w:t>3</w:t>
      </w:r>
      <w:r>
        <w:rPr>
          <w:rFonts w:hint="eastAsia" w:cs="Times New Roman"/>
          <w:color w:val="auto"/>
          <w:kern w:val="2"/>
          <w:sz w:val="24"/>
          <w:szCs w:val="24"/>
          <w:highlight w:val="none"/>
          <w:u w:val="none" w:color="auto"/>
          <w:vertAlign w:val="baseline"/>
          <w:lang w:val="en-US" w:eastAsia="zh-CN" w:bidi="zh-CN"/>
        </w:rPr>
        <w:t>；</w:t>
      </w:r>
      <w:r>
        <w:rPr>
          <w:rFonts w:hint="default" w:ascii="Times New Roman" w:hAnsi="Times New Roman" w:eastAsia="宋体" w:cs="Times New Roman"/>
          <w:color w:val="auto"/>
          <w:kern w:val="2"/>
          <w:sz w:val="24"/>
          <w:szCs w:val="24"/>
          <w:highlight w:val="none"/>
          <w:u w:val="none" w:color="auto"/>
          <w:lang w:val="en-US" w:eastAsia="zh-CN" w:bidi="zh-CN"/>
        </w:rPr>
        <w:t>次生伴生污染物</w:t>
      </w:r>
      <w:r>
        <w:rPr>
          <w:rFonts w:hint="eastAsia" w:ascii="Times New Roman" w:hAnsi="Times New Roman" w:cs="Times New Roman"/>
          <w:color w:val="auto"/>
          <w:kern w:val="2"/>
          <w:sz w:val="24"/>
          <w:szCs w:val="24"/>
          <w:highlight w:val="none"/>
          <w:u w:val="none" w:color="auto"/>
          <w:lang w:val="en-US" w:eastAsia="zh-CN" w:bidi="zh-CN"/>
        </w:rPr>
        <w:t>氟化氢</w:t>
      </w:r>
      <w:r>
        <w:rPr>
          <w:rFonts w:hint="eastAsia" w:ascii="Times New Roman" w:hAnsi="Times New Roman" w:eastAsia="宋体" w:cs="Times New Roman"/>
          <w:color w:val="auto"/>
          <w:kern w:val="2"/>
          <w:sz w:val="24"/>
          <w:szCs w:val="24"/>
          <w:highlight w:val="none"/>
          <w:u w:val="none" w:color="auto"/>
          <w:lang w:val="en-US" w:eastAsia="zh-CN" w:bidi="zh-CN"/>
        </w:rPr>
        <w:t>最大落地浓度出现在距离泄漏位置310</w:t>
      </w:r>
      <w:r>
        <w:rPr>
          <w:rFonts w:hint="default" w:ascii="Times New Roman" w:hAnsi="Times New Roman" w:eastAsia="宋体" w:cs="Times New Roman"/>
          <w:color w:val="auto"/>
          <w:kern w:val="2"/>
          <w:sz w:val="24"/>
          <w:szCs w:val="24"/>
          <w:highlight w:val="none"/>
          <w:u w:val="none" w:color="auto"/>
          <w:lang w:val="en-US" w:eastAsia="zh-CN" w:bidi="zh-CN"/>
        </w:rPr>
        <w:t xml:space="preserve">m </w:t>
      </w:r>
      <w:r>
        <w:rPr>
          <w:rFonts w:hint="eastAsia" w:ascii="Times New Roman" w:hAnsi="Times New Roman" w:eastAsia="宋体" w:cs="Times New Roman"/>
          <w:color w:val="auto"/>
          <w:kern w:val="2"/>
          <w:sz w:val="24"/>
          <w:szCs w:val="24"/>
          <w:highlight w:val="none"/>
          <w:u w:val="none" w:color="auto"/>
          <w:lang w:val="en-US" w:eastAsia="zh-CN" w:bidi="zh-CN"/>
        </w:rPr>
        <w:t>处，最大落地浓度为</w:t>
      </w:r>
      <w:r>
        <w:rPr>
          <w:rFonts w:hint="eastAsia" w:ascii="Times New Roman" w:hAnsi="Times New Roman" w:cs="Times New Roman"/>
          <w:color w:val="auto"/>
          <w:kern w:val="2"/>
          <w:sz w:val="24"/>
          <w:szCs w:val="24"/>
          <w:highlight w:val="none"/>
          <w:u w:val="none" w:color="auto"/>
          <w:lang w:val="en-US" w:eastAsia="zh-CN" w:bidi="zh-CN"/>
        </w:rPr>
        <w:t>0.000349</w:t>
      </w:r>
      <w:r>
        <w:rPr>
          <w:rFonts w:hint="default" w:ascii="Times New Roman" w:hAnsi="Times New Roman" w:eastAsia="宋体" w:cs="Times New Roman"/>
          <w:color w:val="auto"/>
          <w:kern w:val="2"/>
          <w:sz w:val="24"/>
          <w:szCs w:val="24"/>
          <w:highlight w:val="none"/>
          <w:u w:val="none" w:color="auto"/>
          <w:lang w:val="en-US" w:eastAsia="zh-CN" w:bidi="zh-CN"/>
        </w:rPr>
        <w:t>mg/m</w:t>
      </w:r>
      <w:r>
        <w:rPr>
          <w:rFonts w:hint="eastAsia" w:ascii="Times New Roman" w:hAnsi="Times New Roman" w:eastAsia="宋体" w:cs="Times New Roman"/>
          <w:color w:val="auto"/>
          <w:kern w:val="2"/>
          <w:sz w:val="24"/>
          <w:szCs w:val="24"/>
          <w:highlight w:val="none"/>
          <w:u w:val="none" w:color="auto"/>
          <w:vertAlign w:val="superscript"/>
          <w:lang w:val="en-US" w:eastAsia="zh-CN" w:bidi="zh-CN"/>
        </w:rPr>
        <w:t>3</w:t>
      </w:r>
      <w:r>
        <w:rPr>
          <w:rFonts w:hint="eastAsia" w:cs="Times New Roman"/>
          <w:color w:val="auto"/>
          <w:kern w:val="2"/>
          <w:sz w:val="24"/>
          <w:szCs w:val="24"/>
          <w:highlight w:val="none"/>
          <w:u w:val="none" w:color="auto"/>
          <w:vertAlign w:val="baseline"/>
          <w:lang w:val="en-US" w:eastAsia="zh-CN" w:bidi="zh-CN"/>
        </w:rPr>
        <w:t>，</w:t>
      </w:r>
      <w:r>
        <w:rPr>
          <w:rFonts w:hint="eastAsia" w:cs="Times New Roman"/>
          <w:color w:val="auto"/>
          <w:kern w:val="2"/>
          <w:sz w:val="24"/>
          <w:szCs w:val="24"/>
          <w:highlight w:val="none"/>
          <w:u w:val="none" w:color="auto"/>
          <w:lang w:val="en-US" w:eastAsia="zh-CN" w:bidi="zh-CN"/>
        </w:rPr>
        <w:t>距离厂界东南侧280m处的刘堤村</w:t>
      </w:r>
      <w:r>
        <w:rPr>
          <w:rFonts w:hint="eastAsia" w:ascii="Times New Roman" w:hAnsi="Times New Roman" w:cs="Times New Roman"/>
          <w:color w:val="auto"/>
          <w:kern w:val="2"/>
          <w:sz w:val="24"/>
          <w:szCs w:val="24"/>
          <w:highlight w:val="none"/>
          <w:u w:val="none" w:color="auto"/>
          <w:lang w:val="en-US" w:eastAsia="zh-CN" w:bidi="zh-CN"/>
        </w:rPr>
        <w:t>氟化氢</w:t>
      </w:r>
      <w:r>
        <w:rPr>
          <w:rFonts w:hint="eastAsia" w:cs="Times New Roman"/>
          <w:color w:val="auto"/>
          <w:kern w:val="2"/>
          <w:sz w:val="24"/>
          <w:szCs w:val="24"/>
          <w:highlight w:val="none"/>
          <w:u w:val="none" w:color="auto"/>
          <w:lang w:val="en-US" w:eastAsia="zh-CN" w:bidi="zh-CN"/>
        </w:rPr>
        <w:t>最大落地浓度为3.5065E-04</w:t>
      </w:r>
      <w:r>
        <w:rPr>
          <w:rFonts w:hint="default" w:ascii="Times New Roman" w:hAnsi="Times New Roman" w:eastAsia="宋体" w:cs="Times New Roman"/>
          <w:color w:val="auto"/>
          <w:kern w:val="2"/>
          <w:sz w:val="24"/>
          <w:szCs w:val="24"/>
          <w:highlight w:val="none"/>
          <w:u w:val="none" w:color="auto"/>
          <w:lang w:val="en-US" w:eastAsia="zh-CN" w:bidi="zh-CN"/>
        </w:rPr>
        <w:t>mg/m</w:t>
      </w:r>
      <w:r>
        <w:rPr>
          <w:rFonts w:hint="eastAsia" w:ascii="Times New Roman" w:hAnsi="Times New Roman" w:eastAsia="宋体" w:cs="Times New Roman"/>
          <w:color w:val="auto"/>
          <w:kern w:val="2"/>
          <w:sz w:val="24"/>
          <w:szCs w:val="24"/>
          <w:highlight w:val="none"/>
          <w:u w:val="none" w:color="auto"/>
          <w:vertAlign w:val="superscript"/>
          <w:lang w:val="en-US" w:eastAsia="zh-CN" w:bidi="zh-CN"/>
        </w:rPr>
        <w:t>3</w:t>
      </w:r>
      <w:r>
        <w:rPr>
          <w:rFonts w:hint="eastAsia" w:ascii="Times New Roman" w:hAnsi="Times New Roman" w:eastAsia="宋体" w:cs="Times New Roman"/>
          <w:color w:val="auto"/>
          <w:kern w:val="2"/>
          <w:sz w:val="24"/>
          <w:szCs w:val="24"/>
          <w:highlight w:val="none"/>
          <w:u w:val="none" w:color="auto"/>
          <w:vertAlign w:val="baseline"/>
          <w:lang w:val="en-US" w:eastAsia="zh-CN" w:bidi="zh-CN"/>
        </w:rPr>
        <w:t>，均未出现毒性终点浓度。</w:t>
      </w:r>
      <w:r>
        <w:rPr>
          <w:rFonts w:hint="eastAsia" w:cs="Times New Roman"/>
          <w:color w:val="auto"/>
          <w:kern w:val="2"/>
          <w:sz w:val="24"/>
          <w:szCs w:val="24"/>
          <w:highlight w:val="none"/>
          <w:u w:val="none" w:color="auto"/>
          <w:vertAlign w:val="baseline"/>
          <w:lang w:val="en-US" w:eastAsia="zh-CN" w:bidi="zh-CN"/>
        </w:rPr>
        <w:t>但</w:t>
      </w:r>
      <w:r>
        <w:rPr>
          <w:rFonts w:hint="eastAsia" w:cs="Times New Roman"/>
          <w:color w:val="auto"/>
          <w:kern w:val="2"/>
          <w:sz w:val="24"/>
          <w:szCs w:val="24"/>
          <w:highlight w:val="none"/>
          <w:u w:val="none" w:color="auto"/>
          <w:lang w:val="en-US" w:eastAsia="zh-CN" w:bidi="zh-CN"/>
        </w:rPr>
        <w:t>火灾事件发生时，企业员工短期内吸入较高浓度者有毒气体将造成一定影响。因此，在发生大规模火灾事件时应在最短时间内及时通知厂区内的人群疏散，以免产生人员中毒现象。在此前提下，事件风险处于可接受水平。</w:t>
      </w:r>
    </w:p>
    <w:p w14:paraId="353BE8FE">
      <w:pPr>
        <w:numPr>
          <w:ilvl w:val="0"/>
          <w:numId w:val="4"/>
        </w:numPr>
        <w:bidi w:val="0"/>
        <w:spacing w:line="520" w:lineRule="exact"/>
        <w:ind w:left="0" w:leftChars="0" w:firstLine="0" w:firstLineChars="0"/>
        <w:rPr>
          <w:rFonts w:hint="eastAsia" w:ascii="Times New Roman" w:hAnsi="Times New Roman" w:eastAsia="宋体" w:cs="Times New Roman"/>
          <w:b/>
          <w:sz w:val="30"/>
          <w:szCs w:val="30"/>
          <w:u w:val="none" w:color="auto"/>
          <w:lang w:val="en-US" w:eastAsia="zh-CN"/>
        </w:rPr>
      </w:pPr>
      <w:r>
        <w:rPr>
          <w:rFonts w:hint="eastAsia" w:ascii="Times New Roman" w:hAnsi="Times New Roman" w:eastAsia="宋体" w:cs="Times New Roman"/>
          <w:b/>
          <w:sz w:val="30"/>
          <w:szCs w:val="30"/>
          <w:u w:val="none" w:color="auto"/>
          <w:lang w:val="en-US" w:eastAsia="zh-CN"/>
        </w:rPr>
        <w:t>项目风险管理</w:t>
      </w:r>
    </w:p>
    <w:p w14:paraId="419E35BB">
      <w:pPr>
        <w:pStyle w:val="128"/>
        <w:numPr>
          <w:ilvl w:val="2"/>
          <w:numId w:val="0"/>
        </w:numPr>
        <w:bidi w:val="0"/>
        <w:ind w:leftChars="0"/>
        <w:outlineLvl w:val="2"/>
        <w:rPr>
          <w:rFonts w:hint="eastAsia" w:ascii="Times New Roman" w:hAnsi="Times New Roman" w:eastAsia="宋体" w:cs="Times New Roman"/>
          <w:color w:val="auto"/>
          <w:spacing w:val="0"/>
          <w:w w:val="100"/>
          <w:kern w:val="21"/>
          <w:position w:val="0"/>
          <w:u w:val="none" w:color="auto"/>
          <w:lang w:val="en-US" w:eastAsia="zh-CN"/>
        </w:rPr>
      </w:pPr>
      <w:r>
        <w:rPr>
          <w:rFonts w:hint="eastAsia" w:ascii="Times New Roman" w:hAnsi="Times New Roman" w:eastAsia="宋体" w:cs="Times New Roman"/>
          <w:color w:val="auto"/>
          <w:spacing w:val="0"/>
          <w:w w:val="100"/>
          <w:kern w:val="21"/>
          <w:position w:val="0"/>
          <w:u w:val="none" w:color="auto"/>
          <w:lang w:val="en-US" w:eastAsia="zh-CN"/>
        </w:rPr>
        <w:t>9.1环境风险管理目标</w:t>
      </w:r>
    </w:p>
    <w:p w14:paraId="50AB61E0">
      <w:pPr>
        <w:spacing w:line="460" w:lineRule="exact"/>
        <w:ind w:firstLine="480" w:firstLineChars="200"/>
        <w:rPr>
          <w:rFonts w:hint="default" w:ascii="Times New Roman" w:hAnsi="Times New Roman" w:eastAsia="宋体" w:cs="Times New Roman"/>
          <w:color w:val="000000"/>
          <w:sz w:val="24"/>
          <w:u w:val="none" w:color="auto"/>
          <w:lang w:val="en-US" w:eastAsia="zh-CN"/>
        </w:rPr>
      </w:pPr>
      <w:r>
        <w:rPr>
          <w:rFonts w:hint="default" w:ascii="Times New Roman" w:hAnsi="Times New Roman" w:eastAsia="宋体" w:cs="Times New Roman"/>
          <w:color w:val="000000"/>
          <w:sz w:val="24"/>
          <w:u w:val="none" w:color="auto"/>
          <w:lang w:val="en-US" w:eastAsia="zh-CN"/>
        </w:rPr>
        <w:t>环境风险管理目标是采用最低合理可行原则（as low as reasonable practicable，ALARP）管控环境风险。采取的环境风险防范措施应与社会经济技术发展水平相适应，运用科学的技术手段和管理方法，对环境风险进行有效的预防、监控、响应。</w:t>
      </w:r>
    </w:p>
    <w:p w14:paraId="0C39FB0E">
      <w:pPr>
        <w:pStyle w:val="128"/>
        <w:numPr>
          <w:ilvl w:val="2"/>
          <w:numId w:val="0"/>
        </w:numPr>
        <w:bidi w:val="0"/>
        <w:ind w:leftChars="0"/>
        <w:outlineLvl w:val="2"/>
        <w:rPr>
          <w:rFonts w:hint="eastAsia" w:ascii="Times New Roman" w:hAnsi="Times New Roman" w:eastAsia="宋体" w:cs="Times New Roman"/>
          <w:color w:val="auto"/>
          <w:spacing w:val="0"/>
          <w:w w:val="100"/>
          <w:kern w:val="21"/>
          <w:position w:val="0"/>
          <w:u w:val="none" w:color="auto"/>
          <w:lang w:val="en-US" w:eastAsia="zh-CN"/>
        </w:rPr>
      </w:pPr>
      <w:r>
        <w:rPr>
          <w:rFonts w:hint="eastAsia" w:ascii="Times New Roman" w:hAnsi="Times New Roman" w:eastAsia="宋体" w:cs="Times New Roman"/>
          <w:color w:val="auto"/>
          <w:spacing w:val="0"/>
          <w:w w:val="100"/>
          <w:kern w:val="21"/>
          <w:position w:val="0"/>
          <w:u w:val="none" w:color="auto"/>
          <w:lang w:val="en-US" w:eastAsia="zh-CN"/>
        </w:rPr>
        <w:t>9.2大气环境风险防范措施</w:t>
      </w:r>
    </w:p>
    <w:p w14:paraId="12D20008">
      <w:pPr>
        <w:spacing w:line="460" w:lineRule="exact"/>
        <w:ind w:left="0" w:leftChars="0" w:firstLine="480" w:firstLineChars="200"/>
        <w:rPr>
          <w:rFonts w:hint="eastAsia" w:cs="Times New Roman"/>
          <w:color w:val="000000"/>
          <w:sz w:val="24"/>
          <w:u w:val="none" w:color="auto"/>
          <w:lang w:val="en-US" w:eastAsia="zh-CN"/>
        </w:rPr>
      </w:pPr>
      <w:r>
        <w:rPr>
          <w:rFonts w:hint="eastAsia" w:cs="Times New Roman"/>
          <w:color w:val="000000"/>
          <w:sz w:val="24"/>
          <w:u w:val="none" w:color="auto"/>
          <w:lang w:val="en-US" w:eastAsia="zh-CN"/>
        </w:rPr>
        <w:t>拟建项目采取了成熟有效的安全风险防范措施以降低事故发生的概率，而环境风险评价内容是事故发生后对外界环境造成的危害，因此工程在采取一系列的安全风险防范措施的基础上，还需采取合理的环境风险防范措施，以降低事故对外界环境造成的影响。</w:t>
      </w:r>
    </w:p>
    <w:p w14:paraId="4EA18CE6">
      <w:pPr>
        <w:spacing w:line="460" w:lineRule="exact"/>
        <w:ind w:left="0" w:leftChars="0" w:firstLine="0" w:firstLineChars="0"/>
        <w:rPr>
          <w:rFonts w:hint="eastAsia" w:cs="Times New Roman"/>
          <w:color w:val="000000"/>
          <w:sz w:val="24"/>
          <w:u w:val="none" w:color="auto"/>
          <w:lang w:val="en-US" w:eastAsia="zh-CN"/>
        </w:rPr>
      </w:pPr>
      <w:r>
        <w:rPr>
          <w:rFonts w:hint="eastAsia" w:cs="Times New Roman"/>
          <w:color w:val="000000"/>
          <w:sz w:val="24"/>
          <w:u w:val="none" w:color="auto"/>
          <w:lang w:val="en-US" w:eastAsia="zh-CN"/>
        </w:rPr>
        <w:t>（一）企业设计的风险防范措施</w:t>
      </w:r>
    </w:p>
    <w:p w14:paraId="523E34D9">
      <w:pPr>
        <w:spacing w:line="460" w:lineRule="exact"/>
        <w:ind w:left="0" w:leftChars="0" w:firstLine="480" w:firstLineChars="200"/>
        <w:rPr>
          <w:rFonts w:hint="eastAsia" w:cs="Times New Roman"/>
          <w:color w:val="000000"/>
          <w:sz w:val="24"/>
          <w:u w:val="none" w:color="auto"/>
          <w:lang w:val="en-US" w:eastAsia="zh-CN"/>
        </w:rPr>
      </w:pPr>
      <w:r>
        <w:rPr>
          <w:rFonts w:hint="eastAsia" w:cs="Times New Roman"/>
          <w:color w:val="000000"/>
          <w:sz w:val="24"/>
          <w:u w:val="none" w:color="auto"/>
          <w:lang w:val="en-US" w:eastAsia="zh-CN"/>
        </w:rPr>
        <w:t>针对危险物质所在生产区、事故应急池，设计了以下措施以减少环境风险的发生。</w:t>
      </w:r>
    </w:p>
    <w:p w14:paraId="4763F2C9">
      <w:pPr>
        <w:pStyle w:val="124"/>
        <w:bidi w:val="0"/>
        <w:jc w:val="center"/>
        <w:rPr>
          <w:rFonts w:hint="eastAsia" w:cs="Times New Roman"/>
          <w:color w:val="auto"/>
          <w:spacing w:val="0"/>
          <w:w w:val="100"/>
          <w:kern w:val="21"/>
          <w:position w:val="0"/>
          <w:u w:val="none" w:color="auto"/>
          <w:lang w:val="en-US" w:eastAsia="zh-CN"/>
        </w:rPr>
      </w:pPr>
      <w:r>
        <w:rPr>
          <w:rFonts w:hint="eastAsia" w:cs="Times New Roman"/>
          <w:color w:val="auto"/>
          <w:spacing w:val="0"/>
          <w:w w:val="100"/>
          <w:kern w:val="21"/>
          <w:position w:val="0"/>
          <w:u w:val="none" w:color="auto"/>
          <w:lang w:val="en-US" w:eastAsia="zh-CN"/>
        </w:rPr>
        <w:t xml:space="preserve">    拟建项目采取的风险防范措施一览表</w:t>
      </w:r>
    </w:p>
    <w:tbl>
      <w:tblPr>
        <w:tblStyle w:val="114"/>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06"/>
        <w:gridCol w:w="8036"/>
      </w:tblGrid>
      <w:tr w14:paraId="12D2D73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6" w:type="dxa"/>
            <w:tcBorders>
              <w:tl2br w:val="nil"/>
              <w:tr2bl w:val="nil"/>
            </w:tcBorders>
            <w:noWrap w:val="0"/>
            <w:vAlign w:val="center"/>
          </w:tcPr>
          <w:p w14:paraId="103E99B6">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b/>
                <w:bCs/>
                <w:spacing w:val="0"/>
                <w:w w:val="100"/>
                <w:kern w:val="21"/>
                <w:position w:val="0"/>
                <w:sz w:val="21"/>
                <w:szCs w:val="21"/>
                <w:u w:val="none" w:color="auto"/>
              </w:rPr>
            </w:pPr>
            <w:r>
              <w:rPr>
                <w:b/>
                <w:bCs/>
                <w:spacing w:val="0"/>
                <w:w w:val="100"/>
                <w:kern w:val="21"/>
                <w:position w:val="0"/>
                <w:sz w:val="21"/>
                <w:szCs w:val="21"/>
                <w:u w:val="none" w:color="auto"/>
              </w:rPr>
              <w:t>节点</w:t>
            </w:r>
          </w:p>
        </w:tc>
        <w:tc>
          <w:tcPr>
            <w:tcW w:w="8036" w:type="dxa"/>
            <w:tcBorders>
              <w:tl2br w:val="nil"/>
              <w:tr2bl w:val="nil"/>
            </w:tcBorders>
            <w:noWrap w:val="0"/>
            <w:vAlign w:val="center"/>
          </w:tcPr>
          <w:p w14:paraId="5F0011F0">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b/>
                <w:bCs/>
                <w:spacing w:val="0"/>
                <w:w w:val="100"/>
                <w:kern w:val="21"/>
                <w:position w:val="0"/>
                <w:sz w:val="21"/>
                <w:szCs w:val="21"/>
                <w:u w:val="none" w:color="auto"/>
              </w:rPr>
            </w:pPr>
            <w:r>
              <w:rPr>
                <w:b/>
                <w:bCs/>
                <w:spacing w:val="0"/>
                <w:w w:val="100"/>
                <w:kern w:val="21"/>
                <w:position w:val="0"/>
                <w:sz w:val="21"/>
                <w:szCs w:val="21"/>
                <w:u w:val="none" w:color="auto"/>
              </w:rPr>
              <w:t>防范措施</w:t>
            </w:r>
          </w:p>
        </w:tc>
      </w:tr>
      <w:tr w14:paraId="1D4348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6" w:type="dxa"/>
            <w:tcBorders>
              <w:tl2br w:val="nil"/>
              <w:tr2bl w:val="nil"/>
            </w:tcBorders>
            <w:noWrap w:val="0"/>
            <w:vAlign w:val="center"/>
          </w:tcPr>
          <w:p w14:paraId="550179BB">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spacing w:val="0"/>
                <w:w w:val="100"/>
                <w:kern w:val="21"/>
                <w:position w:val="0"/>
                <w:sz w:val="21"/>
                <w:szCs w:val="21"/>
                <w:u w:val="none" w:color="auto"/>
              </w:rPr>
            </w:pPr>
            <w:r>
              <w:rPr>
                <w:spacing w:val="0"/>
                <w:w w:val="100"/>
                <w:kern w:val="21"/>
                <w:position w:val="0"/>
                <w:sz w:val="21"/>
                <w:szCs w:val="21"/>
                <w:u w:val="none" w:color="auto"/>
              </w:rPr>
              <w:t>生产区</w:t>
            </w:r>
          </w:p>
        </w:tc>
        <w:tc>
          <w:tcPr>
            <w:tcW w:w="8036" w:type="dxa"/>
            <w:tcBorders>
              <w:tl2br w:val="nil"/>
              <w:tr2bl w:val="nil"/>
            </w:tcBorders>
            <w:noWrap w:val="0"/>
            <w:vAlign w:val="center"/>
          </w:tcPr>
          <w:p w14:paraId="7C610503">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left"/>
              <w:textAlignment w:val="auto"/>
              <w:rPr>
                <w:spacing w:val="0"/>
                <w:w w:val="100"/>
                <w:kern w:val="21"/>
                <w:position w:val="0"/>
                <w:sz w:val="21"/>
                <w:szCs w:val="21"/>
                <w:u w:val="none" w:color="auto"/>
              </w:rPr>
            </w:pPr>
            <w:r>
              <w:rPr>
                <w:spacing w:val="0"/>
                <w:w w:val="100"/>
                <w:kern w:val="21"/>
                <w:position w:val="0"/>
                <w:sz w:val="21"/>
                <w:szCs w:val="21"/>
                <w:u w:val="none" w:color="auto"/>
              </w:rPr>
              <w:t>车间视频监控，同时配置喷淋，尾气处理装置。配置相应堵漏、洗消、应急监测及安全防护应急物资。</w:t>
            </w:r>
          </w:p>
        </w:tc>
      </w:tr>
      <w:tr w14:paraId="3972D6C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06" w:type="dxa"/>
            <w:tcBorders>
              <w:tl2br w:val="nil"/>
              <w:tr2bl w:val="nil"/>
            </w:tcBorders>
            <w:noWrap w:val="0"/>
            <w:vAlign w:val="center"/>
          </w:tcPr>
          <w:p w14:paraId="6C94BCB3">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spacing w:val="0"/>
                <w:w w:val="100"/>
                <w:kern w:val="21"/>
                <w:position w:val="0"/>
                <w:sz w:val="21"/>
                <w:szCs w:val="21"/>
                <w:u w:val="none" w:color="auto"/>
              </w:rPr>
            </w:pPr>
            <w:r>
              <w:rPr>
                <w:spacing w:val="0"/>
                <w:w w:val="100"/>
                <w:kern w:val="21"/>
                <w:position w:val="0"/>
                <w:sz w:val="21"/>
                <w:szCs w:val="21"/>
                <w:u w:val="none" w:color="auto"/>
              </w:rPr>
              <w:t>事故应急池</w:t>
            </w:r>
          </w:p>
        </w:tc>
        <w:tc>
          <w:tcPr>
            <w:tcW w:w="8036" w:type="dxa"/>
            <w:tcBorders>
              <w:tl2br w:val="nil"/>
              <w:tr2bl w:val="nil"/>
            </w:tcBorders>
            <w:noWrap w:val="0"/>
            <w:vAlign w:val="center"/>
          </w:tcPr>
          <w:p w14:paraId="1CDEC7B3">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left"/>
              <w:textAlignment w:val="auto"/>
              <w:rPr>
                <w:spacing w:val="0"/>
                <w:w w:val="100"/>
                <w:kern w:val="21"/>
                <w:position w:val="0"/>
                <w:sz w:val="21"/>
                <w:szCs w:val="21"/>
                <w:u w:val="none" w:color="auto"/>
              </w:rPr>
            </w:pPr>
            <w:r>
              <w:rPr>
                <w:rFonts w:hint="eastAsia" w:ascii="Times New Roman" w:hAnsi="Times New Roman" w:eastAsia="宋体" w:cs="Times New Roman"/>
                <w:spacing w:val="0"/>
                <w:w w:val="100"/>
                <w:kern w:val="21"/>
                <w:position w:val="0"/>
                <w:sz w:val="21"/>
                <w:szCs w:val="21"/>
                <w:u w:val="none" w:color="auto"/>
                <w:lang w:val="en-US" w:eastAsia="zh-CN"/>
              </w:rPr>
              <w:t>建设</w:t>
            </w:r>
            <w:r>
              <w:rPr>
                <w:rFonts w:ascii="Times New Roman" w:hAnsi="Times New Roman" w:eastAsia="Times New Roman" w:cs="Times New Roman"/>
                <w:spacing w:val="0"/>
                <w:w w:val="100"/>
                <w:kern w:val="21"/>
                <w:position w:val="0"/>
                <w:sz w:val="21"/>
                <w:szCs w:val="21"/>
                <w:u w:val="none" w:color="auto"/>
              </w:rPr>
              <w:t>1</w:t>
            </w:r>
            <w:r>
              <w:rPr>
                <w:spacing w:val="0"/>
                <w:w w:val="100"/>
                <w:kern w:val="21"/>
                <w:position w:val="0"/>
                <w:sz w:val="21"/>
                <w:szCs w:val="21"/>
                <w:u w:val="none" w:color="auto"/>
              </w:rPr>
              <w:t>座</w:t>
            </w:r>
            <w:r>
              <w:rPr>
                <w:rFonts w:hint="eastAsia" w:ascii="Times New Roman" w:hAnsi="Times New Roman" w:eastAsia="宋体" w:cs="Times New Roman"/>
                <w:spacing w:val="0"/>
                <w:w w:val="100"/>
                <w:kern w:val="21"/>
                <w:position w:val="0"/>
                <w:sz w:val="21"/>
                <w:szCs w:val="21"/>
                <w:u w:val="none" w:color="auto"/>
                <w:lang w:val="en-US" w:eastAsia="zh-CN"/>
              </w:rPr>
              <w:t>200</w:t>
            </w:r>
            <w:r>
              <w:rPr>
                <w:rFonts w:ascii="Times New Roman" w:hAnsi="Times New Roman" w:eastAsia="Times New Roman" w:cs="Times New Roman"/>
                <w:spacing w:val="0"/>
                <w:w w:val="100"/>
                <w:kern w:val="21"/>
                <w:position w:val="0"/>
                <w:sz w:val="21"/>
                <w:szCs w:val="21"/>
                <w:u w:val="none" w:color="auto"/>
              </w:rPr>
              <w:t>m</w:t>
            </w:r>
            <w:r>
              <w:rPr>
                <w:rFonts w:ascii="Times New Roman" w:hAnsi="Times New Roman" w:eastAsia="Times New Roman" w:cs="Times New Roman"/>
                <w:spacing w:val="0"/>
                <w:w w:val="100"/>
                <w:kern w:val="21"/>
                <w:position w:val="0"/>
                <w:sz w:val="21"/>
                <w:szCs w:val="21"/>
                <w:u w:val="none" w:color="auto"/>
                <w:vertAlign w:val="superscript"/>
              </w:rPr>
              <w:t>3</w:t>
            </w:r>
            <w:r>
              <w:rPr>
                <w:spacing w:val="0"/>
                <w:w w:val="100"/>
                <w:kern w:val="21"/>
                <w:position w:val="0"/>
                <w:sz w:val="21"/>
                <w:szCs w:val="21"/>
                <w:u w:val="none" w:color="auto"/>
              </w:rPr>
              <w:t>的事故应急池，位于厂区东侧，处于地势下游，已配套防腐防渗，设置人工手动切断阀门。</w:t>
            </w:r>
          </w:p>
          <w:p w14:paraId="3F91E860">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left"/>
              <w:textAlignment w:val="auto"/>
              <w:rPr>
                <w:spacing w:val="0"/>
                <w:w w:val="100"/>
                <w:kern w:val="21"/>
                <w:position w:val="0"/>
                <w:sz w:val="21"/>
                <w:szCs w:val="21"/>
                <w:u w:val="none" w:color="auto"/>
              </w:rPr>
            </w:pPr>
            <w:r>
              <w:rPr>
                <w:spacing w:val="0"/>
                <w:w w:val="100"/>
                <w:kern w:val="21"/>
                <w:position w:val="0"/>
                <w:sz w:val="21"/>
                <w:szCs w:val="21"/>
                <w:u w:val="none" w:color="auto"/>
              </w:rPr>
              <w:t>配置相应堵漏、截流、应急监测应急物资。</w:t>
            </w:r>
          </w:p>
        </w:tc>
      </w:tr>
    </w:tbl>
    <w:p w14:paraId="14DE13C7">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cs="Times New Roman"/>
          <w:color w:val="000000"/>
          <w:sz w:val="24"/>
          <w:u w:val="none" w:color="auto"/>
          <w:lang w:val="en-US" w:eastAsia="zh-CN"/>
        </w:rPr>
      </w:pPr>
      <w:r>
        <w:rPr>
          <w:rFonts w:hint="eastAsia" w:cs="Times New Roman"/>
          <w:color w:val="000000"/>
          <w:sz w:val="24"/>
          <w:u w:val="none" w:color="auto"/>
          <w:lang w:val="en-US" w:eastAsia="zh-CN"/>
        </w:rPr>
        <w:t>（二）防止事故污染物向环境转移防范措施</w:t>
      </w:r>
    </w:p>
    <w:p w14:paraId="1757FEC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color w:val="000000"/>
          <w:kern w:val="0"/>
          <w:sz w:val="24"/>
          <w:szCs w:val="24"/>
          <w:u w:val="none" w:color="auto"/>
          <w:lang w:val="en-US" w:eastAsia="zh-CN"/>
        </w:rPr>
      </w:pPr>
      <w:r>
        <w:rPr>
          <w:rFonts w:hint="eastAsia" w:ascii="Times New Roman" w:hAnsi="Times New Roman" w:eastAsia="宋体" w:cs="Times New Roman"/>
          <w:color w:val="000000"/>
          <w:kern w:val="0"/>
          <w:sz w:val="24"/>
          <w:szCs w:val="24"/>
          <w:u w:val="none" w:color="auto"/>
          <w:lang w:val="en-US" w:eastAsia="zh-CN"/>
        </w:rPr>
        <w:t>（1）防止事故气态污染物向环境转移防范措施</w:t>
      </w:r>
    </w:p>
    <w:p w14:paraId="04F4F6E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color w:val="000000"/>
          <w:kern w:val="0"/>
          <w:sz w:val="24"/>
          <w:szCs w:val="24"/>
          <w:u w:val="none" w:color="auto"/>
          <w:lang w:val="en-US" w:eastAsia="zh-CN"/>
        </w:rPr>
      </w:pPr>
      <w:r>
        <w:rPr>
          <w:rFonts w:hint="eastAsia" w:ascii="Times New Roman" w:hAnsi="Times New Roman" w:eastAsia="宋体" w:cs="Times New Roman"/>
          <w:color w:val="000000"/>
          <w:kern w:val="0"/>
          <w:sz w:val="24"/>
          <w:szCs w:val="24"/>
          <w:u w:val="none" w:color="auto"/>
          <w:lang w:val="en-US" w:eastAsia="zh-CN"/>
        </w:rPr>
        <w:t>事故发生后，根据气象条件和实际泄漏情况，明确可能受影响区域及区域环境状况，建立警戒区，并在通往事故现场的主干道施行交通管制，设立警示标志，并有专人警戒，根据泄漏情况迅速将可能受影响区域的人员撤离至安全区，并进行隔离，严格限制出入；对应急产生的事故废水进行预处理后排至厂区污水处理站处理，经过外排废水监测系统，确保废水达标排放，对于采用吸附剂或其他洗消物形成的固态物质将交由有资质的单位处理处置，同时启动应急监测及必要的环境影响评估。</w:t>
      </w:r>
    </w:p>
    <w:p w14:paraId="5C04862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color w:val="000000"/>
          <w:kern w:val="0"/>
          <w:sz w:val="24"/>
          <w:szCs w:val="24"/>
          <w:u w:val="none" w:color="auto"/>
          <w:lang w:val="en-US" w:eastAsia="zh-CN"/>
        </w:rPr>
      </w:pPr>
      <w:r>
        <w:rPr>
          <w:rFonts w:hint="eastAsia" w:ascii="Times New Roman" w:hAnsi="Times New Roman" w:eastAsia="宋体" w:cs="Times New Roman"/>
          <w:color w:val="000000"/>
          <w:kern w:val="0"/>
          <w:sz w:val="24"/>
          <w:szCs w:val="24"/>
          <w:u w:val="none" w:color="auto"/>
          <w:lang w:val="en-US" w:eastAsia="zh-CN"/>
        </w:rPr>
        <w:t>（2）防止事故伴生/次生污染物向环境转移防范措施</w:t>
      </w:r>
    </w:p>
    <w:p w14:paraId="5B39C236">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imes New Roman" w:hAnsi="Times New Roman" w:eastAsia="宋体" w:cs="Times New Roman"/>
          <w:color w:val="000000"/>
          <w:sz w:val="24"/>
          <w:u w:val="none" w:color="auto"/>
          <w:lang w:val="en-US" w:eastAsia="zh-CN"/>
        </w:rPr>
      </w:pPr>
      <w:r>
        <w:rPr>
          <w:rFonts w:hint="eastAsia" w:ascii="Times New Roman" w:hAnsi="Times New Roman" w:eastAsia="宋体" w:cs="Times New Roman"/>
          <w:color w:val="000000"/>
          <w:kern w:val="0"/>
          <w:sz w:val="24"/>
          <w:szCs w:val="24"/>
          <w:u w:val="none" w:color="auto"/>
          <w:lang w:val="en-US" w:eastAsia="zh-CN"/>
        </w:rPr>
        <w:t>当仓库或装置危险物质泄漏引发火灾爆炸时，对临近的设备必须采用水幕进行冷却保护，防止类似的连锁效应，同时对其他临近的设备采取同样的冷却保护措施。对于火灾爆炸过程伴生的气体，大部分是燃烧后生成的CO以及部分未燃烧的物料，会通过消防</w:t>
      </w:r>
      <w:r>
        <w:rPr>
          <w:rFonts w:hint="eastAsia" w:ascii="Times New Roman" w:hAnsi="Times New Roman" w:eastAsia="宋体" w:cs="Times New Roman"/>
          <w:color w:val="000000"/>
          <w:sz w:val="24"/>
          <w:u w:val="none" w:color="auto"/>
          <w:lang w:val="en-US" w:eastAsia="zh-CN"/>
        </w:rPr>
        <w:t>水吸收或被消防泡沫覆盖，减少对大气环境的污染。</w:t>
      </w:r>
    </w:p>
    <w:p w14:paraId="3BFA7584">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imes New Roman" w:hAnsi="Times New Roman" w:eastAsia="宋体" w:cs="Times New Roman"/>
          <w:color w:val="000000"/>
          <w:sz w:val="24"/>
          <w:u w:val="none" w:color="auto"/>
          <w:lang w:val="en-US" w:eastAsia="zh-CN"/>
        </w:rPr>
      </w:pPr>
      <w:r>
        <w:rPr>
          <w:rFonts w:hint="eastAsia" w:ascii="Times New Roman" w:hAnsi="Times New Roman" w:eastAsia="宋体" w:cs="Times New Roman"/>
          <w:color w:val="000000"/>
          <w:sz w:val="24"/>
          <w:u w:val="none" w:color="auto"/>
          <w:lang w:val="en-US" w:eastAsia="zh-CN"/>
        </w:rPr>
        <w:t>（3）事故污染物一旦进入环境后的消除措施</w:t>
      </w:r>
    </w:p>
    <w:p w14:paraId="48D32A8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imes New Roman" w:hAnsi="Times New Roman" w:eastAsia="宋体" w:cs="Times New Roman"/>
          <w:color w:val="000000"/>
          <w:sz w:val="24"/>
          <w:u w:val="none" w:color="auto"/>
          <w:lang w:val="en-US" w:eastAsia="zh-CN"/>
        </w:rPr>
      </w:pPr>
      <w:r>
        <w:rPr>
          <w:rFonts w:hint="eastAsia" w:ascii="Times New Roman" w:hAnsi="Times New Roman" w:eastAsia="宋体" w:cs="Times New Roman"/>
          <w:color w:val="000000"/>
          <w:sz w:val="24"/>
          <w:u w:val="none" w:color="auto"/>
          <w:lang w:val="en-US" w:eastAsia="zh-CN"/>
        </w:rPr>
        <w:t>为了防止毒物及其次生的污染物危害环境，在事故消防救火过程中，设置水幕并在消防水中加入消毒剂，减少次生危害。</w:t>
      </w:r>
    </w:p>
    <w:p w14:paraId="6961CEFC">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imes New Roman" w:hAnsi="Times New Roman" w:eastAsia="宋体" w:cs="Times New Roman"/>
          <w:color w:val="000000"/>
          <w:sz w:val="24"/>
          <w:u w:val="none" w:color="auto"/>
          <w:lang w:val="en-US" w:eastAsia="zh-CN"/>
        </w:rPr>
      </w:pPr>
      <w:r>
        <w:rPr>
          <w:rFonts w:hint="eastAsia" w:ascii="Times New Roman" w:hAnsi="Times New Roman" w:eastAsia="宋体" w:cs="Times New Roman"/>
          <w:color w:val="000000"/>
          <w:sz w:val="24"/>
          <w:u w:val="none" w:color="auto"/>
          <w:lang w:val="en-US" w:eastAsia="zh-CN"/>
        </w:rPr>
        <w:t>（4）危险物质应急监测</w:t>
      </w:r>
    </w:p>
    <w:p w14:paraId="78C1A25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imes New Roman" w:hAnsi="Times New Roman" w:eastAsia="宋体" w:cs="Times New Roman"/>
          <w:color w:val="000000"/>
          <w:sz w:val="24"/>
          <w:u w:val="none" w:color="auto"/>
          <w:lang w:val="en-US" w:eastAsia="zh-CN"/>
        </w:rPr>
      </w:pPr>
      <w:r>
        <w:rPr>
          <w:rFonts w:hint="eastAsia" w:ascii="Times New Roman" w:hAnsi="Times New Roman" w:eastAsia="宋体" w:cs="Times New Roman"/>
          <w:color w:val="000000"/>
          <w:sz w:val="24"/>
          <w:u w:val="none" w:color="auto"/>
          <w:lang w:val="en-US" w:eastAsia="zh-CN"/>
        </w:rPr>
        <w:t>针对拟建项目可能发生的主要事故类型结合重点风险源，制定应急监测计划，企业委托第三方或请求新乡市环境监测站等外部救援力量协助等形成具有拟建项目突发环境事件类型的应急监测队伍。</w:t>
      </w:r>
    </w:p>
    <w:p w14:paraId="6363FEB3">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imes New Roman" w:hAnsi="Times New Roman" w:eastAsia="宋体" w:cs="Times New Roman"/>
          <w:color w:val="000000"/>
          <w:sz w:val="24"/>
          <w:u w:val="none" w:color="auto"/>
          <w:lang w:val="en-US" w:eastAsia="zh-CN"/>
        </w:rPr>
      </w:pPr>
      <w:r>
        <w:rPr>
          <w:rFonts w:hint="eastAsia" w:ascii="Times New Roman" w:hAnsi="Times New Roman" w:eastAsia="宋体" w:cs="Times New Roman"/>
          <w:color w:val="000000"/>
          <w:sz w:val="24"/>
          <w:u w:val="none" w:color="auto"/>
          <w:lang w:val="en-US" w:eastAsia="zh-CN"/>
        </w:rPr>
        <w:t>发生事故后应急监测人员，应依据风险物质、事故发生类型、事故发生地等多方面因素考虑后，依据应急监测方案，开展大气环境、地表水环境、地下水环境以及土壤环境的应急监测，为了掌握事故发生后的污染程度、范围及变化趋势，需要实时进行连续的跟踪监测。应急监测全过程应在事发、事中和事后等不同阶段予以体现，具体监测方案及频率应结合企业突发事件应急预案和园区应急预案最终确定。</w:t>
      </w:r>
    </w:p>
    <w:p w14:paraId="5FC1615E">
      <w:pPr>
        <w:pStyle w:val="128"/>
        <w:numPr>
          <w:ilvl w:val="2"/>
          <w:numId w:val="0"/>
        </w:numPr>
        <w:bidi w:val="0"/>
        <w:ind w:leftChars="0"/>
        <w:outlineLvl w:val="2"/>
        <w:rPr>
          <w:rFonts w:hint="default" w:ascii="Times New Roman" w:hAnsi="Times New Roman" w:eastAsia="宋体" w:cs="Times New Roman"/>
          <w:color w:val="auto"/>
          <w:spacing w:val="0"/>
          <w:w w:val="100"/>
          <w:kern w:val="21"/>
          <w:position w:val="0"/>
          <w:u w:val="none" w:color="auto"/>
          <w:lang w:val="en-US" w:eastAsia="zh-CN"/>
        </w:rPr>
      </w:pPr>
      <w:r>
        <w:rPr>
          <w:rFonts w:hint="default" w:ascii="Times New Roman" w:hAnsi="Times New Roman" w:eastAsia="宋体" w:cs="Times New Roman"/>
          <w:color w:val="auto"/>
          <w:spacing w:val="0"/>
          <w:w w:val="100"/>
          <w:kern w:val="21"/>
          <w:position w:val="0"/>
          <w:u w:val="none" w:color="auto"/>
          <w:lang w:val="en-US" w:eastAsia="zh-CN"/>
        </w:rPr>
        <w:t>9.3事故废水风险防范措施</w:t>
      </w:r>
    </w:p>
    <w:p w14:paraId="3EF81DBA">
      <w:pPr>
        <w:keepNext w:val="0"/>
        <w:keepLines w:val="0"/>
        <w:pageBreakBefore w:val="0"/>
        <w:kinsoku/>
        <w:wordWrap/>
        <w:overflowPunct/>
        <w:autoSpaceDE/>
        <w:autoSpaceDN/>
        <w:bidi w:val="0"/>
        <w:spacing w:line="500" w:lineRule="exact"/>
        <w:ind w:left="0" w:leftChars="0" w:firstLine="480" w:firstLineChars="200"/>
        <w:textAlignment w:val="auto"/>
        <w:rPr>
          <w:rFonts w:hint="default" w:ascii="Times New Roman" w:hAnsi="Times New Roman" w:eastAsia="宋体" w:cs="Times New Roman"/>
          <w:color w:val="000000"/>
          <w:sz w:val="24"/>
          <w:u w:val="none" w:color="auto"/>
          <w:lang w:val="en-US" w:eastAsia="zh-CN"/>
        </w:rPr>
      </w:pPr>
      <w:r>
        <w:rPr>
          <w:rFonts w:hint="eastAsia" w:ascii="Times New Roman" w:hAnsi="Times New Roman" w:eastAsia="宋体" w:cs="Times New Roman"/>
          <w:color w:val="000000"/>
          <w:sz w:val="24"/>
          <w:u w:val="none" w:color="auto"/>
          <w:lang w:val="en-US" w:eastAsia="zh-CN"/>
        </w:rPr>
        <w:t>（1）事故池设立</w:t>
      </w:r>
    </w:p>
    <w:p w14:paraId="41725FDD">
      <w:pPr>
        <w:keepNext w:val="0"/>
        <w:keepLines w:val="0"/>
        <w:pageBreakBefore w:val="0"/>
        <w:kinsoku/>
        <w:wordWrap/>
        <w:overflowPunct/>
        <w:autoSpaceDE/>
        <w:autoSpaceDN/>
        <w:bidi w:val="0"/>
        <w:spacing w:line="500" w:lineRule="exact"/>
        <w:ind w:left="0" w:leftChars="0" w:firstLine="480" w:firstLineChars="200"/>
        <w:textAlignment w:val="auto"/>
        <w:rPr>
          <w:rFonts w:hint="eastAsia" w:ascii="宋体" w:hAnsi="宋体" w:eastAsia="宋体" w:cs="宋体"/>
          <w:color w:val="000000"/>
          <w:kern w:val="0"/>
          <w:sz w:val="24"/>
          <w:szCs w:val="24"/>
          <w:u w:val="none" w:color="auto"/>
          <w:lang w:val="en-US" w:eastAsia="zh-CN"/>
        </w:rPr>
      </w:pPr>
      <w:r>
        <w:rPr>
          <w:rFonts w:hint="eastAsia" w:ascii="Times New Roman" w:hAnsi="Times New Roman" w:eastAsia="宋体" w:cs="Times New Roman"/>
          <w:color w:val="000000"/>
          <w:sz w:val="24"/>
          <w:u w:val="none" w:color="auto"/>
          <w:lang w:val="en-US" w:eastAsia="zh-CN"/>
        </w:rPr>
        <w:t>本项目拟建事故废水收集池1座</w:t>
      </w:r>
      <w:r>
        <w:rPr>
          <w:rFonts w:hint="eastAsia" w:cs="Times New Roman"/>
          <w:color w:val="000000"/>
          <w:sz w:val="24"/>
          <w:u w:val="none" w:color="auto"/>
          <w:lang w:val="en-US" w:eastAsia="zh-CN"/>
        </w:rPr>
        <w:t>（容积为200m</w:t>
      </w:r>
      <w:r>
        <w:rPr>
          <w:rFonts w:hint="eastAsia" w:cs="Times New Roman"/>
          <w:color w:val="000000"/>
          <w:sz w:val="24"/>
          <w:u w:val="none" w:color="auto"/>
          <w:vertAlign w:val="superscript"/>
          <w:lang w:val="en-US" w:eastAsia="zh-CN"/>
        </w:rPr>
        <w:t>3</w:t>
      </w:r>
      <w:r>
        <w:rPr>
          <w:rFonts w:hint="eastAsia" w:cs="Times New Roman"/>
          <w:color w:val="000000"/>
          <w:sz w:val="24"/>
          <w:u w:val="none" w:color="auto"/>
          <w:lang w:val="en-US" w:eastAsia="zh-CN"/>
        </w:rPr>
        <w:t>）</w:t>
      </w:r>
      <w:r>
        <w:rPr>
          <w:rFonts w:hint="eastAsia" w:ascii="宋体" w:hAnsi="宋体" w:eastAsia="宋体" w:cs="宋体"/>
          <w:color w:val="000000"/>
          <w:kern w:val="0"/>
          <w:sz w:val="24"/>
          <w:szCs w:val="24"/>
          <w:u w:val="none" w:color="auto"/>
        </w:rPr>
        <w:t>等</w:t>
      </w:r>
      <w:r>
        <w:rPr>
          <w:rFonts w:hint="eastAsia" w:ascii="宋体" w:hAnsi="宋体" w:eastAsia="宋体" w:cs="宋体"/>
          <w:color w:val="000000"/>
          <w:kern w:val="0"/>
          <w:sz w:val="24"/>
          <w:szCs w:val="24"/>
          <w:u w:val="none" w:color="auto"/>
          <w:lang w:eastAsia="zh-CN"/>
        </w:rPr>
        <w:t>。</w:t>
      </w:r>
      <w:r>
        <w:rPr>
          <w:rFonts w:hint="eastAsia" w:ascii="宋体" w:hAnsi="宋体" w:eastAsia="宋体" w:cs="宋体"/>
          <w:color w:val="000000"/>
          <w:kern w:val="0"/>
          <w:sz w:val="24"/>
          <w:szCs w:val="24"/>
          <w:u w:val="none" w:color="auto"/>
          <w:lang w:val="en-US" w:eastAsia="zh-CN"/>
        </w:rPr>
        <w:t>事故废水收集池容积可满足事故废水的收集。</w:t>
      </w:r>
    </w:p>
    <w:p w14:paraId="6442ED58">
      <w:pPr>
        <w:keepNext w:val="0"/>
        <w:keepLines w:val="0"/>
        <w:pageBreakBefore w:val="0"/>
        <w:kinsoku/>
        <w:wordWrap/>
        <w:overflowPunct/>
        <w:autoSpaceDE/>
        <w:autoSpaceDN/>
        <w:bidi w:val="0"/>
        <w:spacing w:line="500" w:lineRule="exact"/>
        <w:ind w:firstLine="480" w:firstLineChars="200"/>
        <w:textAlignment w:val="auto"/>
        <w:rPr>
          <w:rFonts w:hint="default" w:ascii="Times New Roman" w:hAnsi="Times New Roman" w:eastAsia="宋体" w:cs="Times New Roman"/>
          <w:color w:val="000000"/>
          <w:sz w:val="24"/>
          <w:u w:val="none" w:color="auto"/>
          <w:lang w:val="en-US" w:eastAsia="zh-CN"/>
        </w:rPr>
      </w:pPr>
      <w:r>
        <w:rPr>
          <w:rFonts w:hint="eastAsia" w:ascii="Times New Roman" w:hAnsi="Times New Roman" w:eastAsia="宋体" w:cs="Times New Roman"/>
          <w:color w:val="000000"/>
          <w:sz w:val="24"/>
          <w:u w:val="none" w:color="auto"/>
          <w:lang w:val="en-US" w:eastAsia="zh-CN"/>
        </w:rPr>
        <w:t xml:space="preserve">6.3.1事故废水污染“三级防控系统” </w:t>
      </w:r>
    </w:p>
    <w:p w14:paraId="3CE2E1D8">
      <w:pPr>
        <w:keepNext w:val="0"/>
        <w:keepLines w:val="0"/>
        <w:pageBreakBefore w:val="0"/>
        <w:widowControl/>
        <w:kinsoku/>
        <w:wordWrap/>
        <w:overflowPunct/>
        <w:autoSpaceDE/>
        <w:autoSpaceDN/>
        <w:bidi w:val="0"/>
        <w:spacing w:line="500" w:lineRule="exact"/>
        <w:ind w:firstLine="480" w:firstLineChars="200"/>
        <w:textAlignment w:val="auto"/>
        <w:rPr>
          <w:rFonts w:ascii="宋体" w:hAnsi="宋体" w:eastAsia="宋体" w:cs="宋体"/>
          <w:color w:val="000000"/>
          <w:kern w:val="0"/>
          <w:sz w:val="24"/>
          <w:szCs w:val="24"/>
          <w:u w:val="none" w:color="auto"/>
        </w:rPr>
      </w:pPr>
      <w:r>
        <w:rPr>
          <w:rFonts w:hint="eastAsia" w:ascii="宋体" w:hAnsi="宋体" w:eastAsia="宋体" w:cs="宋体"/>
          <w:color w:val="000000"/>
          <w:kern w:val="0"/>
          <w:sz w:val="24"/>
          <w:szCs w:val="24"/>
          <w:u w:val="none" w:color="auto"/>
        </w:rPr>
        <w:t xml:space="preserve">按照《水体污染防控紧急措施设计导则》，评价要求项目设置环境风险事故水污染三级防控系统，防治环境风险事故造成水环境污染。 </w:t>
      </w:r>
    </w:p>
    <w:p w14:paraId="69A14CBE">
      <w:pPr>
        <w:keepNext w:val="0"/>
        <w:keepLines w:val="0"/>
        <w:pageBreakBefore w:val="0"/>
        <w:widowControl/>
        <w:kinsoku/>
        <w:wordWrap/>
        <w:overflowPunct/>
        <w:autoSpaceDE/>
        <w:autoSpaceDN/>
        <w:bidi w:val="0"/>
        <w:spacing w:line="500" w:lineRule="exact"/>
        <w:ind w:firstLine="480" w:firstLineChars="200"/>
        <w:textAlignment w:val="auto"/>
        <w:rPr>
          <w:rFonts w:ascii="宋体" w:hAnsi="宋体" w:eastAsia="宋体" w:cs="宋体"/>
          <w:color w:val="000000"/>
          <w:kern w:val="0"/>
          <w:sz w:val="24"/>
          <w:szCs w:val="24"/>
          <w:u w:val="none" w:color="auto"/>
        </w:rPr>
      </w:pPr>
      <w:r>
        <w:rPr>
          <w:rFonts w:hint="eastAsia" w:ascii="宋体" w:hAnsi="宋体" w:eastAsia="宋体" w:cs="宋体"/>
          <w:color w:val="000000"/>
          <w:kern w:val="0"/>
          <w:sz w:val="24"/>
          <w:szCs w:val="24"/>
          <w:u w:val="none" w:color="auto"/>
        </w:rPr>
        <w:t>（</w:t>
      </w:r>
      <w:r>
        <w:rPr>
          <w:rFonts w:ascii="Times New Roman" w:hAnsi="Times New Roman" w:eastAsia="宋体" w:cs="Times New Roman"/>
          <w:color w:val="000000"/>
          <w:kern w:val="0"/>
          <w:sz w:val="24"/>
          <w:szCs w:val="24"/>
          <w:u w:val="none" w:color="auto"/>
        </w:rPr>
        <w:t>1</w:t>
      </w:r>
      <w:r>
        <w:rPr>
          <w:rFonts w:hint="eastAsia" w:ascii="宋体" w:hAnsi="宋体" w:eastAsia="宋体" w:cs="宋体"/>
          <w:color w:val="000000"/>
          <w:kern w:val="0"/>
          <w:sz w:val="24"/>
          <w:szCs w:val="24"/>
          <w:u w:val="none" w:color="auto"/>
        </w:rPr>
        <w:t>）一级防控：根据《化工装置设备布置设计技术规定》、《石油化工企业设计防火规范》等要求，涉及有毒、腐蚀性或易燃易爆等危险性物质时，均应在其储罐区设置围堰，围堰应铺砌防蚀地面；本项目危险物质锰酸锂</w:t>
      </w:r>
      <w:r>
        <w:rPr>
          <w:rFonts w:hint="eastAsia" w:ascii="宋体" w:hAnsi="宋体" w:eastAsia="宋体" w:cs="宋体"/>
          <w:color w:val="000000"/>
          <w:kern w:val="0"/>
          <w:sz w:val="24"/>
          <w:szCs w:val="24"/>
          <w:u w:val="none" w:color="auto"/>
          <w:lang w:eastAsia="zh-CN"/>
        </w:rPr>
        <w:t>、镍钴锰酸锂</w:t>
      </w:r>
      <w:r>
        <w:rPr>
          <w:rFonts w:hint="eastAsia" w:ascii="宋体" w:hAnsi="宋体" w:eastAsia="宋体" w:cs="宋体"/>
          <w:color w:val="000000"/>
          <w:kern w:val="0"/>
          <w:sz w:val="24"/>
          <w:szCs w:val="24"/>
          <w:u w:val="none" w:color="auto"/>
        </w:rPr>
        <w:t>吨包储存在原料仓库内，原料仓库地面防渗硬化，一旦发现泄漏应迅速切断</w:t>
      </w:r>
      <w:r>
        <w:rPr>
          <w:rFonts w:hint="eastAsia" w:ascii="宋体" w:hAnsi="宋体" w:cs="宋体"/>
          <w:color w:val="000000"/>
          <w:kern w:val="0"/>
          <w:sz w:val="24"/>
          <w:szCs w:val="24"/>
          <w:u w:val="none" w:color="auto"/>
          <w:lang w:eastAsia="zh-CN"/>
        </w:rPr>
        <w:t>泄漏</w:t>
      </w:r>
      <w:r>
        <w:rPr>
          <w:rFonts w:hint="eastAsia" w:ascii="宋体" w:hAnsi="宋体" w:eastAsia="宋体" w:cs="宋体"/>
          <w:color w:val="000000"/>
          <w:kern w:val="0"/>
          <w:sz w:val="24"/>
          <w:szCs w:val="24"/>
          <w:u w:val="none" w:color="auto"/>
        </w:rPr>
        <w:t>源，若少量泄漏，避免扬尘，小心扫起。用洁净的铲子收集于干燥、洁净、有盖的容器中，转移至安全场所。若大量泄漏，用塑料布、帆布覆盖，收集回收或运至废物处理场所处置。在事故控制后，用水对污染的地面进行清洗，将清洗水送入事故池。</w:t>
      </w:r>
    </w:p>
    <w:p w14:paraId="0B731A28">
      <w:pPr>
        <w:keepNext w:val="0"/>
        <w:keepLines w:val="0"/>
        <w:pageBreakBefore w:val="0"/>
        <w:widowControl/>
        <w:kinsoku/>
        <w:wordWrap/>
        <w:overflowPunct/>
        <w:autoSpaceDE/>
        <w:autoSpaceDN/>
        <w:bidi w:val="0"/>
        <w:spacing w:line="500" w:lineRule="exact"/>
        <w:ind w:firstLine="480" w:firstLineChars="200"/>
        <w:textAlignment w:val="auto"/>
        <w:rPr>
          <w:rFonts w:ascii="宋体" w:hAnsi="宋体" w:eastAsia="宋体" w:cs="宋体"/>
          <w:color w:val="000000"/>
          <w:kern w:val="0"/>
          <w:sz w:val="24"/>
          <w:szCs w:val="24"/>
          <w:u w:val="none" w:color="auto"/>
        </w:rPr>
      </w:pPr>
      <w:r>
        <w:rPr>
          <w:rFonts w:hint="eastAsia" w:ascii="宋体" w:hAnsi="宋体" w:eastAsia="宋体" w:cs="宋体"/>
          <w:color w:val="000000"/>
          <w:kern w:val="0"/>
          <w:sz w:val="24"/>
          <w:szCs w:val="24"/>
          <w:u w:val="none" w:color="auto"/>
        </w:rPr>
        <w:t>（</w:t>
      </w:r>
      <w:r>
        <w:rPr>
          <w:rFonts w:ascii="Times New Roman" w:hAnsi="Times New Roman" w:eastAsia="宋体" w:cs="Times New Roman"/>
          <w:color w:val="000000"/>
          <w:kern w:val="0"/>
          <w:sz w:val="24"/>
          <w:szCs w:val="24"/>
          <w:u w:val="none" w:color="auto"/>
        </w:rPr>
        <w:t>2</w:t>
      </w:r>
      <w:r>
        <w:rPr>
          <w:rFonts w:hint="eastAsia" w:ascii="宋体" w:hAnsi="宋体" w:eastAsia="宋体" w:cs="宋体"/>
          <w:color w:val="000000"/>
          <w:kern w:val="0"/>
          <w:sz w:val="24"/>
          <w:szCs w:val="24"/>
          <w:u w:val="none" w:color="auto"/>
        </w:rPr>
        <w:t xml:space="preserve">）二级防控：设置区域截流分流设施，设置事故闸板，用于事故状态下的污水的收集，防治事故水的漫流。做到事故废水不出本项目装置区。 </w:t>
      </w:r>
    </w:p>
    <w:p w14:paraId="24CE41FD">
      <w:pPr>
        <w:keepNext w:val="0"/>
        <w:keepLines w:val="0"/>
        <w:pageBreakBefore w:val="0"/>
        <w:widowControl/>
        <w:kinsoku/>
        <w:wordWrap/>
        <w:overflowPunct/>
        <w:autoSpaceDE/>
        <w:autoSpaceDN/>
        <w:bidi w:val="0"/>
        <w:spacing w:line="500" w:lineRule="exact"/>
        <w:ind w:firstLine="480" w:firstLineChars="200"/>
        <w:textAlignment w:val="auto"/>
        <w:rPr>
          <w:rFonts w:hint="eastAsia" w:ascii="宋体" w:hAnsi="宋体" w:eastAsia="宋体" w:cs="宋体"/>
          <w:color w:val="000000"/>
          <w:kern w:val="0"/>
          <w:sz w:val="24"/>
          <w:szCs w:val="24"/>
          <w:u w:val="none" w:color="auto"/>
        </w:rPr>
      </w:pPr>
      <w:r>
        <w:rPr>
          <w:rFonts w:hint="eastAsia" w:ascii="宋体" w:hAnsi="宋体" w:eastAsia="宋体" w:cs="宋体"/>
          <w:color w:val="000000"/>
          <w:kern w:val="0"/>
          <w:sz w:val="24"/>
          <w:szCs w:val="24"/>
          <w:u w:val="none" w:color="auto"/>
        </w:rPr>
        <w:t>（</w:t>
      </w:r>
      <w:r>
        <w:rPr>
          <w:rFonts w:ascii="Times New Roman" w:hAnsi="Times New Roman" w:eastAsia="宋体" w:cs="Times New Roman"/>
          <w:color w:val="000000"/>
          <w:kern w:val="0"/>
          <w:sz w:val="24"/>
          <w:szCs w:val="24"/>
          <w:u w:val="none" w:color="auto"/>
        </w:rPr>
        <w:t>3</w:t>
      </w:r>
      <w:r>
        <w:rPr>
          <w:rFonts w:hint="eastAsia" w:ascii="宋体" w:hAnsi="宋体" w:eastAsia="宋体" w:cs="宋体"/>
          <w:color w:val="000000"/>
          <w:kern w:val="0"/>
          <w:sz w:val="24"/>
          <w:szCs w:val="24"/>
          <w:u w:val="none" w:color="auto"/>
        </w:rPr>
        <w:t>）三级防控：按照要求设置事故储池，事故池容积确定应执行的标准或规范主要有：《化工建设项目环境保护设计规范》（</w:t>
      </w:r>
      <w:r>
        <w:rPr>
          <w:rFonts w:ascii="Times New Roman" w:hAnsi="Times New Roman" w:eastAsia="宋体" w:cs="Times New Roman"/>
          <w:color w:val="000000"/>
          <w:kern w:val="0"/>
          <w:sz w:val="24"/>
          <w:szCs w:val="24"/>
          <w:u w:val="none" w:color="auto"/>
        </w:rPr>
        <w:t>GB50483-</w:t>
      </w:r>
      <w:r>
        <w:rPr>
          <w:rFonts w:hint="eastAsia" w:ascii="Times New Roman" w:hAnsi="Times New Roman" w:eastAsia="宋体" w:cs="Times New Roman"/>
          <w:color w:val="000000"/>
          <w:kern w:val="0"/>
          <w:sz w:val="24"/>
          <w:szCs w:val="24"/>
          <w:u w:val="none" w:color="auto"/>
          <w:lang w:val="en-US" w:eastAsia="zh-CN"/>
        </w:rPr>
        <w:t>2019</w:t>
      </w:r>
      <w:r>
        <w:rPr>
          <w:rFonts w:hint="eastAsia" w:ascii="宋体" w:hAnsi="宋体" w:eastAsia="宋体" w:cs="宋体"/>
          <w:color w:val="000000"/>
          <w:kern w:val="0"/>
          <w:sz w:val="24"/>
          <w:szCs w:val="24"/>
          <w:u w:val="none" w:color="auto"/>
        </w:rPr>
        <w:t>）、《事故状态下水体污染的预防与控制</w:t>
      </w:r>
      <w:r>
        <w:rPr>
          <w:rFonts w:hint="eastAsia" w:ascii="宋体" w:hAnsi="宋体" w:eastAsia="宋体" w:cs="宋体"/>
          <w:color w:val="000000"/>
          <w:kern w:val="0"/>
          <w:sz w:val="24"/>
          <w:szCs w:val="24"/>
          <w:u w:val="none" w:color="auto"/>
          <w:lang w:val="en-US" w:eastAsia="zh-CN"/>
        </w:rPr>
        <w:t>技术要求</w:t>
      </w:r>
      <w:r>
        <w:rPr>
          <w:rFonts w:hint="eastAsia" w:ascii="宋体" w:hAnsi="宋体" w:eastAsia="宋体" w:cs="宋体"/>
          <w:color w:val="000000"/>
          <w:kern w:val="0"/>
          <w:sz w:val="24"/>
          <w:szCs w:val="24"/>
          <w:u w:val="none" w:color="auto"/>
        </w:rPr>
        <w:t>》（</w:t>
      </w:r>
      <w:r>
        <w:rPr>
          <w:rFonts w:ascii="Times New Roman" w:hAnsi="Times New Roman" w:eastAsia="宋体" w:cs="Times New Roman"/>
          <w:color w:val="000000"/>
          <w:kern w:val="0"/>
          <w:sz w:val="24"/>
          <w:szCs w:val="24"/>
          <w:u w:val="none" w:color="auto"/>
        </w:rPr>
        <w:t>Q/SY1190-</w:t>
      </w:r>
      <w:r>
        <w:rPr>
          <w:rFonts w:hint="eastAsia" w:ascii="Times New Roman" w:hAnsi="Times New Roman" w:eastAsia="宋体" w:cs="Times New Roman"/>
          <w:color w:val="000000"/>
          <w:kern w:val="0"/>
          <w:sz w:val="24"/>
          <w:szCs w:val="24"/>
          <w:u w:val="none" w:color="auto"/>
          <w:lang w:val="en-US" w:eastAsia="zh-CN"/>
        </w:rPr>
        <w:t>2013</w:t>
      </w:r>
      <w:r>
        <w:rPr>
          <w:rFonts w:hint="eastAsia" w:ascii="宋体" w:hAnsi="宋体" w:eastAsia="宋体" w:cs="宋体"/>
          <w:color w:val="000000"/>
          <w:kern w:val="0"/>
          <w:sz w:val="24"/>
          <w:szCs w:val="24"/>
          <w:u w:val="none" w:color="auto"/>
        </w:rPr>
        <w:t>）等。将含污染物的事故水导入污水处理系统，将污染控制在厂内，防治重大事故泄漏物料和污染消防水造成的环境污染。三级防控系统设置图见图4。</w:t>
      </w:r>
    </w:p>
    <w:p w14:paraId="7EF82831">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color w:val="000000"/>
          <w:kern w:val="0"/>
          <w:sz w:val="24"/>
          <w:szCs w:val="24"/>
          <w:u w:val="none" w:color="auto"/>
        </w:rPr>
      </w:pPr>
      <w:r>
        <w:rPr>
          <w:rFonts w:hint="eastAsia" w:ascii="宋体" w:hAnsi="宋体" w:eastAsia="宋体" w:cs="宋体"/>
          <w:color w:val="000000"/>
          <w:kern w:val="0"/>
          <w:sz w:val="24"/>
          <w:szCs w:val="24"/>
          <w:u w:val="none" w:color="auto"/>
        </w:rPr>
        <w:t xml:space="preserve">本项目将严格按照三级防控系统原则，从原料库、装置区到事故池、装置区至污水处理终端输送管道等方面加强废水三级防控，确保废水不出装置区，出装置情况不出厂区，将废水截留在厂界内，降低区域事故废水风险，同时本项目建成后应确保废水处理达标后排入东孟姜女河，以保障地表水体安全。 </w:t>
      </w:r>
    </w:p>
    <w:p w14:paraId="1BCCC3E5">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u w:val="none" w:color="auto"/>
        </w:rPr>
      </w:pPr>
      <w:r>
        <w:rPr>
          <w:rFonts w:hint="eastAsia" w:ascii="宋体" w:hAnsi="宋体" w:eastAsia="宋体" w:cs="宋体"/>
          <w:color w:val="000000"/>
          <w:kern w:val="0"/>
          <w:sz w:val="24"/>
          <w:szCs w:val="24"/>
          <w:u w:val="none" w:color="auto"/>
        </w:rPr>
        <w:t>经采取以上水环境风险预防措施情况下，评价认为工程事故状态下废水可被有效收集及处理。</w:t>
      </w:r>
    </w:p>
    <w:p w14:paraId="6C4D1ACA">
      <w:pPr>
        <w:pStyle w:val="128"/>
        <w:numPr>
          <w:ilvl w:val="2"/>
          <w:numId w:val="0"/>
        </w:numPr>
        <w:bidi w:val="0"/>
        <w:ind w:leftChars="0"/>
        <w:outlineLvl w:val="2"/>
        <w:rPr>
          <w:rFonts w:hint="default" w:ascii="Times New Roman" w:hAnsi="Times New Roman" w:eastAsia="宋体" w:cs="Times New Roman"/>
          <w:color w:val="auto"/>
          <w:spacing w:val="0"/>
          <w:w w:val="100"/>
          <w:kern w:val="21"/>
          <w:position w:val="0"/>
          <w:u w:val="none" w:color="auto"/>
          <w:lang w:val="en-US" w:eastAsia="zh-CN"/>
        </w:rPr>
      </w:pPr>
      <w:r>
        <w:rPr>
          <w:rFonts w:hint="default" w:ascii="Times New Roman" w:hAnsi="Times New Roman" w:eastAsia="宋体" w:cs="Times New Roman"/>
          <w:color w:val="auto"/>
          <w:spacing w:val="0"/>
          <w:w w:val="100"/>
          <w:kern w:val="21"/>
          <w:position w:val="0"/>
          <w:u w:val="none" w:color="auto"/>
          <w:lang w:val="en-US" w:eastAsia="zh-CN"/>
        </w:rPr>
        <w:t>9.4地下水风险防范措施</w:t>
      </w:r>
    </w:p>
    <w:p w14:paraId="797FAFCD">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000000"/>
          <w:kern w:val="0"/>
          <w:sz w:val="24"/>
          <w:szCs w:val="24"/>
          <w:u w:val="none" w:color="auto"/>
          <w:lang w:val="en-US" w:eastAsia="zh-CN"/>
        </w:rPr>
      </w:pPr>
      <w:r>
        <w:rPr>
          <w:rFonts w:hint="default" w:ascii="Times New Roman" w:hAnsi="Times New Roman" w:eastAsia="宋体" w:cs="Times New Roman"/>
          <w:color w:val="000000"/>
          <w:kern w:val="0"/>
          <w:sz w:val="24"/>
          <w:szCs w:val="24"/>
          <w:u w:val="none" w:color="auto"/>
          <w:lang w:val="en-US" w:eastAsia="zh-CN"/>
        </w:rPr>
        <w:t>本项目不涉及地下水、土壤污染。厂区内地面已进行了水泥硬化及植被绿化，无大片裸露土地，对地下水、土壤造成影响较小。</w:t>
      </w:r>
    </w:p>
    <w:p w14:paraId="20F9CF7F">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000000"/>
          <w:kern w:val="0"/>
          <w:sz w:val="24"/>
          <w:szCs w:val="24"/>
          <w:u w:val="none" w:color="auto"/>
          <w:lang w:val="en-US" w:eastAsia="zh-CN"/>
        </w:rPr>
      </w:pPr>
      <w:r>
        <w:rPr>
          <w:rFonts w:hint="default" w:ascii="Times New Roman" w:hAnsi="Times New Roman" w:eastAsia="宋体" w:cs="Times New Roman"/>
          <w:color w:val="000000"/>
          <w:kern w:val="0"/>
          <w:sz w:val="24"/>
          <w:szCs w:val="24"/>
          <w:u w:val="none" w:color="auto"/>
          <w:lang w:val="en-US" w:eastAsia="zh-CN"/>
        </w:rPr>
        <w:t>为减轻或避免对土壤造成不利影响，对项目建设提出相应的控制措施，具体如下：</w:t>
      </w:r>
    </w:p>
    <w:p w14:paraId="0E153D87">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000000"/>
          <w:kern w:val="0"/>
          <w:sz w:val="24"/>
          <w:szCs w:val="24"/>
          <w:u w:val="none" w:color="auto"/>
          <w:lang w:val="en-US" w:eastAsia="zh-CN"/>
        </w:rPr>
      </w:pPr>
      <w:r>
        <w:rPr>
          <w:rFonts w:hint="default" w:ascii="Times New Roman" w:hAnsi="Times New Roman" w:eastAsia="宋体" w:cs="Times New Roman"/>
          <w:color w:val="000000"/>
          <w:kern w:val="0"/>
          <w:sz w:val="24"/>
          <w:szCs w:val="24"/>
          <w:u w:val="none" w:color="auto"/>
          <w:lang w:val="en-US" w:eastAsia="zh-CN"/>
        </w:rPr>
        <w:t>（1）源头控制</w:t>
      </w:r>
    </w:p>
    <w:p w14:paraId="531F4FE4">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000000"/>
          <w:kern w:val="0"/>
          <w:sz w:val="24"/>
          <w:szCs w:val="24"/>
          <w:u w:val="none" w:color="auto"/>
          <w:lang w:val="en-US" w:eastAsia="zh-CN"/>
        </w:rPr>
      </w:pPr>
      <w:r>
        <w:rPr>
          <w:rFonts w:hint="default" w:ascii="Times New Roman" w:hAnsi="Times New Roman" w:eastAsia="宋体" w:cs="Times New Roman"/>
          <w:color w:val="000000"/>
          <w:kern w:val="0"/>
          <w:sz w:val="24"/>
          <w:szCs w:val="24"/>
          <w:u w:val="none" w:color="auto"/>
          <w:lang w:val="en-US" w:eastAsia="zh-CN"/>
        </w:rPr>
        <w:t>企业应加强管理，安排专职人员管理，定期检查生产车间地面状况，预防地面破损、开裂；生产设备定期检查维护，从而预防泄漏的发生。</w:t>
      </w:r>
    </w:p>
    <w:p w14:paraId="5316F5FD">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000000"/>
          <w:kern w:val="0"/>
          <w:sz w:val="24"/>
          <w:szCs w:val="24"/>
          <w:u w:val="none" w:color="auto"/>
          <w:lang w:val="en-US" w:eastAsia="zh-CN"/>
        </w:rPr>
      </w:pPr>
      <w:r>
        <w:rPr>
          <w:rFonts w:hint="default" w:ascii="Times New Roman" w:hAnsi="Times New Roman" w:eastAsia="宋体" w:cs="Times New Roman"/>
          <w:color w:val="000000"/>
          <w:kern w:val="0"/>
          <w:sz w:val="24"/>
          <w:szCs w:val="24"/>
          <w:u w:val="none" w:color="auto"/>
          <w:lang w:val="en-US" w:eastAsia="zh-CN"/>
        </w:rPr>
        <w:t>（2）过程防控措施</w:t>
      </w:r>
    </w:p>
    <w:p w14:paraId="68872417">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000000"/>
          <w:kern w:val="0"/>
          <w:sz w:val="24"/>
          <w:szCs w:val="24"/>
          <w:u w:val="none" w:color="auto"/>
          <w:lang w:val="en-US" w:eastAsia="zh-CN"/>
        </w:rPr>
      </w:pPr>
      <w:r>
        <w:rPr>
          <w:rFonts w:hint="default" w:ascii="Times New Roman" w:hAnsi="Times New Roman" w:eastAsia="宋体" w:cs="Times New Roman"/>
          <w:color w:val="000000"/>
          <w:kern w:val="0"/>
          <w:sz w:val="24"/>
          <w:szCs w:val="24"/>
          <w:u w:val="none" w:color="auto"/>
          <w:lang w:val="en-US" w:eastAsia="zh-CN"/>
        </w:rPr>
        <w:t>生产车间地面应按照相关要求做好防渗工作，避免出现泄漏等现象的发生。在发现地面破损、开裂、设备故障等情况下，应立即切断电源，禁止设备故障运行，对地面进行修补，将地面开裂处受污染的土壤移出，避免进一步入渗引起下层土壤及地下水污染。</w:t>
      </w:r>
    </w:p>
    <w:p w14:paraId="3BFE0B43">
      <w:pPr>
        <w:pStyle w:val="128"/>
        <w:numPr>
          <w:ilvl w:val="2"/>
          <w:numId w:val="0"/>
        </w:numPr>
        <w:bidi w:val="0"/>
        <w:ind w:leftChars="0"/>
        <w:outlineLvl w:val="2"/>
        <w:rPr>
          <w:rFonts w:hint="default" w:ascii="Times New Roman" w:hAnsi="Times New Roman" w:eastAsia="宋体" w:cs="Times New Roman"/>
          <w:color w:val="auto"/>
          <w:spacing w:val="0"/>
          <w:w w:val="100"/>
          <w:kern w:val="21"/>
          <w:position w:val="0"/>
          <w:u w:val="none" w:color="auto"/>
          <w:lang w:val="en-US" w:eastAsia="zh-CN"/>
        </w:rPr>
      </w:pPr>
      <w:r>
        <w:rPr>
          <w:rFonts w:hint="default" w:ascii="Times New Roman" w:hAnsi="Times New Roman" w:eastAsia="宋体" w:cs="Times New Roman"/>
          <w:color w:val="auto"/>
          <w:spacing w:val="0"/>
          <w:w w:val="100"/>
          <w:kern w:val="21"/>
          <w:position w:val="0"/>
          <w:u w:val="none" w:color="auto"/>
          <w:lang w:val="en-US" w:eastAsia="zh-CN"/>
        </w:rPr>
        <w:t>9.</w:t>
      </w:r>
      <w:r>
        <w:rPr>
          <w:rFonts w:hint="eastAsia" w:ascii="Times New Roman" w:hAnsi="Times New Roman" w:eastAsia="宋体" w:cs="Times New Roman"/>
          <w:color w:val="auto"/>
          <w:spacing w:val="0"/>
          <w:w w:val="100"/>
          <w:kern w:val="21"/>
          <w:position w:val="0"/>
          <w:u w:val="none" w:color="auto"/>
          <w:lang w:val="en-US" w:eastAsia="zh-CN"/>
        </w:rPr>
        <w:t>5环境风险监控与应急响应</w:t>
      </w:r>
    </w:p>
    <w:p w14:paraId="72D1AD46">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锰酸锂、镍钴锰酸锂</w:t>
      </w:r>
      <w:r>
        <w:rPr>
          <w:rFonts w:hint="eastAsia" w:eastAsia="黑体" w:cs="Times New Roman"/>
          <w:color w:val="auto"/>
          <w:spacing w:val="0"/>
          <w:w w:val="100"/>
          <w:kern w:val="21"/>
          <w:position w:val="0"/>
          <w:sz w:val="24"/>
          <w:szCs w:val="24"/>
          <w:u w:val="none" w:color="auto"/>
          <w:lang w:val="en-US" w:eastAsia="zh-CN"/>
        </w:rPr>
        <w:t>泄漏应急处置措施</w:t>
      </w:r>
    </w:p>
    <w:tbl>
      <w:tblPr>
        <w:tblStyle w:val="114"/>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445"/>
        <w:gridCol w:w="770"/>
        <w:gridCol w:w="8027"/>
      </w:tblGrid>
      <w:tr w14:paraId="549C44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5" w:type="dxa"/>
            <w:tcBorders>
              <w:tl2br w:val="nil"/>
              <w:tr2bl w:val="nil"/>
            </w:tcBorders>
            <w:noWrap w:val="0"/>
            <w:vAlign w:val="center"/>
          </w:tcPr>
          <w:p w14:paraId="2A97DA50">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b/>
                <w:bCs/>
                <w:spacing w:val="0"/>
                <w:w w:val="100"/>
                <w:kern w:val="21"/>
                <w:position w:val="0"/>
                <w:sz w:val="21"/>
                <w:szCs w:val="21"/>
                <w:u w:val="none" w:color="auto"/>
              </w:rPr>
            </w:pPr>
            <w:r>
              <w:rPr>
                <w:b/>
                <w:bCs/>
                <w:spacing w:val="0"/>
                <w:w w:val="100"/>
                <w:kern w:val="21"/>
                <w:position w:val="0"/>
                <w:sz w:val="21"/>
                <w:szCs w:val="21"/>
                <w:u w:val="none" w:color="auto"/>
              </w:rPr>
              <w:t>序号</w:t>
            </w:r>
          </w:p>
        </w:tc>
        <w:tc>
          <w:tcPr>
            <w:tcW w:w="770" w:type="dxa"/>
            <w:tcBorders>
              <w:tl2br w:val="nil"/>
              <w:tr2bl w:val="nil"/>
            </w:tcBorders>
            <w:noWrap w:val="0"/>
            <w:vAlign w:val="center"/>
          </w:tcPr>
          <w:p w14:paraId="541D535C">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b/>
                <w:bCs/>
                <w:spacing w:val="0"/>
                <w:w w:val="100"/>
                <w:kern w:val="21"/>
                <w:position w:val="0"/>
                <w:sz w:val="21"/>
                <w:szCs w:val="21"/>
                <w:u w:val="none" w:color="auto"/>
              </w:rPr>
            </w:pPr>
            <w:r>
              <w:rPr>
                <w:b/>
                <w:bCs/>
                <w:spacing w:val="0"/>
                <w:w w:val="100"/>
                <w:kern w:val="21"/>
                <w:position w:val="0"/>
                <w:sz w:val="21"/>
                <w:szCs w:val="21"/>
                <w:u w:val="none" w:color="auto"/>
              </w:rPr>
              <w:t>事故情景</w:t>
            </w:r>
          </w:p>
        </w:tc>
        <w:tc>
          <w:tcPr>
            <w:tcW w:w="8027" w:type="dxa"/>
            <w:tcBorders>
              <w:tl2br w:val="nil"/>
              <w:tr2bl w:val="nil"/>
            </w:tcBorders>
            <w:noWrap w:val="0"/>
            <w:vAlign w:val="center"/>
          </w:tcPr>
          <w:p w14:paraId="45E7C6B0">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b/>
                <w:bCs/>
                <w:spacing w:val="0"/>
                <w:w w:val="100"/>
                <w:kern w:val="21"/>
                <w:position w:val="0"/>
                <w:sz w:val="21"/>
                <w:szCs w:val="21"/>
                <w:u w:val="none" w:color="auto"/>
              </w:rPr>
            </w:pPr>
            <w:r>
              <w:rPr>
                <w:b/>
                <w:bCs/>
                <w:spacing w:val="0"/>
                <w:w w:val="100"/>
                <w:kern w:val="21"/>
                <w:position w:val="0"/>
                <w:sz w:val="21"/>
                <w:szCs w:val="21"/>
                <w:u w:val="none" w:color="auto"/>
              </w:rPr>
              <w:t>应急措施</w:t>
            </w:r>
          </w:p>
        </w:tc>
      </w:tr>
      <w:tr w14:paraId="4E9CFDD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5" w:type="dxa"/>
            <w:tcBorders>
              <w:tl2br w:val="nil"/>
              <w:tr2bl w:val="nil"/>
            </w:tcBorders>
            <w:noWrap w:val="0"/>
            <w:vAlign w:val="center"/>
          </w:tcPr>
          <w:p w14:paraId="05A6E572">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ascii="Times New Roman" w:hAnsi="Times New Roman" w:eastAsia="Times New Roman" w:cs="Times New Roman"/>
                <w:spacing w:val="0"/>
                <w:w w:val="100"/>
                <w:kern w:val="21"/>
                <w:position w:val="0"/>
                <w:sz w:val="21"/>
                <w:szCs w:val="21"/>
                <w:u w:val="none" w:color="auto"/>
              </w:rPr>
            </w:pPr>
            <w:r>
              <w:rPr>
                <w:rFonts w:ascii="Times New Roman" w:hAnsi="Times New Roman" w:eastAsia="Times New Roman" w:cs="Times New Roman"/>
                <w:spacing w:val="0"/>
                <w:w w:val="100"/>
                <w:kern w:val="21"/>
                <w:position w:val="0"/>
                <w:sz w:val="21"/>
                <w:szCs w:val="21"/>
                <w:u w:val="none" w:color="auto"/>
              </w:rPr>
              <w:t>1</w:t>
            </w:r>
          </w:p>
        </w:tc>
        <w:tc>
          <w:tcPr>
            <w:tcW w:w="770" w:type="dxa"/>
            <w:tcBorders>
              <w:tl2br w:val="nil"/>
              <w:tr2bl w:val="nil"/>
            </w:tcBorders>
            <w:noWrap w:val="0"/>
            <w:vAlign w:val="center"/>
          </w:tcPr>
          <w:p w14:paraId="4AD6F862">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spacing w:val="0"/>
                <w:w w:val="100"/>
                <w:kern w:val="21"/>
                <w:position w:val="0"/>
                <w:sz w:val="21"/>
                <w:szCs w:val="21"/>
                <w:u w:val="none" w:color="auto"/>
              </w:rPr>
            </w:pPr>
            <w:r>
              <w:rPr>
                <w:spacing w:val="0"/>
                <w:w w:val="100"/>
                <w:kern w:val="21"/>
                <w:position w:val="0"/>
                <w:sz w:val="21"/>
                <w:szCs w:val="21"/>
                <w:u w:val="none" w:color="auto"/>
              </w:rPr>
              <w:t>泄漏</w:t>
            </w:r>
          </w:p>
        </w:tc>
        <w:tc>
          <w:tcPr>
            <w:tcW w:w="8027" w:type="dxa"/>
            <w:tcBorders>
              <w:tl2br w:val="nil"/>
              <w:tr2bl w:val="nil"/>
            </w:tcBorders>
            <w:noWrap w:val="0"/>
            <w:vAlign w:val="center"/>
          </w:tcPr>
          <w:p w14:paraId="66845DB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cs="Times New Roman"/>
                <w:snapToGrid w:val="0"/>
                <w:color w:val="000000"/>
                <w:spacing w:val="0"/>
                <w:w w:val="100"/>
                <w:kern w:val="21"/>
                <w:position w:val="0"/>
                <w:sz w:val="21"/>
                <w:szCs w:val="21"/>
                <w:u w:val="none" w:color="auto"/>
                <w:lang w:val="en-US" w:eastAsia="zh-CN" w:bidi="ar-SA"/>
              </w:rPr>
            </w:pPr>
            <w:r>
              <w:rPr>
                <w:rFonts w:hint="eastAsia" w:cs="Times New Roman"/>
                <w:snapToGrid w:val="0"/>
                <w:color w:val="000000"/>
                <w:spacing w:val="0"/>
                <w:w w:val="100"/>
                <w:kern w:val="21"/>
                <w:position w:val="0"/>
                <w:sz w:val="21"/>
                <w:szCs w:val="21"/>
                <w:u w:val="none" w:color="auto"/>
                <w:lang w:val="en-US" w:eastAsia="zh-CN" w:bidi="ar-SA"/>
              </w:rPr>
              <w:t>锰酸锂泄漏：</w:t>
            </w:r>
          </w:p>
          <w:p w14:paraId="641AD3E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小量泄漏：避免扬尘，用洁净铲子收集于干燥、洁净、有盖容器中，密闭存放。</w:t>
            </w:r>
          </w:p>
          <w:p w14:paraId="725B18E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大量泄漏：构筑围堤或挖坑收容，用塑料布、帆布覆盖，减少飞散；使用无火花工具收集回收，运至危废暂存间，交由有资质单位处置。</w:t>
            </w:r>
          </w:p>
          <w:p w14:paraId="74F5EE3B">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环境应急：防止泄漏物进入水体、下水道、土壤；若进入水环境，及时封堵收集，避免锰、锂重金属扩散污染。</w:t>
            </w:r>
          </w:p>
          <w:p w14:paraId="41A90734">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镍钴锰酸锂</w:t>
            </w:r>
            <w:r>
              <w:rPr>
                <w:rFonts w:hint="eastAsia" w:ascii="Times New Roman" w:hAnsi="Times New Roman" w:cs="Times New Roman"/>
                <w:snapToGrid w:val="0"/>
                <w:color w:val="000000"/>
                <w:spacing w:val="0"/>
                <w:w w:val="100"/>
                <w:kern w:val="21"/>
                <w:position w:val="0"/>
                <w:sz w:val="21"/>
                <w:szCs w:val="21"/>
                <w:u w:val="none" w:color="auto"/>
                <w:lang w:val="en-US" w:eastAsia="zh-CN" w:bidi="ar-SA"/>
              </w:rPr>
              <w:t>：</w:t>
            </w:r>
          </w:p>
          <w:p w14:paraId="2FA543C4">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小量泄漏</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无关人员撤离现场，划定警戒区，禁止扬尘。</w:t>
            </w:r>
          </w:p>
          <w:p w14:paraId="319BE00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用洁净干抹布、塑料铲收集泄漏粉末，装入专用密封危废容器，严禁直接用水冲洗（防止水解、重金属废水扩散）。</w:t>
            </w:r>
          </w:p>
          <w:p w14:paraId="29580B8C">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收集完毕后，对地面用干拖把清理，再做局部擦拭。</w:t>
            </w:r>
          </w:p>
          <w:p w14:paraId="7A875F3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2.大量泄漏</w:t>
            </w:r>
          </w:p>
          <w:p w14:paraId="4881BFA0">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启动排风系统，人员佩戴全套防护用具，从上风向处置。</w:t>
            </w:r>
          </w:p>
          <w:p w14:paraId="6231EB9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用沙袋、围挡围堵，防止扩散；全程避免搅动产生大量扬尘。</w:t>
            </w:r>
          </w:p>
          <w:p w14:paraId="75B14D7F">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全部收集至密闭专用桶，标识清楚，按危险废物委托有资质单位处置。</w:t>
            </w:r>
          </w:p>
          <w:p w14:paraId="212EF30B">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严禁泄漏物进入雨水管网、河道、土壤，防范地下水、地表水污染</w:t>
            </w:r>
          </w:p>
        </w:tc>
      </w:tr>
      <w:tr w14:paraId="36937A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76" w:hRule="atLeast"/>
          <w:jc w:val="center"/>
        </w:trPr>
        <w:tc>
          <w:tcPr>
            <w:tcW w:w="445" w:type="dxa"/>
            <w:tcBorders>
              <w:tl2br w:val="nil"/>
              <w:tr2bl w:val="nil"/>
            </w:tcBorders>
            <w:noWrap w:val="0"/>
            <w:vAlign w:val="center"/>
          </w:tcPr>
          <w:p w14:paraId="23A9A2A0">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ascii="Times New Roman" w:hAnsi="Times New Roman" w:eastAsia="Times New Roman" w:cs="Times New Roman"/>
                <w:spacing w:val="0"/>
                <w:w w:val="100"/>
                <w:kern w:val="21"/>
                <w:position w:val="0"/>
                <w:sz w:val="21"/>
                <w:szCs w:val="21"/>
                <w:u w:val="none" w:color="auto"/>
              </w:rPr>
            </w:pPr>
            <w:r>
              <w:rPr>
                <w:rFonts w:ascii="Times New Roman" w:hAnsi="Times New Roman" w:eastAsia="Times New Roman" w:cs="Times New Roman"/>
                <w:spacing w:val="0"/>
                <w:w w:val="100"/>
                <w:kern w:val="21"/>
                <w:position w:val="0"/>
                <w:sz w:val="21"/>
                <w:szCs w:val="21"/>
                <w:u w:val="none" w:color="auto"/>
              </w:rPr>
              <w:t>2</w:t>
            </w:r>
          </w:p>
        </w:tc>
        <w:tc>
          <w:tcPr>
            <w:tcW w:w="770" w:type="dxa"/>
            <w:tcBorders>
              <w:tl2br w:val="nil"/>
              <w:tr2bl w:val="nil"/>
            </w:tcBorders>
            <w:noWrap w:val="0"/>
            <w:vAlign w:val="center"/>
          </w:tcPr>
          <w:p w14:paraId="1EC4E951">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spacing w:val="0"/>
                <w:w w:val="100"/>
                <w:kern w:val="21"/>
                <w:position w:val="0"/>
                <w:sz w:val="21"/>
                <w:szCs w:val="21"/>
                <w:u w:val="none" w:color="auto"/>
              </w:rPr>
            </w:pPr>
            <w:r>
              <w:rPr>
                <w:spacing w:val="0"/>
                <w:w w:val="100"/>
                <w:kern w:val="21"/>
                <w:position w:val="0"/>
                <w:sz w:val="21"/>
                <w:szCs w:val="21"/>
                <w:u w:val="none" w:color="auto"/>
              </w:rPr>
              <w:t>防护</w:t>
            </w:r>
          </w:p>
        </w:tc>
        <w:tc>
          <w:tcPr>
            <w:tcW w:w="8027" w:type="dxa"/>
            <w:tcBorders>
              <w:tl2br w:val="nil"/>
              <w:tr2bl w:val="nil"/>
            </w:tcBorders>
            <w:noWrap w:val="0"/>
            <w:vAlign w:val="center"/>
          </w:tcPr>
          <w:p w14:paraId="5CBAD381">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spacing w:val="0"/>
                <w:w w:val="100"/>
                <w:kern w:val="21"/>
                <w:position w:val="0"/>
                <w:sz w:val="21"/>
                <w:szCs w:val="21"/>
                <w:u w:val="none" w:color="auto"/>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作业过程密闭，加强通风除尘；操作人员佩戴防尘口罩、防护眼镜、橡胶手套，穿防尘工作服；严禁在作业区饮食，作业后及时清洗；定期开展职业健康监护，防止锰粉尘吸入危害。</w:t>
            </w:r>
          </w:p>
        </w:tc>
      </w:tr>
      <w:tr w14:paraId="1BEE892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5" w:type="dxa"/>
            <w:tcBorders>
              <w:tl2br w:val="nil"/>
              <w:tr2bl w:val="nil"/>
            </w:tcBorders>
            <w:noWrap w:val="0"/>
            <w:vAlign w:val="center"/>
          </w:tcPr>
          <w:p w14:paraId="69D8E204">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ascii="Times New Roman" w:hAnsi="Times New Roman" w:eastAsia="Times New Roman" w:cs="Times New Roman"/>
                <w:spacing w:val="0"/>
                <w:w w:val="100"/>
                <w:kern w:val="21"/>
                <w:position w:val="0"/>
                <w:sz w:val="21"/>
                <w:szCs w:val="21"/>
                <w:u w:val="none" w:color="auto"/>
              </w:rPr>
            </w:pPr>
            <w:r>
              <w:rPr>
                <w:rFonts w:ascii="Times New Roman" w:hAnsi="Times New Roman" w:eastAsia="Times New Roman" w:cs="Times New Roman"/>
                <w:spacing w:val="0"/>
                <w:w w:val="100"/>
                <w:kern w:val="21"/>
                <w:position w:val="0"/>
                <w:sz w:val="21"/>
                <w:szCs w:val="21"/>
                <w:u w:val="none" w:color="auto"/>
              </w:rPr>
              <w:t>3</w:t>
            </w:r>
          </w:p>
        </w:tc>
        <w:tc>
          <w:tcPr>
            <w:tcW w:w="770" w:type="dxa"/>
            <w:tcBorders>
              <w:tl2br w:val="nil"/>
              <w:tr2bl w:val="nil"/>
            </w:tcBorders>
            <w:noWrap w:val="0"/>
            <w:vAlign w:val="center"/>
          </w:tcPr>
          <w:p w14:paraId="6EF98241">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spacing w:val="0"/>
                <w:w w:val="100"/>
                <w:kern w:val="21"/>
                <w:position w:val="0"/>
                <w:sz w:val="21"/>
                <w:szCs w:val="21"/>
                <w:u w:val="none" w:color="auto"/>
              </w:rPr>
            </w:pPr>
            <w:r>
              <w:rPr>
                <w:spacing w:val="0"/>
                <w:w w:val="100"/>
                <w:kern w:val="21"/>
                <w:position w:val="0"/>
                <w:sz w:val="21"/>
                <w:szCs w:val="21"/>
                <w:u w:val="none" w:color="auto"/>
              </w:rPr>
              <w:t>急救</w:t>
            </w:r>
          </w:p>
        </w:tc>
        <w:tc>
          <w:tcPr>
            <w:tcW w:w="8027" w:type="dxa"/>
            <w:tcBorders>
              <w:tl2br w:val="nil"/>
              <w:tr2bl w:val="nil"/>
            </w:tcBorders>
            <w:noWrap w:val="0"/>
            <w:vAlign w:val="center"/>
          </w:tcPr>
          <w:p w14:paraId="4DE404D0">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吸入：迅速脱离现场至空气新鲜处，保持呼吸道通畅，必要时输氧、人工呼吸，就医。</w:t>
            </w:r>
          </w:p>
          <w:p w14:paraId="0DD841A5">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皮肤接触：脱去污染衣物，用肥皂水及流动清水冲洗，不适就医。</w:t>
            </w:r>
          </w:p>
          <w:p w14:paraId="19475A4B">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眼睛接触：立即用大量清水或生理盐水冲洗 15 min 以上，就医。</w:t>
            </w:r>
          </w:p>
          <w:p w14:paraId="132E0F3E">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spacing w:val="0"/>
                <w:w w:val="100"/>
                <w:kern w:val="21"/>
                <w:position w:val="0"/>
                <w:sz w:val="21"/>
                <w:szCs w:val="21"/>
                <w:u w:val="none" w:color="auto"/>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食入：漱口，禁止催吐，饮温水后立即就医。</w:t>
            </w:r>
          </w:p>
        </w:tc>
      </w:tr>
    </w:tbl>
    <w:p w14:paraId="752A1D26">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eastAsia="黑体" w:cs="Times New Roman"/>
          <w:color w:val="auto"/>
          <w:spacing w:val="0"/>
          <w:w w:val="100"/>
          <w:kern w:val="21"/>
          <w:position w:val="0"/>
          <w:sz w:val="24"/>
          <w:szCs w:val="24"/>
          <w:u w:val="none" w:color="auto"/>
          <w:lang w:val="en-US" w:eastAsia="zh-CN"/>
        </w:rPr>
        <w:t>NMP、NMP回收液泄漏应急处置措施</w:t>
      </w:r>
    </w:p>
    <w:tbl>
      <w:tblPr>
        <w:tblStyle w:val="114"/>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445"/>
        <w:gridCol w:w="770"/>
        <w:gridCol w:w="8027"/>
      </w:tblGrid>
      <w:tr w14:paraId="4F836D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5" w:type="dxa"/>
            <w:tcBorders>
              <w:tl2br w:val="nil"/>
              <w:tr2bl w:val="nil"/>
            </w:tcBorders>
            <w:noWrap w:val="0"/>
            <w:vAlign w:val="center"/>
          </w:tcPr>
          <w:p w14:paraId="5C13941A">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b/>
                <w:bCs/>
                <w:spacing w:val="0"/>
                <w:w w:val="100"/>
                <w:kern w:val="21"/>
                <w:position w:val="0"/>
                <w:sz w:val="21"/>
                <w:szCs w:val="21"/>
                <w:u w:val="none" w:color="auto"/>
              </w:rPr>
            </w:pPr>
            <w:r>
              <w:rPr>
                <w:b/>
                <w:bCs/>
                <w:spacing w:val="0"/>
                <w:w w:val="100"/>
                <w:kern w:val="21"/>
                <w:position w:val="0"/>
                <w:sz w:val="21"/>
                <w:szCs w:val="21"/>
                <w:u w:val="none" w:color="auto"/>
              </w:rPr>
              <w:t>序号</w:t>
            </w:r>
          </w:p>
        </w:tc>
        <w:tc>
          <w:tcPr>
            <w:tcW w:w="770" w:type="dxa"/>
            <w:tcBorders>
              <w:tl2br w:val="nil"/>
              <w:tr2bl w:val="nil"/>
            </w:tcBorders>
            <w:noWrap w:val="0"/>
            <w:vAlign w:val="center"/>
          </w:tcPr>
          <w:p w14:paraId="61DE428C">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b/>
                <w:bCs/>
                <w:spacing w:val="0"/>
                <w:w w:val="100"/>
                <w:kern w:val="21"/>
                <w:position w:val="0"/>
                <w:sz w:val="21"/>
                <w:szCs w:val="21"/>
                <w:u w:val="none" w:color="auto"/>
              </w:rPr>
            </w:pPr>
            <w:r>
              <w:rPr>
                <w:b/>
                <w:bCs/>
                <w:spacing w:val="0"/>
                <w:w w:val="100"/>
                <w:kern w:val="21"/>
                <w:position w:val="0"/>
                <w:sz w:val="21"/>
                <w:szCs w:val="21"/>
                <w:u w:val="none" w:color="auto"/>
              </w:rPr>
              <w:t>事故情景</w:t>
            </w:r>
          </w:p>
        </w:tc>
        <w:tc>
          <w:tcPr>
            <w:tcW w:w="8027" w:type="dxa"/>
            <w:tcBorders>
              <w:tl2br w:val="nil"/>
              <w:tr2bl w:val="nil"/>
            </w:tcBorders>
            <w:noWrap w:val="0"/>
            <w:vAlign w:val="center"/>
          </w:tcPr>
          <w:p w14:paraId="24474AC2">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b/>
                <w:bCs/>
                <w:spacing w:val="0"/>
                <w:w w:val="100"/>
                <w:kern w:val="21"/>
                <w:position w:val="0"/>
                <w:sz w:val="21"/>
                <w:szCs w:val="21"/>
                <w:u w:val="none" w:color="auto"/>
              </w:rPr>
            </w:pPr>
            <w:r>
              <w:rPr>
                <w:b/>
                <w:bCs/>
                <w:spacing w:val="0"/>
                <w:w w:val="100"/>
                <w:kern w:val="21"/>
                <w:position w:val="0"/>
                <w:sz w:val="21"/>
                <w:szCs w:val="21"/>
                <w:u w:val="none" w:color="auto"/>
              </w:rPr>
              <w:t>应急措施</w:t>
            </w:r>
          </w:p>
        </w:tc>
      </w:tr>
      <w:tr w14:paraId="2A9FCD1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5" w:type="dxa"/>
            <w:tcBorders>
              <w:tl2br w:val="nil"/>
              <w:tr2bl w:val="nil"/>
            </w:tcBorders>
            <w:noWrap w:val="0"/>
            <w:vAlign w:val="center"/>
          </w:tcPr>
          <w:p w14:paraId="6A70ED65">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ascii="Times New Roman" w:hAnsi="Times New Roman" w:eastAsia="Times New Roman" w:cs="Times New Roman"/>
                <w:spacing w:val="0"/>
                <w:w w:val="100"/>
                <w:kern w:val="21"/>
                <w:position w:val="0"/>
                <w:sz w:val="21"/>
                <w:szCs w:val="21"/>
                <w:u w:val="none" w:color="auto"/>
              </w:rPr>
            </w:pPr>
            <w:r>
              <w:rPr>
                <w:rFonts w:ascii="Times New Roman" w:hAnsi="Times New Roman" w:eastAsia="Times New Roman" w:cs="Times New Roman"/>
                <w:spacing w:val="0"/>
                <w:w w:val="100"/>
                <w:kern w:val="21"/>
                <w:position w:val="0"/>
                <w:sz w:val="21"/>
                <w:szCs w:val="21"/>
                <w:u w:val="none" w:color="auto"/>
              </w:rPr>
              <w:t>1</w:t>
            </w:r>
          </w:p>
        </w:tc>
        <w:tc>
          <w:tcPr>
            <w:tcW w:w="770" w:type="dxa"/>
            <w:tcBorders>
              <w:tl2br w:val="nil"/>
              <w:tr2bl w:val="nil"/>
            </w:tcBorders>
            <w:noWrap w:val="0"/>
            <w:vAlign w:val="center"/>
          </w:tcPr>
          <w:p w14:paraId="4C32C3E5">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spacing w:val="0"/>
                <w:w w:val="100"/>
                <w:kern w:val="21"/>
                <w:position w:val="0"/>
                <w:sz w:val="21"/>
                <w:szCs w:val="21"/>
                <w:u w:val="none" w:color="auto"/>
              </w:rPr>
            </w:pPr>
            <w:r>
              <w:rPr>
                <w:spacing w:val="0"/>
                <w:w w:val="100"/>
                <w:kern w:val="21"/>
                <w:position w:val="0"/>
                <w:sz w:val="21"/>
                <w:szCs w:val="21"/>
                <w:u w:val="none" w:color="auto"/>
              </w:rPr>
              <w:t>泄漏</w:t>
            </w:r>
          </w:p>
        </w:tc>
        <w:tc>
          <w:tcPr>
            <w:tcW w:w="8027" w:type="dxa"/>
            <w:tcBorders>
              <w:tl2br w:val="nil"/>
              <w:tr2bl w:val="nil"/>
            </w:tcBorders>
            <w:noWrap w:val="0"/>
            <w:vAlign w:val="center"/>
          </w:tcPr>
          <w:p w14:paraId="2019F088">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1. 人员隔离防护</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立即疏散无关人员至上风侧；应急处置人员穿戴全套防化防护 + 防毒呼吸器；切断区域全部火源、热源、电气开关。</w:t>
            </w:r>
          </w:p>
          <w:p w14:paraId="28D0E31D">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2. 小量泄漏（地面少量液体）</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沙土、吸附棉、硅藻土吸收，收集至密封危废桶；污染地面大量清水冲洗，冲洗水导入应急收集池，不得直排。</w:t>
            </w:r>
          </w:p>
          <w:p w14:paraId="481CF5A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3. 大量泄漏（桶破裂、管道泄漏）</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围堰 / 沙袋围堵，防止流入雨水沟、污水站、地下水；</w:t>
            </w:r>
          </w:p>
          <w:p w14:paraId="2AA9D930">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spacing w:val="0"/>
                <w:w w:val="100"/>
                <w:kern w:val="21"/>
                <w:position w:val="0"/>
                <w:sz w:val="21"/>
                <w:szCs w:val="21"/>
                <w:u w:val="none" w:color="auto"/>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防爆泵将泄漏液转移至备用密闭储罐；剩余残液用惰性吸附材料全覆盖吸收，统一按危废处置；加强区域强制排风，驱散积聚蒸气</w:t>
            </w:r>
            <w:r>
              <w:rPr>
                <w:rFonts w:hint="eastAsia" w:cs="Times New Roman"/>
                <w:snapToGrid w:val="0"/>
                <w:color w:val="000000"/>
                <w:spacing w:val="0"/>
                <w:w w:val="100"/>
                <w:kern w:val="21"/>
                <w:position w:val="0"/>
                <w:sz w:val="21"/>
                <w:szCs w:val="21"/>
                <w:u w:val="none" w:color="auto"/>
                <w:lang w:val="en-US" w:eastAsia="zh-CN" w:bidi="ar-SA"/>
              </w:rPr>
              <w:t>。</w:t>
            </w:r>
          </w:p>
        </w:tc>
      </w:tr>
      <w:tr w14:paraId="577AD1B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5" w:type="dxa"/>
            <w:tcBorders>
              <w:tl2br w:val="nil"/>
              <w:tr2bl w:val="nil"/>
            </w:tcBorders>
            <w:noWrap w:val="0"/>
            <w:vAlign w:val="center"/>
          </w:tcPr>
          <w:p w14:paraId="2F825B13">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ascii="Times New Roman" w:hAnsi="Times New Roman" w:eastAsia="Times New Roman" w:cs="Times New Roman"/>
                <w:spacing w:val="0"/>
                <w:w w:val="100"/>
                <w:kern w:val="21"/>
                <w:position w:val="0"/>
                <w:sz w:val="21"/>
                <w:szCs w:val="21"/>
                <w:u w:val="none" w:color="auto"/>
              </w:rPr>
            </w:pPr>
            <w:r>
              <w:rPr>
                <w:rFonts w:ascii="Times New Roman" w:hAnsi="Times New Roman" w:eastAsia="Times New Roman" w:cs="Times New Roman"/>
                <w:spacing w:val="0"/>
                <w:w w:val="100"/>
                <w:kern w:val="21"/>
                <w:position w:val="0"/>
                <w:sz w:val="21"/>
                <w:szCs w:val="21"/>
                <w:u w:val="none" w:color="auto"/>
              </w:rPr>
              <w:t>3</w:t>
            </w:r>
          </w:p>
        </w:tc>
        <w:tc>
          <w:tcPr>
            <w:tcW w:w="770" w:type="dxa"/>
            <w:tcBorders>
              <w:tl2br w:val="nil"/>
              <w:tr2bl w:val="nil"/>
            </w:tcBorders>
            <w:noWrap w:val="0"/>
            <w:vAlign w:val="center"/>
          </w:tcPr>
          <w:p w14:paraId="7EFD3DA3">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spacing w:val="0"/>
                <w:w w:val="100"/>
                <w:kern w:val="21"/>
                <w:position w:val="0"/>
                <w:sz w:val="21"/>
                <w:szCs w:val="21"/>
                <w:u w:val="none" w:color="auto"/>
              </w:rPr>
            </w:pPr>
            <w:r>
              <w:rPr>
                <w:spacing w:val="0"/>
                <w:w w:val="100"/>
                <w:kern w:val="21"/>
                <w:position w:val="0"/>
                <w:sz w:val="21"/>
                <w:szCs w:val="21"/>
                <w:u w:val="none" w:color="auto"/>
              </w:rPr>
              <w:t>急救</w:t>
            </w:r>
          </w:p>
        </w:tc>
        <w:tc>
          <w:tcPr>
            <w:tcW w:w="8027" w:type="dxa"/>
            <w:tcBorders>
              <w:tl2br w:val="nil"/>
              <w:tr2bl w:val="nil"/>
            </w:tcBorders>
            <w:noWrap w:val="0"/>
            <w:vAlign w:val="center"/>
          </w:tcPr>
          <w:p w14:paraId="5007DB6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吸入</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迅速转移至空气新鲜处，解开衣领，保持呼吸道通畅；呼吸困难给予吸氧；呼吸停止立即心肺复苏，就医。</w:t>
            </w:r>
          </w:p>
          <w:p w14:paraId="506894F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皮肤接触</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立即脱去全部污染衣物，大量流动清水 + 肥皂持续冲洗 15min 以上；出现红肿、刺痛就医。</w:t>
            </w:r>
          </w:p>
          <w:p w14:paraId="0B0B6CF6">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眼睛接触</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撑开眼睑，清水持续冲洗至少 15 分钟，中途取出隐形眼镜；冲洗后眼部不适持续，立即眼科就诊。</w:t>
            </w:r>
          </w:p>
          <w:p w14:paraId="18F243EB">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spacing w:val="0"/>
                <w:w w:val="100"/>
                <w:kern w:val="21"/>
                <w:position w:val="0"/>
                <w:sz w:val="21"/>
                <w:szCs w:val="21"/>
                <w:u w:val="none" w:color="auto"/>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食入</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禁止催吐（防止反流吸入肺部）；大量温水漱口、饮水稀释；意识不清禁止口服任何物品，立刻送医。</w:t>
            </w:r>
          </w:p>
        </w:tc>
      </w:tr>
    </w:tbl>
    <w:p w14:paraId="711AD856">
      <w:pPr>
        <w:numPr>
          <w:ilvl w:val="0"/>
          <w:numId w:val="5"/>
        </w:numPr>
        <w:tabs>
          <w:tab w:val="center" w:pos="4420"/>
        </w:tabs>
        <w:bidi w:val="0"/>
        <w:spacing w:line="460" w:lineRule="exact"/>
        <w:ind w:left="0" w:leftChars="0" w:firstLine="480" w:firstLineChars="200"/>
        <w:jc w:val="center"/>
        <w:rPr>
          <w:rFonts w:hint="default"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eastAsia="黑体" w:cs="Times New Roman"/>
          <w:color w:val="auto"/>
          <w:spacing w:val="0"/>
          <w:w w:val="100"/>
          <w:kern w:val="21"/>
          <w:position w:val="0"/>
          <w:sz w:val="24"/>
          <w:szCs w:val="24"/>
          <w:u w:val="none" w:color="auto"/>
          <w:lang w:val="en-US" w:eastAsia="zh-CN"/>
        </w:rPr>
        <w:t>电解液泄漏应急处置措施</w:t>
      </w:r>
    </w:p>
    <w:tbl>
      <w:tblPr>
        <w:tblStyle w:val="114"/>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445"/>
        <w:gridCol w:w="770"/>
        <w:gridCol w:w="8027"/>
      </w:tblGrid>
      <w:tr w14:paraId="24D5DF6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5" w:type="dxa"/>
            <w:tcBorders>
              <w:tl2br w:val="nil"/>
              <w:tr2bl w:val="nil"/>
            </w:tcBorders>
            <w:noWrap w:val="0"/>
            <w:vAlign w:val="center"/>
          </w:tcPr>
          <w:p w14:paraId="78929D9F">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b/>
                <w:bCs/>
                <w:spacing w:val="0"/>
                <w:w w:val="100"/>
                <w:kern w:val="21"/>
                <w:position w:val="0"/>
                <w:sz w:val="21"/>
                <w:szCs w:val="21"/>
                <w:u w:val="none" w:color="auto"/>
              </w:rPr>
            </w:pPr>
            <w:r>
              <w:rPr>
                <w:b/>
                <w:bCs/>
                <w:spacing w:val="0"/>
                <w:w w:val="100"/>
                <w:kern w:val="21"/>
                <w:position w:val="0"/>
                <w:sz w:val="21"/>
                <w:szCs w:val="21"/>
                <w:u w:val="none" w:color="auto"/>
              </w:rPr>
              <w:t>序号</w:t>
            </w:r>
          </w:p>
        </w:tc>
        <w:tc>
          <w:tcPr>
            <w:tcW w:w="770" w:type="dxa"/>
            <w:tcBorders>
              <w:tl2br w:val="nil"/>
              <w:tr2bl w:val="nil"/>
            </w:tcBorders>
            <w:noWrap w:val="0"/>
            <w:vAlign w:val="center"/>
          </w:tcPr>
          <w:p w14:paraId="797FB9C5">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b/>
                <w:bCs/>
                <w:spacing w:val="0"/>
                <w:w w:val="100"/>
                <w:kern w:val="21"/>
                <w:position w:val="0"/>
                <w:sz w:val="21"/>
                <w:szCs w:val="21"/>
                <w:u w:val="none" w:color="auto"/>
              </w:rPr>
            </w:pPr>
            <w:r>
              <w:rPr>
                <w:b/>
                <w:bCs/>
                <w:spacing w:val="0"/>
                <w:w w:val="100"/>
                <w:kern w:val="21"/>
                <w:position w:val="0"/>
                <w:sz w:val="21"/>
                <w:szCs w:val="21"/>
                <w:u w:val="none" w:color="auto"/>
              </w:rPr>
              <w:t>事故情景</w:t>
            </w:r>
          </w:p>
        </w:tc>
        <w:tc>
          <w:tcPr>
            <w:tcW w:w="8027" w:type="dxa"/>
            <w:tcBorders>
              <w:tl2br w:val="nil"/>
              <w:tr2bl w:val="nil"/>
            </w:tcBorders>
            <w:noWrap w:val="0"/>
            <w:vAlign w:val="center"/>
          </w:tcPr>
          <w:p w14:paraId="6D267C8C">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b/>
                <w:bCs/>
                <w:spacing w:val="0"/>
                <w:w w:val="100"/>
                <w:kern w:val="21"/>
                <w:position w:val="0"/>
                <w:sz w:val="21"/>
                <w:szCs w:val="21"/>
                <w:u w:val="none" w:color="auto"/>
              </w:rPr>
            </w:pPr>
            <w:r>
              <w:rPr>
                <w:b/>
                <w:bCs/>
                <w:spacing w:val="0"/>
                <w:w w:val="100"/>
                <w:kern w:val="21"/>
                <w:position w:val="0"/>
                <w:sz w:val="21"/>
                <w:szCs w:val="21"/>
                <w:u w:val="none" w:color="auto"/>
              </w:rPr>
              <w:t>应急措施</w:t>
            </w:r>
          </w:p>
        </w:tc>
      </w:tr>
      <w:tr w14:paraId="024D4C4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5" w:type="dxa"/>
            <w:tcBorders>
              <w:tl2br w:val="nil"/>
              <w:tr2bl w:val="nil"/>
            </w:tcBorders>
            <w:noWrap w:val="0"/>
            <w:vAlign w:val="center"/>
          </w:tcPr>
          <w:p w14:paraId="7049585F">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ascii="Times New Roman" w:hAnsi="Times New Roman" w:eastAsia="Times New Roman" w:cs="Times New Roman"/>
                <w:spacing w:val="0"/>
                <w:w w:val="100"/>
                <w:kern w:val="21"/>
                <w:position w:val="0"/>
                <w:sz w:val="21"/>
                <w:szCs w:val="21"/>
                <w:u w:val="none" w:color="auto"/>
              </w:rPr>
            </w:pPr>
            <w:r>
              <w:rPr>
                <w:rFonts w:ascii="Times New Roman" w:hAnsi="Times New Roman" w:eastAsia="Times New Roman" w:cs="Times New Roman"/>
                <w:spacing w:val="0"/>
                <w:w w:val="100"/>
                <w:kern w:val="21"/>
                <w:position w:val="0"/>
                <w:sz w:val="21"/>
                <w:szCs w:val="21"/>
                <w:u w:val="none" w:color="auto"/>
              </w:rPr>
              <w:t>1</w:t>
            </w:r>
          </w:p>
        </w:tc>
        <w:tc>
          <w:tcPr>
            <w:tcW w:w="770" w:type="dxa"/>
            <w:tcBorders>
              <w:tl2br w:val="nil"/>
              <w:tr2bl w:val="nil"/>
            </w:tcBorders>
            <w:noWrap w:val="0"/>
            <w:vAlign w:val="center"/>
          </w:tcPr>
          <w:p w14:paraId="30AA930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spacing w:val="0"/>
                <w:w w:val="100"/>
                <w:kern w:val="21"/>
                <w:position w:val="0"/>
                <w:sz w:val="21"/>
                <w:szCs w:val="21"/>
                <w:u w:val="none" w:color="auto"/>
              </w:rPr>
            </w:pPr>
            <w:r>
              <w:rPr>
                <w:spacing w:val="0"/>
                <w:w w:val="100"/>
                <w:kern w:val="21"/>
                <w:position w:val="0"/>
                <w:sz w:val="21"/>
                <w:szCs w:val="21"/>
                <w:u w:val="none" w:color="auto"/>
              </w:rPr>
              <w:t>泄漏</w:t>
            </w:r>
          </w:p>
        </w:tc>
        <w:tc>
          <w:tcPr>
            <w:tcW w:w="8027" w:type="dxa"/>
            <w:tcBorders>
              <w:tl2br w:val="nil"/>
              <w:tr2bl w:val="nil"/>
            </w:tcBorders>
            <w:noWrap w:val="0"/>
            <w:vAlign w:val="center"/>
          </w:tcPr>
          <w:p w14:paraId="54075BE3">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1. 人员隔离防护</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立即疏散无关人员至上风侧；应急处置人员穿戴全套防化防护 + 防毒呼吸器；切断区域全部火源、热源、电气开关。</w:t>
            </w:r>
          </w:p>
          <w:p w14:paraId="7FE64D44">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2. 小量泄漏（地面少量液体）</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沙土、吸附棉、硅藻土吸收，收集至密封危废桶；污染地面大量清水冲洗，冲洗水导入应急收集池，不得直排。</w:t>
            </w:r>
          </w:p>
          <w:p w14:paraId="5111FBC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3. 大量泄漏（桶破裂、管道泄漏）</w:t>
            </w:r>
            <w:r>
              <w:rPr>
                <w:rFonts w:hint="eastAsia" w:cs="Times New Roman"/>
                <w:snapToGrid w:val="0"/>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围堰 / 沙袋围堵，防止流入雨水沟、污水站、地下水；</w:t>
            </w:r>
          </w:p>
          <w:p w14:paraId="6F25242F">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spacing w:val="0"/>
                <w:w w:val="100"/>
                <w:kern w:val="21"/>
                <w:position w:val="0"/>
                <w:sz w:val="21"/>
                <w:szCs w:val="21"/>
                <w:u w:val="none" w:color="auto"/>
              </w:rPr>
            </w:pPr>
            <w:r>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t>防爆泵将泄漏液转移至备用密闭储罐；剩余残液用惰性吸附材料全覆盖吸收，统一按危废处置；加强区域强制排风，驱散积聚蒸气</w:t>
            </w:r>
            <w:r>
              <w:rPr>
                <w:rFonts w:hint="eastAsia" w:cs="Times New Roman"/>
                <w:snapToGrid w:val="0"/>
                <w:color w:val="000000"/>
                <w:spacing w:val="0"/>
                <w:w w:val="100"/>
                <w:kern w:val="21"/>
                <w:position w:val="0"/>
                <w:sz w:val="21"/>
                <w:szCs w:val="21"/>
                <w:u w:val="none" w:color="auto"/>
                <w:lang w:val="en-US" w:eastAsia="zh-CN" w:bidi="ar-SA"/>
              </w:rPr>
              <w:t>。</w:t>
            </w:r>
          </w:p>
        </w:tc>
      </w:tr>
      <w:tr w14:paraId="3282C84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45" w:type="dxa"/>
            <w:tcBorders>
              <w:tl2br w:val="nil"/>
              <w:tr2bl w:val="nil"/>
            </w:tcBorders>
            <w:noWrap w:val="0"/>
            <w:vAlign w:val="center"/>
          </w:tcPr>
          <w:p w14:paraId="730F2439">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ascii="Times New Roman" w:hAnsi="Times New Roman" w:eastAsia="Times New Roman" w:cs="Times New Roman"/>
                <w:spacing w:val="0"/>
                <w:w w:val="100"/>
                <w:kern w:val="21"/>
                <w:position w:val="0"/>
                <w:sz w:val="21"/>
                <w:szCs w:val="21"/>
                <w:u w:val="none" w:color="auto"/>
              </w:rPr>
            </w:pPr>
            <w:r>
              <w:rPr>
                <w:rFonts w:ascii="Times New Roman" w:hAnsi="Times New Roman" w:eastAsia="Times New Roman" w:cs="Times New Roman"/>
                <w:spacing w:val="0"/>
                <w:w w:val="100"/>
                <w:kern w:val="21"/>
                <w:position w:val="0"/>
                <w:sz w:val="21"/>
                <w:szCs w:val="21"/>
                <w:u w:val="none" w:color="auto"/>
              </w:rPr>
              <w:t>3</w:t>
            </w:r>
          </w:p>
        </w:tc>
        <w:tc>
          <w:tcPr>
            <w:tcW w:w="770" w:type="dxa"/>
            <w:tcBorders>
              <w:tl2br w:val="nil"/>
              <w:tr2bl w:val="nil"/>
            </w:tcBorders>
            <w:noWrap w:val="0"/>
            <w:vAlign w:val="center"/>
          </w:tcPr>
          <w:p w14:paraId="1596781E">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spacing w:val="0"/>
                <w:w w:val="100"/>
                <w:kern w:val="21"/>
                <w:position w:val="0"/>
                <w:sz w:val="21"/>
                <w:szCs w:val="21"/>
                <w:u w:val="none" w:color="auto"/>
              </w:rPr>
            </w:pPr>
            <w:r>
              <w:rPr>
                <w:spacing w:val="0"/>
                <w:w w:val="100"/>
                <w:kern w:val="21"/>
                <w:position w:val="0"/>
                <w:sz w:val="21"/>
                <w:szCs w:val="21"/>
                <w:u w:val="none" w:color="auto"/>
              </w:rPr>
              <w:t>急救</w:t>
            </w:r>
          </w:p>
        </w:tc>
        <w:tc>
          <w:tcPr>
            <w:tcW w:w="8027" w:type="dxa"/>
            <w:tcBorders>
              <w:tl2br w:val="nil"/>
              <w:tr2bl w:val="nil"/>
            </w:tcBorders>
            <w:noWrap w:val="0"/>
            <w:vAlign w:val="center"/>
          </w:tcPr>
          <w:p w14:paraId="0CD98BE9">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吸入</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迅速转移至空气新鲜处，解开衣领，保持呼吸道通畅；呼吸困难给予吸氧；呼吸停止立即心肺复苏，就医。</w:t>
            </w:r>
          </w:p>
          <w:p w14:paraId="66E97B0A">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皮肤接触</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立即脱去全部污染衣物，大量流动清水 + 肥皂持续冲洗 15min 以上；出现红肿、刺痛就医。</w:t>
            </w:r>
          </w:p>
          <w:p w14:paraId="3669CF22">
            <w:pPr>
              <w:keepNext w:val="0"/>
              <w:keepLines w:val="0"/>
              <w:pageBreakBefore w:val="0"/>
              <w:widowControl/>
              <w:kinsoku/>
              <w:wordWrap/>
              <w:overflowPunct/>
              <w:topLinePunct/>
              <w:autoSpaceDE/>
              <w:autoSpaceDN/>
              <w:bidi w:val="0"/>
              <w:adjustRightInd w:val="0"/>
              <w:snapToGrid w:val="0"/>
              <w:spacing w:beforeLines="0" w:afterLines="0" w:line="240" w:lineRule="auto"/>
              <w:ind w:left="0" w:right="0" w:firstLine="0" w:firstLineChars="0"/>
              <w:jc w:val="both"/>
              <w:textAlignment w:val="auto"/>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眼睛接触</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撑开眼睑，清水持续冲洗至少 15 分钟，中途取出隐形眼镜；冲洗后眼部不适持续，立即眼科就诊。</w:t>
            </w:r>
          </w:p>
          <w:p w14:paraId="5274663B">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spacing w:val="0"/>
                <w:w w:val="100"/>
                <w:kern w:val="21"/>
                <w:position w:val="0"/>
                <w:sz w:val="21"/>
                <w:szCs w:val="21"/>
                <w:u w:val="none" w:color="auto"/>
              </w:rPr>
            </w:pP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食入</w:t>
            </w:r>
            <w:r>
              <w:rPr>
                <w:rFonts w:hint="eastAsia" w:cs="Times New Roman"/>
                <w:snapToGrid w:val="0"/>
                <w:color w:val="000000"/>
                <w:spacing w:val="0"/>
                <w:w w:val="100"/>
                <w:kern w:val="21"/>
                <w:position w:val="0"/>
                <w:sz w:val="21"/>
                <w:szCs w:val="21"/>
                <w:u w:val="none" w:color="auto"/>
                <w:lang w:val="en-US" w:eastAsia="zh-CN" w:bidi="ar-SA"/>
              </w:rPr>
              <w:t>：</w:t>
            </w:r>
            <w:r>
              <w:rPr>
                <w:rFonts w:hint="eastAsia" w:ascii="Times New Roman" w:hAnsi="Times New Roman" w:eastAsia="宋体" w:cs="Times New Roman"/>
                <w:snapToGrid w:val="0"/>
                <w:color w:val="000000"/>
                <w:spacing w:val="0"/>
                <w:w w:val="100"/>
                <w:kern w:val="21"/>
                <w:position w:val="0"/>
                <w:sz w:val="21"/>
                <w:szCs w:val="21"/>
                <w:u w:val="none" w:color="auto"/>
                <w:lang w:val="en-US" w:eastAsia="zh-CN" w:bidi="ar-SA"/>
              </w:rPr>
              <w:t>禁止催吐（防止反流吸入肺部）；大量温水漱口、饮水稀释；意识不清禁止口服任何物品，立刻送医。</w:t>
            </w:r>
          </w:p>
        </w:tc>
      </w:tr>
    </w:tbl>
    <w:p w14:paraId="66601196">
      <w:pPr>
        <w:pStyle w:val="124"/>
        <w:bidi w:val="0"/>
        <w:jc w:val="center"/>
        <w:rPr>
          <w:rFonts w:hint="eastAsia" w:cs="Times New Roman"/>
          <w:color w:val="auto"/>
          <w:spacing w:val="0"/>
          <w:w w:val="100"/>
          <w:kern w:val="21"/>
          <w:position w:val="0"/>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cs="Times New Roman"/>
          <w:color w:val="auto"/>
          <w:spacing w:val="0"/>
          <w:w w:val="100"/>
          <w:kern w:val="21"/>
          <w:position w:val="0"/>
          <w:u w:val="none" w:color="auto"/>
          <w:lang w:val="en-US" w:eastAsia="zh-CN"/>
        </w:rPr>
        <w:t>CO伴生事故应急处置措施</w:t>
      </w:r>
    </w:p>
    <w:tbl>
      <w:tblPr>
        <w:tblStyle w:val="114"/>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439"/>
        <w:gridCol w:w="759"/>
        <w:gridCol w:w="8044"/>
      </w:tblGrid>
      <w:tr w14:paraId="31BDA74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9" w:type="dxa"/>
            <w:tcBorders>
              <w:tl2br w:val="nil"/>
              <w:tr2bl w:val="nil"/>
            </w:tcBorders>
            <w:noWrap w:val="0"/>
            <w:vAlign w:val="center"/>
          </w:tcPr>
          <w:p w14:paraId="5278242B">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b/>
                <w:bCs/>
                <w:spacing w:val="0"/>
                <w:w w:val="100"/>
                <w:kern w:val="21"/>
                <w:position w:val="0"/>
                <w:sz w:val="21"/>
                <w:szCs w:val="21"/>
                <w:u w:val="none" w:color="auto"/>
              </w:rPr>
            </w:pPr>
            <w:r>
              <w:rPr>
                <w:rFonts w:hint="default" w:ascii="Times New Roman" w:hAnsi="Times New Roman" w:eastAsia="宋体" w:cs="Times New Roman"/>
                <w:b/>
                <w:bCs/>
                <w:spacing w:val="0"/>
                <w:w w:val="100"/>
                <w:kern w:val="21"/>
                <w:position w:val="0"/>
                <w:sz w:val="21"/>
                <w:szCs w:val="21"/>
                <w:u w:val="none" w:color="auto"/>
              </w:rPr>
              <w:t>序号</w:t>
            </w:r>
          </w:p>
        </w:tc>
        <w:tc>
          <w:tcPr>
            <w:tcW w:w="759" w:type="dxa"/>
            <w:tcBorders>
              <w:tl2br w:val="nil"/>
              <w:tr2bl w:val="nil"/>
            </w:tcBorders>
            <w:noWrap w:val="0"/>
            <w:vAlign w:val="center"/>
          </w:tcPr>
          <w:p w14:paraId="5F5CC368">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bCs/>
                <w:spacing w:val="0"/>
                <w:w w:val="100"/>
                <w:kern w:val="21"/>
                <w:position w:val="0"/>
                <w:sz w:val="21"/>
                <w:szCs w:val="21"/>
                <w:u w:val="none" w:color="auto"/>
              </w:rPr>
            </w:pPr>
            <w:r>
              <w:rPr>
                <w:rFonts w:hint="default" w:ascii="Times New Roman" w:hAnsi="Times New Roman" w:eastAsia="宋体" w:cs="Times New Roman"/>
                <w:b/>
                <w:bCs/>
                <w:spacing w:val="0"/>
                <w:w w:val="100"/>
                <w:kern w:val="21"/>
                <w:position w:val="0"/>
                <w:sz w:val="21"/>
                <w:szCs w:val="21"/>
                <w:u w:val="none" w:color="auto"/>
              </w:rPr>
              <w:t>事故情景</w:t>
            </w:r>
          </w:p>
        </w:tc>
        <w:tc>
          <w:tcPr>
            <w:tcW w:w="8044" w:type="dxa"/>
            <w:tcBorders>
              <w:tl2br w:val="nil"/>
              <w:tr2bl w:val="nil"/>
            </w:tcBorders>
            <w:noWrap w:val="0"/>
            <w:vAlign w:val="center"/>
          </w:tcPr>
          <w:p w14:paraId="10F5897B">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bCs/>
                <w:spacing w:val="0"/>
                <w:w w:val="100"/>
                <w:kern w:val="21"/>
                <w:position w:val="0"/>
                <w:sz w:val="21"/>
                <w:szCs w:val="21"/>
                <w:u w:val="none" w:color="auto"/>
              </w:rPr>
            </w:pPr>
            <w:r>
              <w:rPr>
                <w:rFonts w:hint="default" w:ascii="Times New Roman" w:hAnsi="Times New Roman" w:eastAsia="宋体" w:cs="Times New Roman"/>
                <w:b/>
                <w:bCs/>
                <w:spacing w:val="0"/>
                <w:w w:val="100"/>
                <w:kern w:val="21"/>
                <w:position w:val="0"/>
                <w:sz w:val="21"/>
                <w:szCs w:val="21"/>
                <w:u w:val="none" w:color="auto"/>
              </w:rPr>
              <w:t>应急措施</w:t>
            </w:r>
          </w:p>
        </w:tc>
      </w:tr>
      <w:tr w14:paraId="62FBA2A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9" w:type="dxa"/>
            <w:tcBorders>
              <w:tl2br w:val="nil"/>
              <w:tr2bl w:val="nil"/>
            </w:tcBorders>
            <w:noWrap w:val="0"/>
            <w:vAlign w:val="center"/>
          </w:tcPr>
          <w:p w14:paraId="66CF664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1</w:t>
            </w:r>
          </w:p>
        </w:tc>
        <w:tc>
          <w:tcPr>
            <w:tcW w:w="759" w:type="dxa"/>
            <w:tcBorders>
              <w:tl2br w:val="nil"/>
              <w:tr2bl w:val="nil"/>
            </w:tcBorders>
            <w:noWrap w:val="0"/>
            <w:vAlign w:val="center"/>
          </w:tcPr>
          <w:p w14:paraId="08E41073">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泄漏</w:t>
            </w:r>
          </w:p>
        </w:tc>
        <w:tc>
          <w:tcPr>
            <w:tcW w:w="8044" w:type="dxa"/>
            <w:tcBorders>
              <w:tl2br w:val="nil"/>
              <w:tr2bl w:val="nil"/>
            </w:tcBorders>
            <w:noWrap w:val="0"/>
            <w:vAlign w:val="center"/>
          </w:tcPr>
          <w:p w14:paraId="78618627">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迅速撤离泄漏污染区人员至上风处，并立即隔离150m，严格限制出入。切断火源。建议应急处理人员戴自给正压式呼吸器，穿消防防护服。尽可能切断泄漏源。合理通风，加速扩散。喷雾状水稀释、溶解。构筑围堤或挖坑收容产生的大量废水。如有可能，将漏出气用排风机送至空旷地方或装设适当喷头烧掉。也可以用管路导至炉中、凹地焚之。漏气容器要妥善处理，修复、检验后再用。</w:t>
            </w:r>
          </w:p>
        </w:tc>
      </w:tr>
      <w:tr w14:paraId="66179EA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9" w:type="dxa"/>
            <w:vMerge w:val="restart"/>
            <w:tcBorders>
              <w:tl2br w:val="nil"/>
              <w:tr2bl w:val="nil"/>
            </w:tcBorders>
            <w:noWrap w:val="0"/>
            <w:vAlign w:val="center"/>
          </w:tcPr>
          <w:p w14:paraId="4B75BC61">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2</w:t>
            </w:r>
          </w:p>
        </w:tc>
        <w:tc>
          <w:tcPr>
            <w:tcW w:w="759" w:type="dxa"/>
            <w:vMerge w:val="restart"/>
            <w:tcBorders>
              <w:tl2br w:val="nil"/>
              <w:tr2bl w:val="nil"/>
            </w:tcBorders>
            <w:noWrap w:val="0"/>
            <w:vAlign w:val="center"/>
          </w:tcPr>
          <w:p w14:paraId="1B38E306">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eastAsia" w:ascii="Times New Roman" w:hAnsi="Times New Roman" w:cs="Times New Roman"/>
                <w:color w:val="000000"/>
                <w:spacing w:val="0"/>
                <w:w w:val="100"/>
                <w:kern w:val="21"/>
                <w:position w:val="0"/>
                <w:sz w:val="21"/>
                <w:szCs w:val="21"/>
                <w:u w:val="none" w:color="auto"/>
                <w:lang w:val="en-US" w:eastAsia="zh-CN" w:bidi="ar-SA"/>
              </w:rPr>
              <w:t>防护</w:t>
            </w:r>
          </w:p>
        </w:tc>
        <w:tc>
          <w:tcPr>
            <w:tcW w:w="8044" w:type="dxa"/>
            <w:tcBorders>
              <w:tl2br w:val="nil"/>
              <w:tr2bl w:val="nil"/>
            </w:tcBorders>
            <w:noWrap w:val="0"/>
            <w:vAlign w:val="center"/>
          </w:tcPr>
          <w:p w14:paraId="6B779E9E">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呼吸系统防护</w:t>
            </w:r>
            <w:r>
              <w:rPr>
                <w:rFonts w:hint="eastAsia" w:ascii="Times New Roman" w:hAnsi="Times New Roman" w:cs="Times New Roman"/>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color w:val="000000"/>
                <w:spacing w:val="0"/>
                <w:w w:val="100"/>
                <w:kern w:val="21"/>
                <w:position w:val="0"/>
                <w:sz w:val="21"/>
                <w:szCs w:val="21"/>
                <w:u w:val="none" w:color="auto"/>
                <w:lang w:val="en-US" w:eastAsia="en-US" w:bidi="ar-SA"/>
              </w:rPr>
              <w:t>空气中浓度超标时，佩带自吸过渡式防毒面具(半面罩) 。紧急事态抢救或撤离时，建议佩带空气呼吸器、一氧化炭过滤式自救器</w:t>
            </w:r>
          </w:p>
        </w:tc>
      </w:tr>
      <w:tr w14:paraId="1EC8E4E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9" w:type="dxa"/>
            <w:vMerge w:val="continue"/>
            <w:tcBorders>
              <w:tl2br w:val="nil"/>
              <w:tr2bl w:val="nil"/>
            </w:tcBorders>
            <w:noWrap w:val="0"/>
            <w:vAlign w:val="center"/>
          </w:tcPr>
          <w:p w14:paraId="1E44E261">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p>
        </w:tc>
        <w:tc>
          <w:tcPr>
            <w:tcW w:w="759" w:type="dxa"/>
            <w:vMerge w:val="continue"/>
            <w:tcBorders>
              <w:tl2br w:val="nil"/>
              <w:tr2bl w:val="nil"/>
            </w:tcBorders>
            <w:noWrap w:val="0"/>
            <w:vAlign w:val="center"/>
          </w:tcPr>
          <w:p w14:paraId="0EE1E6E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p>
        </w:tc>
        <w:tc>
          <w:tcPr>
            <w:tcW w:w="8044" w:type="dxa"/>
            <w:tcBorders>
              <w:tl2br w:val="nil"/>
              <w:tr2bl w:val="nil"/>
            </w:tcBorders>
            <w:noWrap w:val="0"/>
            <w:vAlign w:val="center"/>
          </w:tcPr>
          <w:p w14:paraId="35AEC847">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眼睛防护</w:t>
            </w:r>
            <w:r>
              <w:rPr>
                <w:rFonts w:hint="eastAsia" w:ascii="Times New Roman" w:hAnsi="Times New Roman" w:cs="Times New Roman"/>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color w:val="000000"/>
                <w:spacing w:val="0"/>
                <w:w w:val="100"/>
                <w:kern w:val="21"/>
                <w:position w:val="0"/>
                <w:sz w:val="21"/>
                <w:szCs w:val="21"/>
                <w:u w:val="none" w:color="auto"/>
                <w:lang w:val="en-US" w:eastAsia="en-US" w:bidi="ar-SA"/>
              </w:rPr>
              <w:t>一般不需要特别防护，高浓度接触时可戴安全防护眼镜。</w:t>
            </w:r>
          </w:p>
        </w:tc>
      </w:tr>
      <w:tr w14:paraId="2A5D9BB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9" w:type="dxa"/>
            <w:vMerge w:val="continue"/>
            <w:tcBorders>
              <w:tl2br w:val="nil"/>
              <w:tr2bl w:val="nil"/>
            </w:tcBorders>
            <w:noWrap w:val="0"/>
            <w:vAlign w:val="center"/>
          </w:tcPr>
          <w:p w14:paraId="78BE0070">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p>
        </w:tc>
        <w:tc>
          <w:tcPr>
            <w:tcW w:w="759" w:type="dxa"/>
            <w:vMerge w:val="continue"/>
            <w:tcBorders>
              <w:tl2br w:val="nil"/>
              <w:tr2bl w:val="nil"/>
            </w:tcBorders>
            <w:noWrap w:val="0"/>
            <w:vAlign w:val="center"/>
          </w:tcPr>
          <w:p w14:paraId="2B6874A1">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p>
        </w:tc>
        <w:tc>
          <w:tcPr>
            <w:tcW w:w="8044" w:type="dxa"/>
            <w:tcBorders>
              <w:tl2br w:val="nil"/>
              <w:tr2bl w:val="nil"/>
            </w:tcBorders>
            <w:noWrap w:val="0"/>
            <w:vAlign w:val="center"/>
          </w:tcPr>
          <w:p w14:paraId="334E864F">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身体防护</w:t>
            </w:r>
            <w:r>
              <w:rPr>
                <w:rFonts w:hint="eastAsia" w:ascii="Times New Roman" w:hAnsi="Times New Roman" w:cs="Times New Roman"/>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color w:val="000000"/>
                <w:spacing w:val="0"/>
                <w:w w:val="100"/>
                <w:kern w:val="21"/>
                <w:position w:val="0"/>
                <w:sz w:val="21"/>
                <w:szCs w:val="21"/>
                <w:u w:val="none" w:color="auto"/>
                <w:lang w:val="en-US" w:eastAsia="en-US" w:bidi="ar-SA"/>
              </w:rPr>
              <w:t>穿防静电工作服。</w:t>
            </w:r>
          </w:p>
        </w:tc>
      </w:tr>
      <w:tr w14:paraId="6FEA7C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9" w:type="dxa"/>
            <w:vMerge w:val="continue"/>
            <w:tcBorders>
              <w:tl2br w:val="nil"/>
              <w:tr2bl w:val="nil"/>
            </w:tcBorders>
            <w:noWrap w:val="0"/>
            <w:vAlign w:val="center"/>
          </w:tcPr>
          <w:p w14:paraId="174F4411">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p>
        </w:tc>
        <w:tc>
          <w:tcPr>
            <w:tcW w:w="759" w:type="dxa"/>
            <w:vMerge w:val="continue"/>
            <w:tcBorders>
              <w:tl2br w:val="nil"/>
              <w:tr2bl w:val="nil"/>
            </w:tcBorders>
            <w:noWrap w:val="0"/>
            <w:vAlign w:val="center"/>
          </w:tcPr>
          <w:p w14:paraId="52572C44">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p>
        </w:tc>
        <w:tc>
          <w:tcPr>
            <w:tcW w:w="8044" w:type="dxa"/>
            <w:tcBorders>
              <w:tl2br w:val="nil"/>
              <w:tr2bl w:val="nil"/>
            </w:tcBorders>
            <w:noWrap w:val="0"/>
            <w:vAlign w:val="center"/>
          </w:tcPr>
          <w:p w14:paraId="656D95BD">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手防护</w:t>
            </w:r>
            <w:r>
              <w:rPr>
                <w:rFonts w:hint="eastAsia" w:ascii="Times New Roman" w:hAnsi="Times New Roman" w:cs="Times New Roman"/>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color w:val="000000"/>
                <w:spacing w:val="0"/>
                <w:w w:val="100"/>
                <w:kern w:val="21"/>
                <w:position w:val="0"/>
                <w:sz w:val="21"/>
                <w:szCs w:val="21"/>
                <w:u w:val="none" w:color="auto"/>
                <w:lang w:val="en-US" w:eastAsia="en-US" w:bidi="ar-SA"/>
              </w:rPr>
              <w:t>戴一般作业防护手套。</w:t>
            </w:r>
          </w:p>
        </w:tc>
      </w:tr>
      <w:tr w14:paraId="3AF05D2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9" w:type="dxa"/>
            <w:vMerge w:val="continue"/>
            <w:tcBorders>
              <w:tl2br w:val="nil"/>
              <w:tr2bl w:val="nil"/>
            </w:tcBorders>
            <w:noWrap w:val="0"/>
            <w:vAlign w:val="center"/>
          </w:tcPr>
          <w:p w14:paraId="14E28369">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p>
        </w:tc>
        <w:tc>
          <w:tcPr>
            <w:tcW w:w="759" w:type="dxa"/>
            <w:vMerge w:val="continue"/>
            <w:tcBorders>
              <w:tl2br w:val="nil"/>
              <w:tr2bl w:val="nil"/>
            </w:tcBorders>
            <w:noWrap w:val="0"/>
            <w:vAlign w:val="center"/>
          </w:tcPr>
          <w:p w14:paraId="13C3510E">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p>
        </w:tc>
        <w:tc>
          <w:tcPr>
            <w:tcW w:w="8044" w:type="dxa"/>
            <w:tcBorders>
              <w:tl2br w:val="nil"/>
              <w:tr2bl w:val="nil"/>
            </w:tcBorders>
            <w:noWrap w:val="0"/>
            <w:vAlign w:val="center"/>
          </w:tcPr>
          <w:p w14:paraId="6C5541A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eastAsia" w:ascii="Times New Roman" w:hAnsi="Times New Roman" w:cs="Times New Roman"/>
                <w:color w:val="000000"/>
                <w:spacing w:val="0"/>
                <w:w w:val="100"/>
                <w:kern w:val="21"/>
                <w:position w:val="0"/>
                <w:sz w:val="21"/>
                <w:szCs w:val="21"/>
                <w:u w:val="none" w:color="auto"/>
                <w:lang w:val="en-US" w:eastAsia="zh-CN" w:bidi="ar-SA"/>
              </w:rPr>
              <w:t>其他：</w:t>
            </w:r>
            <w:r>
              <w:rPr>
                <w:rFonts w:hint="default" w:ascii="Times New Roman" w:hAnsi="Times New Roman" w:eastAsia="宋体" w:cs="Times New Roman"/>
                <w:color w:val="000000"/>
                <w:spacing w:val="0"/>
                <w:w w:val="100"/>
                <w:kern w:val="21"/>
                <w:position w:val="0"/>
                <w:sz w:val="21"/>
                <w:szCs w:val="21"/>
                <w:u w:val="none" w:color="auto"/>
                <w:lang w:val="en-US" w:eastAsia="en-US" w:bidi="ar-SA"/>
              </w:rPr>
              <w:t>工作现场严禁吸烟。实行就业前和定期的</w:t>
            </w:r>
            <w:r>
              <w:rPr>
                <w:rFonts w:hint="eastAsia" w:ascii="Times New Roman" w:hAnsi="Times New Roman" w:cs="Times New Roman"/>
                <w:color w:val="000000"/>
                <w:spacing w:val="0"/>
                <w:w w:val="100"/>
                <w:kern w:val="21"/>
                <w:position w:val="0"/>
                <w:sz w:val="21"/>
                <w:szCs w:val="21"/>
                <w:u w:val="none" w:color="auto"/>
                <w:lang w:val="en-US" w:eastAsia="zh-CN" w:bidi="ar-SA"/>
              </w:rPr>
              <w:t>体检</w:t>
            </w:r>
            <w:r>
              <w:rPr>
                <w:rFonts w:hint="default" w:ascii="Times New Roman" w:hAnsi="Times New Roman" w:eastAsia="宋体" w:cs="Times New Roman"/>
                <w:color w:val="000000"/>
                <w:spacing w:val="0"/>
                <w:w w:val="100"/>
                <w:kern w:val="21"/>
                <w:position w:val="0"/>
                <w:sz w:val="21"/>
                <w:szCs w:val="21"/>
                <w:u w:val="none" w:color="auto"/>
                <w:lang w:val="en-US" w:eastAsia="en-US" w:bidi="ar-SA"/>
              </w:rPr>
              <w:t>。避免高浓度吸入。进入罐、限制性空间或其它高浓度区作业，须有人监护。</w:t>
            </w:r>
          </w:p>
        </w:tc>
      </w:tr>
      <w:tr w14:paraId="5E61BFC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9" w:type="dxa"/>
            <w:vMerge w:val="restart"/>
            <w:tcBorders>
              <w:tl2br w:val="nil"/>
              <w:tr2bl w:val="nil"/>
            </w:tcBorders>
            <w:noWrap w:val="0"/>
            <w:vAlign w:val="center"/>
          </w:tcPr>
          <w:p w14:paraId="6F35439B">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eastAsia" w:ascii="Times New Roman" w:hAnsi="Times New Roman" w:eastAsia="宋体" w:cs="Times New Roman"/>
                <w:color w:val="000000"/>
                <w:spacing w:val="0"/>
                <w:w w:val="100"/>
                <w:kern w:val="21"/>
                <w:position w:val="0"/>
                <w:sz w:val="21"/>
                <w:szCs w:val="21"/>
                <w:u w:val="none" w:color="auto"/>
                <w:lang w:val="en-US" w:eastAsia="zh-CN" w:bidi="ar-SA"/>
              </w:rPr>
            </w:pPr>
            <w:r>
              <w:rPr>
                <w:rFonts w:hint="eastAsia" w:ascii="Times New Roman" w:hAnsi="Times New Roman" w:cs="Times New Roman"/>
                <w:color w:val="000000"/>
                <w:spacing w:val="0"/>
                <w:w w:val="100"/>
                <w:kern w:val="21"/>
                <w:position w:val="0"/>
                <w:sz w:val="21"/>
                <w:szCs w:val="21"/>
                <w:u w:val="none" w:color="auto"/>
                <w:lang w:val="en-US" w:eastAsia="zh-CN" w:bidi="ar-SA"/>
              </w:rPr>
              <w:t>3</w:t>
            </w:r>
          </w:p>
        </w:tc>
        <w:tc>
          <w:tcPr>
            <w:tcW w:w="759" w:type="dxa"/>
            <w:vMerge w:val="restart"/>
            <w:tcBorders>
              <w:tl2br w:val="nil"/>
              <w:tr2bl w:val="nil"/>
            </w:tcBorders>
            <w:noWrap w:val="0"/>
            <w:vAlign w:val="center"/>
          </w:tcPr>
          <w:p w14:paraId="473FEA02">
            <w:pPr>
              <w:pStyle w:val="115"/>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急救</w:t>
            </w:r>
          </w:p>
        </w:tc>
        <w:tc>
          <w:tcPr>
            <w:tcW w:w="8044" w:type="dxa"/>
            <w:tcBorders>
              <w:tl2br w:val="nil"/>
              <w:tr2bl w:val="nil"/>
            </w:tcBorders>
            <w:noWrap w:val="0"/>
            <w:vAlign w:val="center"/>
          </w:tcPr>
          <w:p w14:paraId="6CCECB68">
            <w:pPr>
              <w:pStyle w:val="115"/>
              <w:keepNext w:val="0"/>
              <w:keepLines w:val="0"/>
              <w:pageBreakBefore w:val="0"/>
              <w:widowControl/>
              <w:kinsoku/>
              <w:wordWrap/>
              <w:overflowPunct/>
              <w:topLinePunct/>
              <w:autoSpaceDE/>
              <w:autoSpaceDN/>
              <w:bidi w:val="0"/>
              <w:adjustRightInd w:val="0"/>
              <w:snapToGrid w:val="0"/>
              <w:spacing w:before="28" w:line="219" w:lineRule="auto"/>
              <w:ind w:left="0" w:leftChars="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吸入</w:t>
            </w:r>
            <w:r>
              <w:rPr>
                <w:rFonts w:hint="eastAsia" w:ascii="Times New Roman" w:hAnsi="Times New Roman" w:cs="Times New Roman"/>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color w:val="000000"/>
                <w:spacing w:val="0"/>
                <w:w w:val="100"/>
                <w:kern w:val="21"/>
                <w:position w:val="0"/>
                <w:sz w:val="21"/>
                <w:szCs w:val="21"/>
                <w:u w:val="none" w:color="auto"/>
                <w:lang w:val="en-US" w:eastAsia="en-US" w:bidi="ar-SA"/>
              </w:rPr>
              <w:t>迅速脱离现场至空气新鲜处。保持呼吸道通畅。如呼吸困难，给输氧。呼吸心跳停止时，立即进行人工呼吸和胸外心脏按压术。就医。</w:t>
            </w:r>
          </w:p>
        </w:tc>
      </w:tr>
      <w:tr w14:paraId="0D48A87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9" w:type="dxa"/>
            <w:vMerge w:val="continue"/>
            <w:tcBorders>
              <w:tl2br w:val="nil"/>
              <w:tr2bl w:val="nil"/>
            </w:tcBorders>
            <w:noWrap w:val="0"/>
            <w:vAlign w:val="center"/>
          </w:tcPr>
          <w:p w14:paraId="3EB8BF4A">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p>
        </w:tc>
        <w:tc>
          <w:tcPr>
            <w:tcW w:w="759" w:type="dxa"/>
            <w:vMerge w:val="continue"/>
            <w:tcBorders>
              <w:tl2br w:val="nil"/>
              <w:tr2bl w:val="nil"/>
            </w:tcBorders>
            <w:noWrap w:val="0"/>
            <w:vAlign w:val="center"/>
          </w:tcPr>
          <w:p w14:paraId="5DCEB3C6">
            <w:pPr>
              <w:pStyle w:val="115"/>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p>
        </w:tc>
        <w:tc>
          <w:tcPr>
            <w:tcW w:w="8044" w:type="dxa"/>
            <w:tcBorders>
              <w:tl2br w:val="nil"/>
              <w:tr2bl w:val="nil"/>
            </w:tcBorders>
            <w:noWrap w:val="0"/>
            <w:vAlign w:val="center"/>
          </w:tcPr>
          <w:p w14:paraId="67988870">
            <w:pPr>
              <w:pStyle w:val="115"/>
              <w:keepNext w:val="0"/>
              <w:keepLines w:val="0"/>
              <w:pageBreakBefore w:val="0"/>
              <w:widowControl/>
              <w:kinsoku/>
              <w:wordWrap/>
              <w:overflowPunct/>
              <w:topLinePunct/>
              <w:autoSpaceDE/>
              <w:autoSpaceDN/>
              <w:bidi w:val="0"/>
              <w:adjustRightInd w:val="0"/>
              <w:snapToGrid w:val="0"/>
              <w:spacing w:before="30" w:line="219" w:lineRule="auto"/>
              <w:ind w:left="0" w:leftChars="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灭火方法</w:t>
            </w:r>
            <w:r>
              <w:rPr>
                <w:rFonts w:hint="eastAsia" w:ascii="Times New Roman" w:hAnsi="Times New Roman" w:cs="Times New Roman"/>
                <w:color w:val="000000"/>
                <w:spacing w:val="0"/>
                <w:w w:val="100"/>
                <w:kern w:val="21"/>
                <w:position w:val="0"/>
                <w:sz w:val="21"/>
                <w:szCs w:val="21"/>
                <w:u w:val="none" w:color="auto"/>
                <w:lang w:val="en-US" w:eastAsia="zh-CN" w:bidi="ar-SA"/>
              </w:rPr>
              <w:t>：</w:t>
            </w:r>
            <w:r>
              <w:rPr>
                <w:rFonts w:hint="default" w:ascii="Times New Roman" w:hAnsi="Times New Roman" w:eastAsia="宋体" w:cs="Times New Roman"/>
                <w:color w:val="000000"/>
                <w:spacing w:val="0"/>
                <w:w w:val="100"/>
                <w:kern w:val="21"/>
                <w:position w:val="0"/>
                <w:sz w:val="21"/>
                <w:szCs w:val="21"/>
                <w:u w:val="none" w:color="auto"/>
                <w:lang w:val="en-US" w:eastAsia="en-US" w:bidi="ar-SA"/>
              </w:rPr>
              <w:t>切断气源。若不能立即切断气源，则不允许熄灭正在燃烧的气体。喷水冷却容器，可能的话将容器从火场移至空旷处。灭火剂：雾状水、泡沫、二氧化炭、干粉。</w:t>
            </w:r>
          </w:p>
        </w:tc>
      </w:tr>
    </w:tbl>
    <w:p w14:paraId="5C10B80E">
      <w:pPr>
        <w:pStyle w:val="124"/>
        <w:bidi w:val="0"/>
        <w:jc w:val="center"/>
        <w:rPr>
          <w:rFonts w:hint="eastAsia" w:cs="Times New Roman"/>
          <w:color w:val="auto"/>
          <w:spacing w:val="0"/>
          <w:w w:val="100"/>
          <w:kern w:val="21"/>
          <w:position w:val="0"/>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w:t>
      </w:r>
      <w:r>
        <w:rPr>
          <w:rFonts w:hint="eastAsia" w:cs="Times New Roman"/>
          <w:color w:val="auto"/>
          <w:spacing w:val="0"/>
          <w:w w:val="100"/>
          <w:kern w:val="21"/>
          <w:position w:val="0"/>
          <w:sz w:val="24"/>
          <w:szCs w:val="24"/>
          <w:u w:val="none" w:color="auto"/>
          <w:lang w:val="en-US" w:eastAsia="zh-CN"/>
        </w:rPr>
        <w:t>氟化氢</w:t>
      </w:r>
      <w:r>
        <w:rPr>
          <w:rFonts w:hint="eastAsia" w:cs="Times New Roman"/>
          <w:color w:val="auto"/>
          <w:spacing w:val="0"/>
          <w:w w:val="100"/>
          <w:kern w:val="21"/>
          <w:position w:val="0"/>
          <w:u w:val="none" w:color="auto"/>
          <w:lang w:val="en-US" w:eastAsia="zh-CN"/>
        </w:rPr>
        <w:t>伴生事故应急处置措施</w:t>
      </w:r>
    </w:p>
    <w:tbl>
      <w:tblPr>
        <w:tblStyle w:val="114"/>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439"/>
        <w:gridCol w:w="759"/>
        <w:gridCol w:w="8044"/>
      </w:tblGrid>
      <w:tr w14:paraId="76CD5EB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9" w:type="dxa"/>
            <w:tcBorders>
              <w:tl2br w:val="nil"/>
              <w:tr2bl w:val="nil"/>
            </w:tcBorders>
            <w:noWrap w:val="0"/>
            <w:vAlign w:val="center"/>
          </w:tcPr>
          <w:p w14:paraId="5E59A2FF">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b/>
                <w:bCs/>
                <w:spacing w:val="0"/>
                <w:w w:val="100"/>
                <w:kern w:val="21"/>
                <w:position w:val="0"/>
                <w:sz w:val="21"/>
                <w:szCs w:val="21"/>
                <w:u w:val="none" w:color="auto"/>
              </w:rPr>
            </w:pPr>
            <w:r>
              <w:rPr>
                <w:rFonts w:hint="default" w:ascii="Times New Roman" w:hAnsi="Times New Roman" w:eastAsia="宋体" w:cs="Times New Roman"/>
                <w:b/>
                <w:bCs/>
                <w:spacing w:val="0"/>
                <w:w w:val="100"/>
                <w:kern w:val="21"/>
                <w:position w:val="0"/>
                <w:sz w:val="21"/>
                <w:szCs w:val="21"/>
                <w:u w:val="none" w:color="auto"/>
              </w:rPr>
              <w:t>序号</w:t>
            </w:r>
          </w:p>
        </w:tc>
        <w:tc>
          <w:tcPr>
            <w:tcW w:w="759" w:type="dxa"/>
            <w:tcBorders>
              <w:tl2br w:val="nil"/>
              <w:tr2bl w:val="nil"/>
            </w:tcBorders>
            <w:noWrap w:val="0"/>
            <w:vAlign w:val="center"/>
          </w:tcPr>
          <w:p w14:paraId="2A136FA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bCs/>
                <w:spacing w:val="0"/>
                <w:w w:val="100"/>
                <w:kern w:val="21"/>
                <w:position w:val="0"/>
                <w:sz w:val="21"/>
                <w:szCs w:val="21"/>
                <w:u w:val="none" w:color="auto"/>
              </w:rPr>
            </w:pPr>
            <w:r>
              <w:rPr>
                <w:rFonts w:hint="default" w:ascii="Times New Roman" w:hAnsi="Times New Roman" w:eastAsia="宋体" w:cs="Times New Roman"/>
                <w:b/>
                <w:bCs/>
                <w:spacing w:val="0"/>
                <w:w w:val="100"/>
                <w:kern w:val="21"/>
                <w:position w:val="0"/>
                <w:sz w:val="21"/>
                <w:szCs w:val="21"/>
                <w:u w:val="none" w:color="auto"/>
              </w:rPr>
              <w:t>事故情景</w:t>
            </w:r>
          </w:p>
        </w:tc>
        <w:tc>
          <w:tcPr>
            <w:tcW w:w="8044" w:type="dxa"/>
            <w:tcBorders>
              <w:tl2br w:val="nil"/>
              <w:tr2bl w:val="nil"/>
            </w:tcBorders>
            <w:noWrap w:val="0"/>
            <w:vAlign w:val="center"/>
          </w:tcPr>
          <w:p w14:paraId="7C816BA3">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bCs/>
                <w:spacing w:val="0"/>
                <w:w w:val="100"/>
                <w:kern w:val="21"/>
                <w:position w:val="0"/>
                <w:sz w:val="21"/>
                <w:szCs w:val="21"/>
                <w:u w:val="none" w:color="auto"/>
              </w:rPr>
            </w:pPr>
            <w:r>
              <w:rPr>
                <w:rFonts w:hint="default" w:ascii="Times New Roman" w:hAnsi="Times New Roman" w:eastAsia="宋体" w:cs="Times New Roman"/>
                <w:b/>
                <w:bCs/>
                <w:spacing w:val="0"/>
                <w:w w:val="100"/>
                <w:kern w:val="21"/>
                <w:position w:val="0"/>
                <w:sz w:val="21"/>
                <w:szCs w:val="21"/>
                <w:u w:val="none" w:color="auto"/>
              </w:rPr>
              <w:t>应急措施</w:t>
            </w:r>
          </w:p>
        </w:tc>
      </w:tr>
      <w:tr w14:paraId="4E182F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9" w:type="dxa"/>
            <w:tcBorders>
              <w:tl2br w:val="nil"/>
              <w:tr2bl w:val="nil"/>
            </w:tcBorders>
            <w:noWrap w:val="0"/>
            <w:vAlign w:val="center"/>
          </w:tcPr>
          <w:p w14:paraId="0F6EDA2B">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1</w:t>
            </w:r>
          </w:p>
        </w:tc>
        <w:tc>
          <w:tcPr>
            <w:tcW w:w="759" w:type="dxa"/>
            <w:tcBorders>
              <w:tl2br w:val="nil"/>
              <w:tr2bl w:val="nil"/>
            </w:tcBorders>
            <w:noWrap w:val="0"/>
            <w:vAlign w:val="center"/>
          </w:tcPr>
          <w:p w14:paraId="2334ED6C">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泄漏</w:t>
            </w:r>
          </w:p>
        </w:tc>
        <w:tc>
          <w:tcPr>
            <w:tcW w:w="8044" w:type="dxa"/>
            <w:tcBorders>
              <w:tl2br w:val="nil"/>
              <w:tr2bl w:val="nil"/>
            </w:tcBorders>
            <w:noWrap w:val="0"/>
            <w:vAlign w:val="center"/>
          </w:tcPr>
          <w:p w14:paraId="1B1907BF">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zh-CN" w:bidi="ar-SA"/>
              </w:rPr>
            </w:pPr>
            <w:r>
              <w:rPr>
                <w:rFonts w:hint="default" w:ascii="Times New Roman" w:hAnsi="Times New Roman" w:eastAsia="宋体" w:cs="Times New Roman"/>
                <w:color w:val="000000"/>
                <w:spacing w:val="0"/>
                <w:w w:val="100"/>
                <w:kern w:val="21"/>
                <w:position w:val="0"/>
                <w:sz w:val="21"/>
                <w:szCs w:val="21"/>
                <w:u w:val="none" w:color="auto"/>
                <w:lang w:val="en-US" w:eastAsia="zh-CN" w:bidi="ar-SA"/>
              </w:rPr>
              <w:t>全部人员快速向上风向、高处撤离，远离低洼、地下室、下水道、河道（HF 烟气易下沉积聚）；严禁向下风、密闭通道逃生</w:t>
            </w:r>
            <w:r>
              <w:rPr>
                <w:rFonts w:hint="eastAsia" w:ascii="Times New Roman" w:hAnsi="Times New Roman" w:cs="Times New Roman"/>
                <w:color w:val="000000"/>
                <w:spacing w:val="0"/>
                <w:w w:val="100"/>
                <w:kern w:val="21"/>
                <w:position w:val="0"/>
                <w:sz w:val="21"/>
                <w:szCs w:val="21"/>
                <w:u w:val="none" w:color="auto"/>
                <w:lang w:val="en-US" w:eastAsia="zh-CN" w:bidi="ar-SA"/>
              </w:rPr>
              <w:t>。切断燃烧区域高压电源、充电设备、加热蒸汽，防止电池持续热失控持续分解产HF，沙袋、黏土沿火场四周筑双层围堰，封堵雨水井、排水沟、地下管网；围堰内挖应急收集坑，所有灭火洗消废水、流淌电解液全部收容，严禁外排至土壤、地表水、地下水。</w:t>
            </w:r>
          </w:p>
        </w:tc>
      </w:tr>
      <w:tr w14:paraId="545094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67" w:hRule="atLeast"/>
          <w:jc w:val="center"/>
        </w:trPr>
        <w:tc>
          <w:tcPr>
            <w:tcW w:w="439" w:type="dxa"/>
            <w:vMerge w:val="restart"/>
            <w:tcBorders>
              <w:tl2br w:val="nil"/>
              <w:tr2bl w:val="nil"/>
            </w:tcBorders>
            <w:noWrap w:val="0"/>
            <w:vAlign w:val="center"/>
          </w:tcPr>
          <w:p w14:paraId="26D21DD5">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2</w:t>
            </w:r>
          </w:p>
        </w:tc>
        <w:tc>
          <w:tcPr>
            <w:tcW w:w="759" w:type="dxa"/>
            <w:vMerge w:val="restart"/>
            <w:tcBorders>
              <w:tl2br w:val="nil"/>
              <w:tr2bl w:val="nil"/>
            </w:tcBorders>
            <w:noWrap w:val="0"/>
            <w:vAlign w:val="center"/>
          </w:tcPr>
          <w:p w14:paraId="36BCB6B2">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color w:val="000000"/>
                <w:spacing w:val="0"/>
                <w:w w:val="100"/>
                <w:kern w:val="21"/>
                <w:position w:val="0"/>
                <w:sz w:val="21"/>
                <w:szCs w:val="21"/>
                <w:u w:val="none" w:color="auto"/>
                <w:lang w:val="en-US" w:eastAsia="zh-CN" w:bidi="ar-SA"/>
              </w:rPr>
            </w:pPr>
            <w:r>
              <w:rPr>
                <w:rFonts w:hint="eastAsia" w:ascii="Times New Roman" w:hAnsi="Times New Roman" w:cs="Times New Roman"/>
                <w:color w:val="000000"/>
                <w:spacing w:val="0"/>
                <w:w w:val="100"/>
                <w:kern w:val="21"/>
                <w:position w:val="0"/>
                <w:sz w:val="21"/>
                <w:szCs w:val="21"/>
                <w:u w:val="none" w:color="auto"/>
                <w:lang w:val="en-US" w:eastAsia="zh-CN" w:bidi="ar-SA"/>
              </w:rPr>
              <w:t>防护</w:t>
            </w:r>
          </w:p>
        </w:tc>
        <w:tc>
          <w:tcPr>
            <w:tcW w:w="8044" w:type="dxa"/>
            <w:tcBorders>
              <w:tl2br w:val="nil"/>
              <w:tr2bl w:val="nil"/>
            </w:tcBorders>
            <w:noWrap w:val="0"/>
            <w:vAlign w:val="center"/>
          </w:tcPr>
          <w:p w14:paraId="2632DEE8">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eastAsia" w:ascii="Times New Roman" w:hAnsi="Times New Roman" w:eastAsia="宋体" w:cs="Times New Roman"/>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color w:val="000000"/>
                <w:spacing w:val="0"/>
                <w:w w:val="100"/>
                <w:kern w:val="21"/>
                <w:position w:val="0"/>
                <w:sz w:val="21"/>
                <w:szCs w:val="21"/>
                <w:u w:val="none" w:color="auto"/>
                <w:lang w:val="en-US" w:eastAsia="zh-CN" w:bidi="ar-SA"/>
              </w:rPr>
              <w:t>火场、HF 烟气高浓度区域：必须使用与空呼一体的全密封全面罩</w:t>
            </w:r>
            <w:r>
              <w:rPr>
                <w:rFonts w:hint="eastAsia" w:ascii="Times New Roman" w:hAnsi="Times New Roman" w:cs="Times New Roman"/>
                <w:color w:val="000000"/>
                <w:spacing w:val="0"/>
                <w:w w:val="100"/>
                <w:kern w:val="21"/>
                <w:position w:val="0"/>
                <w:sz w:val="21"/>
                <w:szCs w:val="21"/>
                <w:u w:val="none" w:color="auto"/>
                <w:lang w:val="en-US" w:eastAsia="zh-CN" w:bidi="ar-SA"/>
              </w:rPr>
              <w:t>，火灾次生 HF 抢险作业：A 级气密阻燃耐氢氟酸全封闭防化服；火场抢险：手防护：双层丁基橡胶手套（内层薄款、外层加厚）</w:t>
            </w:r>
          </w:p>
        </w:tc>
      </w:tr>
      <w:tr w14:paraId="0EA4D91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39" w:type="dxa"/>
            <w:tcBorders>
              <w:tl2br w:val="nil"/>
              <w:tr2bl w:val="nil"/>
            </w:tcBorders>
            <w:noWrap w:val="0"/>
            <w:vAlign w:val="center"/>
          </w:tcPr>
          <w:p w14:paraId="7843C88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eastAsia" w:ascii="Times New Roman" w:hAnsi="Times New Roman" w:eastAsia="宋体" w:cs="Times New Roman"/>
                <w:color w:val="000000"/>
                <w:spacing w:val="0"/>
                <w:w w:val="100"/>
                <w:kern w:val="21"/>
                <w:position w:val="0"/>
                <w:sz w:val="21"/>
                <w:szCs w:val="21"/>
                <w:u w:val="none" w:color="auto"/>
                <w:lang w:val="en-US" w:eastAsia="zh-CN" w:bidi="ar-SA"/>
              </w:rPr>
            </w:pPr>
            <w:r>
              <w:rPr>
                <w:rFonts w:hint="eastAsia" w:ascii="Times New Roman" w:hAnsi="Times New Roman" w:cs="Times New Roman"/>
                <w:color w:val="000000"/>
                <w:spacing w:val="0"/>
                <w:w w:val="100"/>
                <w:kern w:val="21"/>
                <w:position w:val="0"/>
                <w:sz w:val="21"/>
                <w:szCs w:val="21"/>
                <w:u w:val="none" w:color="auto"/>
                <w:lang w:val="en-US" w:eastAsia="zh-CN" w:bidi="ar-SA"/>
              </w:rPr>
              <w:t>3</w:t>
            </w:r>
          </w:p>
        </w:tc>
        <w:tc>
          <w:tcPr>
            <w:tcW w:w="759" w:type="dxa"/>
            <w:tcBorders>
              <w:tl2br w:val="nil"/>
              <w:tr2bl w:val="nil"/>
            </w:tcBorders>
            <w:noWrap w:val="0"/>
            <w:vAlign w:val="center"/>
          </w:tcPr>
          <w:p w14:paraId="174BA0F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default" w:ascii="Times New Roman" w:hAnsi="Times New Roman" w:eastAsia="宋体" w:cs="Times New Roman"/>
                <w:color w:val="000000"/>
                <w:spacing w:val="0"/>
                <w:w w:val="100"/>
                <w:kern w:val="21"/>
                <w:position w:val="0"/>
                <w:sz w:val="21"/>
                <w:szCs w:val="21"/>
                <w:u w:val="none" w:color="auto"/>
                <w:lang w:val="en-US" w:eastAsia="en-US" w:bidi="ar-SA"/>
              </w:rPr>
              <w:t>急救</w:t>
            </w:r>
          </w:p>
        </w:tc>
        <w:tc>
          <w:tcPr>
            <w:tcW w:w="8044" w:type="dxa"/>
            <w:tcBorders>
              <w:tl2br w:val="nil"/>
              <w:tr2bl w:val="nil"/>
            </w:tcBorders>
            <w:noWrap w:val="0"/>
            <w:vAlign w:val="center"/>
          </w:tcPr>
          <w:p w14:paraId="586D0CD9">
            <w:pPr>
              <w:pStyle w:val="115"/>
              <w:keepNext w:val="0"/>
              <w:keepLines w:val="0"/>
              <w:pageBreakBefore w:val="0"/>
              <w:widowControl/>
              <w:kinsoku/>
              <w:wordWrap/>
              <w:overflowPunct/>
              <w:topLinePunct/>
              <w:autoSpaceDE/>
              <w:autoSpaceDN/>
              <w:bidi w:val="0"/>
              <w:adjustRightInd w:val="0"/>
              <w:snapToGrid w:val="0"/>
              <w:spacing w:before="28" w:line="219" w:lineRule="auto"/>
              <w:ind w:left="0" w:leftChars="0" w:firstLine="0" w:firstLineChars="0"/>
              <w:jc w:val="both"/>
              <w:textAlignment w:val="auto"/>
              <w:rPr>
                <w:rFonts w:hint="default" w:ascii="Times New Roman" w:hAnsi="Times New Roman" w:eastAsia="宋体" w:cs="Times New Roman"/>
                <w:color w:val="000000"/>
                <w:spacing w:val="0"/>
                <w:w w:val="100"/>
                <w:kern w:val="21"/>
                <w:position w:val="0"/>
                <w:sz w:val="21"/>
                <w:szCs w:val="21"/>
                <w:u w:val="none" w:color="auto"/>
                <w:lang w:val="en-US" w:eastAsia="en-US" w:bidi="ar-SA"/>
              </w:rPr>
            </w:pPr>
            <w:r>
              <w:rPr>
                <w:rFonts w:hint="eastAsia" w:ascii="Times New Roman" w:hAnsi="Times New Roman" w:eastAsia="宋体" w:cs="Times New Roman"/>
                <w:color w:val="000000"/>
                <w:spacing w:val="0"/>
                <w:w w:val="100"/>
                <w:kern w:val="21"/>
                <w:position w:val="0"/>
                <w:sz w:val="21"/>
                <w:szCs w:val="21"/>
                <w:u w:val="none" w:color="auto"/>
                <w:lang w:val="en-US" w:eastAsia="zh-CN" w:bidi="ar-SA"/>
              </w:rPr>
              <w:t>迅速转移至上风向洁净空气区，静卧、半卧位吸氧，禁止走动（加重肺部损伤）</w:t>
            </w:r>
            <w:r>
              <w:rPr>
                <w:rFonts w:hint="eastAsia" w:ascii="Times New Roman" w:hAnsi="Times New Roman" w:cs="Times New Roman"/>
                <w:color w:val="000000"/>
                <w:spacing w:val="0"/>
                <w:w w:val="100"/>
                <w:kern w:val="21"/>
                <w:position w:val="0"/>
                <w:sz w:val="21"/>
                <w:szCs w:val="21"/>
                <w:u w:val="none" w:color="auto"/>
                <w:lang w:val="en-US" w:eastAsia="zh-CN" w:bidi="ar-SA"/>
              </w:rPr>
              <w:t>，采用 2% 碳酸氢钠雾化吸入中和呼吸道内 HF，呼吸困难、心跳骤停立即实施心肺复苏，就医。</w:t>
            </w:r>
          </w:p>
        </w:tc>
      </w:tr>
    </w:tbl>
    <w:p w14:paraId="07967575">
      <w:pPr>
        <w:pStyle w:val="128"/>
        <w:numPr>
          <w:ilvl w:val="2"/>
          <w:numId w:val="0"/>
        </w:numPr>
        <w:bidi w:val="0"/>
        <w:ind w:leftChars="0"/>
        <w:outlineLvl w:val="2"/>
        <w:rPr>
          <w:rFonts w:hint="eastAsia" w:ascii="Times New Roman" w:hAnsi="Times New Roman" w:eastAsia="宋体" w:cs="Times New Roman"/>
          <w:color w:val="auto"/>
          <w:spacing w:val="0"/>
          <w:w w:val="100"/>
          <w:kern w:val="21"/>
          <w:position w:val="0"/>
          <w:u w:val="none" w:color="auto"/>
          <w:lang w:val="en-US" w:eastAsia="zh-CN"/>
        </w:rPr>
      </w:pPr>
      <w:r>
        <w:rPr>
          <w:rFonts w:hint="eastAsia" w:cs="Times New Roman"/>
          <w:color w:val="auto"/>
          <w:spacing w:val="0"/>
          <w:w w:val="100"/>
          <w:kern w:val="21"/>
          <w:position w:val="0"/>
          <w:u w:val="none" w:color="auto"/>
          <w:lang w:val="en-US" w:eastAsia="zh-CN"/>
        </w:rPr>
        <w:t>9.6</w:t>
      </w:r>
      <w:r>
        <w:rPr>
          <w:rFonts w:hint="eastAsia" w:ascii="Times New Roman" w:hAnsi="Times New Roman" w:eastAsia="宋体" w:cs="Times New Roman"/>
          <w:color w:val="auto"/>
          <w:spacing w:val="0"/>
          <w:w w:val="100"/>
          <w:kern w:val="21"/>
          <w:position w:val="0"/>
          <w:u w:val="none" w:color="auto"/>
          <w:lang w:val="en-US" w:eastAsia="zh-CN"/>
        </w:rPr>
        <w:t>风险监控及应急监测系统</w:t>
      </w:r>
    </w:p>
    <w:p w14:paraId="3A892901">
      <w:pPr>
        <w:spacing w:line="520" w:lineRule="exact"/>
        <w:ind w:firstLine="480" w:firstLineChars="200"/>
        <w:rPr>
          <w:rFonts w:hint="eastAsia" w:ascii="Times New Roman" w:hAnsi="Times New Roman" w:eastAsia="宋体" w:cs="Times New Roman"/>
          <w:color w:val="000000"/>
          <w:sz w:val="24"/>
          <w:szCs w:val="24"/>
          <w:u w:val="none" w:color="auto"/>
        </w:rPr>
      </w:pPr>
      <w:r>
        <w:rPr>
          <w:rFonts w:hint="eastAsia" w:ascii="Times New Roman" w:hAnsi="Times New Roman" w:eastAsia="宋体" w:cs="Times New Roman"/>
          <w:color w:val="000000"/>
          <w:sz w:val="24"/>
          <w:szCs w:val="24"/>
          <w:u w:val="none" w:color="auto"/>
        </w:rPr>
        <w:t>企业在突发性污染事故发生时，按事故处置预案进行处置的同时，应立即开展环境风险应急监测，以确定污染的范围和程度，为政府和环保管理部门采取应急响应级别和采取措施提供依据。</w:t>
      </w:r>
    </w:p>
    <w:p w14:paraId="78C9CB62">
      <w:pPr>
        <w:pStyle w:val="128"/>
        <w:numPr>
          <w:ilvl w:val="2"/>
          <w:numId w:val="0"/>
        </w:numPr>
        <w:bidi w:val="0"/>
        <w:ind w:leftChars="0"/>
        <w:outlineLvl w:val="2"/>
        <w:rPr>
          <w:rFonts w:hint="default" w:cs="Times New Roman"/>
          <w:color w:val="auto"/>
          <w:spacing w:val="0"/>
          <w:w w:val="100"/>
          <w:kern w:val="21"/>
          <w:position w:val="0"/>
          <w:u w:val="none" w:color="auto"/>
          <w:lang w:val="en-US" w:eastAsia="zh-CN"/>
        </w:rPr>
      </w:pPr>
      <w:r>
        <w:rPr>
          <w:rFonts w:hint="eastAsia" w:cs="Times New Roman"/>
          <w:color w:val="auto"/>
          <w:spacing w:val="0"/>
          <w:w w:val="100"/>
          <w:kern w:val="21"/>
          <w:position w:val="0"/>
          <w:u w:val="none" w:color="auto"/>
          <w:lang w:val="en-US" w:eastAsia="zh-CN"/>
        </w:rPr>
        <w:t>9.7突发环境事件应急预案编制要求</w:t>
      </w:r>
    </w:p>
    <w:p w14:paraId="7A86708A">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（1）企业突发环境事件应急预案</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编制</w:t>
      </w:r>
    </w:p>
    <w:p w14:paraId="2C81B29B">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建设单位</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应及时编制</w:t>
      </w: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企业突发事件应急预案，主要内容应包括预案适用范围、突发事件分类与分级、组织机构与职责、监控和预警、应急响应、应急保障、善后处置、预案管理和演练等内容。</w:t>
      </w:r>
    </w:p>
    <w:p w14:paraId="04679BA2">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（2）</w:t>
      </w: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园区应急预案的衔接与联动内容</w:t>
      </w:r>
    </w:p>
    <w:p w14:paraId="203DD71D">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拟建项目应急预案修编应与园区、地方政府突发事件应急预案相衔接，明确分级响应程序，将拟建项目环境风险防范措施纳入园区环境风险应急联动。</w:t>
      </w:r>
    </w:p>
    <w:p w14:paraId="423E9799">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园区突发环境事件应急指挥部应在企业较聚集的道路醒目位置设置疏散和撤离的路线指示牌，指示牌应附相应的文字提醒，如人员不要在低洼处滞留、撤离时应往事发地的上风向或侧风向转移等。</w:t>
      </w:r>
    </w:p>
    <w:p w14:paraId="0A6AE5DE">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项目建成后建设单位应与征求地方人民政府应急中心意见制定专项事故应急预案，保证在接到事故通报1h内将</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影响范围内</w:t>
      </w: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的全部人员撤离到安全地带。根据不同突发环境事件情景，建设单位应立即启动应急预案，并及时根据事态发展与地方政府部门联系，启动园区、地方应急预案。</w:t>
      </w:r>
    </w:p>
    <w:p w14:paraId="3516ED71">
      <w:pPr>
        <w:keepNext w:val="0"/>
        <w:keepLines w:val="0"/>
        <w:pageBreakBefore w:val="0"/>
        <w:numPr>
          <w:ilvl w:val="0"/>
          <w:numId w:val="4"/>
        </w:numPr>
        <w:kinsoku/>
        <w:wordWrap/>
        <w:overflowPunct/>
        <w:autoSpaceDE/>
        <w:autoSpaceDN/>
        <w:bidi w:val="0"/>
        <w:spacing w:line="500" w:lineRule="exact"/>
        <w:textAlignment w:val="auto"/>
        <w:outlineLvl w:val="0"/>
        <w:rPr>
          <w:rFonts w:hint="eastAsia" w:ascii="Times New Roman" w:hAnsi="Times New Roman" w:eastAsia="宋体" w:cs="Times New Roman"/>
          <w:b/>
          <w:color w:val="auto"/>
          <w:spacing w:val="0"/>
          <w:w w:val="100"/>
          <w:kern w:val="21"/>
          <w:position w:val="0"/>
          <w:sz w:val="30"/>
          <w:szCs w:val="30"/>
          <w:u w:val="none" w:color="auto"/>
          <w:lang w:val="en-US" w:eastAsia="zh-CN"/>
        </w:rPr>
      </w:pPr>
      <w:r>
        <w:rPr>
          <w:rFonts w:hint="eastAsia" w:ascii="Times New Roman" w:hAnsi="Times New Roman" w:eastAsia="宋体" w:cs="Times New Roman"/>
          <w:b/>
          <w:color w:val="auto"/>
          <w:spacing w:val="0"/>
          <w:w w:val="100"/>
          <w:kern w:val="21"/>
          <w:position w:val="0"/>
          <w:sz w:val="30"/>
          <w:szCs w:val="30"/>
          <w:u w:val="none" w:color="auto"/>
          <w:lang w:val="en-US" w:eastAsia="zh-CN"/>
        </w:rPr>
        <w:t>风险评价结论与建议</w:t>
      </w:r>
    </w:p>
    <w:p w14:paraId="2214C9E5">
      <w:pPr>
        <w:keepNext w:val="0"/>
        <w:keepLines w:val="0"/>
        <w:pageBreakBefore w:val="0"/>
        <w:widowControl/>
        <w:kinsoku/>
        <w:wordWrap/>
        <w:overflowPunct/>
        <w:topLinePunct/>
        <w:autoSpaceDE/>
        <w:autoSpaceDN/>
        <w:bidi w:val="0"/>
        <w:adjustRightInd w:val="0"/>
        <w:snapToGrid w:val="0"/>
        <w:spacing w:line="500" w:lineRule="exact"/>
        <w:ind w:left="0" w:leftChars="0" w:right="0" w:firstLine="0" w:firstLineChars="0"/>
        <w:jc w:val="both"/>
        <w:textAlignment w:val="auto"/>
        <w:rPr>
          <w:rFonts w:hint="default" w:ascii="Times New Roman" w:hAnsi="Times New Roman" w:eastAsia="宋体" w:cs="Times New Roman"/>
          <w:b/>
          <w:snapToGrid/>
          <w:color w:val="auto"/>
          <w:spacing w:val="0"/>
          <w:w w:val="100"/>
          <w:kern w:val="21"/>
          <w:position w:val="0"/>
          <w:sz w:val="24"/>
          <w:szCs w:val="24"/>
          <w:u w:val="none" w:color="auto"/>
          <w:lang w:val="en-US" w:eastAsia="zh-CN" w:bidi="ar-SA"/>
        </w:rPr>
      </w:pPr>
      <w:r>
        <w:rPr>
          <w:rFonts w:hint="eastAsia" w:cs="Times New Roman"/>
          <w:b/>
          <w:snapToGrid/>
          <w:color w:val="auto"/>
          <w:spacing w:val="0"/>
          <w:w w:val="100"/>
          <w:kern w:val="21"/>
          <w:position w:val="0"/>
          <w:sz w:val="24"/>
          <w:szCs w:val="24"/>
          <w:u w:val="none" w:color="auto"/>
          <w:lang w:val="en-US" w:eastAsia="zh-CN" w:bidi="ar-SA"/>
        </w:rPr>
        <w:t>10</w:t>
      </w:r>
      <w:r>
        <w:rPr>
          <w:rFonts w:hint="default" w:ascii="Times New Roman" w:hAnsi="Times New Roman" w:eastAsia="宋体" w:cs="Times New Roman"/>
          <w:b/>
          <w:snapToGrid/>
          <w:color w:val="auto"/>
          <w:spacing w:val="0"/>
          <w:w w:val="100"/>
          <w:kern w:val="21"/>
          <w:position w:val="0"/>
          <w:sz w:val="24"/>
          <w:szCs w:val="24"/>
          <w:u w:val="none" w:color="auto"/>
          <w:lang w:val="en-US" w:eastAsia="zh-CN" w:bidi="ar-SA"/>
        </w:rPr>
        <w:t>.1项目危险因素</w:t>
      </w:r>
    </w:p>
    <w:p w14:paraId="628B8D4B">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拟建项目主要危险物质为</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锰酸锂</w:t>
      </w:r>
      <w:r>
        <w:rPr>
          <w:rFonts w:hint="eastAsia" w:cs="Times New Roman"/>
          <w:snapToGrid w:val="0"/>
          <w:color w:val="000000"/>
          <w:spacing w:val="0"/>
          <w:w w:val="100"/>
          <w:kern w:val="21"/>
          <w:position w:val="0"/>
          <w:sz w:val="24"/>
          <w:szCs w:val="24"/>
          <w:u w:val="none" w:color="auto"/>
          <w:lang w:val="en-US" w:eastAsia="zh-CN" w:bidi="ar-SA"/>
        </w:rPr>
        <w:t>、镍钴锰酸锂、电解液以及NMP</w:t>
      </w: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等，风险单元为生产单元、环保单元，重要风险单元分布集中在</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项目厂房</w:t>
      </w: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，考虑涉及的风险物质具有易燃易爆物质，建议生产中严格按照安全规程进行管理操作的同时，尽可能降低危险物质最大存在量，全面提升生产异常、物质泄漏预警监控系统，加大巡视。</w:t>
      </w:r>
    </w:p>
    <w:p w14:paraId="43C77EBA">
      <w:pPr>
        <w:keepNext w:val="0"/>
        <w:keepLines w:val="0"/>
        <w:pageBreakBefore w:val="0"/>
        <w:widowControl/>
        <w:kinsoku/>
        <w:wordWrap/>
        <w:overflowPunct/>
        <w:topLinePunct/>
        <w:autoSpaceDE/>
        <w:autoSpaceDN/>
        <w:bidi w:val="0"/>
        <w:adjustRightInd w:val="0"/>
        <w:snapToGrid w:val="0"/>
        <w:spacing w:line="500" w:lineRule="exact"/>
        <w:ind w:left="0" w:leftChars="0" w:right="0" w:firstLine="0" w:firstLineChars="0"/>
        <w:jc w:val="both"/>
        <w:textAlignment w:val="auto"/>
        <w:rPr>
          <w:rFonts w:hint="default" w:ascii="Times New Roman" w:hAnsi="Times New Roman" w:eastAsia="宋体" w:cs="Times New Roman"/>
          <w:b/>
          <w:snapToGrid/>
          <w:color w:val="auto"/>
          <w:spacing w:val="0"/>
          <w:w w:val="100"/>
          <w:kern w:val="21"/>
          <w:position w:val="0"/>
          <w:sz w:val="24"/>
          <w:szCs w:val="24"/>
          <w:u w:val="none" w:color="auto"/>
          <w:lang w:val="en-US" w:eastAsia="zh-CN" w:bidi="ar-SA"/>
        </w:rPr>
      </w:pPr>
      <w:r>
        <w:rPr>
          <w:rFonts w:hint="eastAsia" w:cs="Times New Roman"/>
          <w:b/>
          <w:snapToGrid/>
          <w:color w:val="auto"/>
          <w:spacing w:val="0"/>
          <w:w w:val="100"/>
          <w:kern w:val="21"/>
          <w:position w:val="0"/>
          <w:sz w:val="24"/>
          <w:szCs w:val="24"/>
          <w:u w:val="none" w:color="auto"/>
          <w:lang w:val="en-US" w:eastAsia="zh-CN" w:bidi="ar-SA"/>
        </w:rPr>
        <w:t>10.</w:t>
      </w:r>
      <w:r>
        <w:rPr>
          <w:rFonts w:hint="default" w:ascii="Times New Roman" w:hAnsi="Times New Roman" w:eastAsia="宋体" w:cs="Times New Roman"/>
          <w:b/>
          <w:snapToGrid/>
          <w:color w:val="auto"/>
          <w:spacing w:val="0"/>
          <w:w w:val="100"/>
          <w:kern w:val="21"/>
          <w:position w:val="0"/>
          <w:sz w:val="24"/>
          <w:szCs w:val="24"/>
          <w:u w:val="none" w:color="auto"/>
          <w:lang w:val="en-US" w:eastAsia="zh-CN" w:bidi="ar-SA"/>
        </w:rPr>
        <w:t>2环境敏感性及事故环境影响</w:t>
      </w:r>
    </w:p>
    <w:p w14:paraId="0F9CFB24">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本项目边界外500米范围内人口总数2000人大于1000人，5km范围内人数为125668＞5万人，大气环境敏感型为 E1；项目产生的废水处理后，经市政管网排入新乡市贾屯污水处理厂处理达标后，排入东孟姜女河，东孟姜女河水体功能Ⅲ类，地表水环境敏感程度分级为 E3，地下水环境敏感程度分级为 E3。</w:t>
      </w:r>
    </w:p>
    <w:p w14:paraId="5E87C87E">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通过对地表水、地下水环境风险分析，废水在企业废水三级防控体系完善情况下，项目废水排放对区域地表水影响较小；项目建设范围采取分区防渗后，地下水渗漏环境风险较小</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w:t>
      </w:r>
    </w:p>
    <w:p w14:paraId="1CF42547">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根据风险事故情形分析，本次评价设定的风险事故类型为电解液泄漏后遇明火导致火灾。预测结果表明，在最不利气象条件下火灾</w:t>
      </w: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 xml:space="preserve">次生伴生污染物 CO </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的最大落地浓度出现在距离泄漏位置 60</w:t>
      </w: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 xml:space="preserve">m </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处，最大落地浓度为50.76</w:t>
      </w: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mg/m</w:t>
      </w:r>
      <w:r>
        <w:rPr>
          <w:rFonts w:hint="eastAsia" w:ascii="Times New Roman" w:hAnsi="Times New Roman" w:eastAsia="宋体" w:cs="Times New Roman"/>
          <w:snapToGrid w:val="0"/>
          <w:color w:val="000000"/>
          <w:spacing w:val="0"/>
          <w:w w:val="100"/>
          <w:kern w:val="21"/>
          <w:position w:val="0"/>
          <w:sz w:val="24"/>
          <w:szCs w:val="24"/>
          <w:u w:val="none" w:color="auto"/>
          <w:vertAlign w:val="superscript"/>
          <w:lang w:val="en-US" w:eastAsia="zh-CN" w:bidi="ar-SA"/>
        </w:rPr>
        <w:t>3</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w:t>
      </w: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次生伴生污染物</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氟化氢最大落地浓度出现在距离泄漏位置310</w:t>
      </w: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 xml:space="preserve">m </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处，最大落地浓度为0.000349</w:t>
      </w: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mg/m</w:t>
      </w:r>
      <w:r>
        <w:rPr>
          <w:rFonts w:hint="eastAsia" w:ascii="Times New Roman" w:hAnsi="Times New Roman" w:eastAsia="宋体" w:cs="Times New Roman"/>
          <w:snapToGrid w:val="0"/>
          <w:color w:val="000000"/>
          <w:spacing w:val="0"/>
          <w:w w:val="100"/>
          <w:kern w:val="21"/>
          <w:position w:val="0"/>
          <w:sz w:val="24"/>
          <w:szCs w:val="24"/>
          <w:u w:val="none" w:color="auto"/>
          <w:vertAlign w:val="superscript"/>
          <w:lang w:val="en-US" w:eastAsia="zh-CN" w:bidi="ar-SA"/>
        </w:rPr>
        <w:t>3</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均未出现毒性终点浓度。根据现场调查可知，企业周边500m范围内存在大气环境风险受体，火灾事件发生时，企业员工短期内吸入较高浓度者有毒气体将造成一定影响。因此，在发生大规模火灾事件时应在最短时间内及时通知厂区内的人群疏散，以免产生人员中毒现象。在此前提下，事件风险处于可接受水平。一旦发生事故，应启动企业应急预案并和园区、政府应急预案联动。</w:t>
      </w:r>
    </w:p>
    <w:p w14:paraId="16DAB947">
      <w:pPr>
        <w:keepNext w:val="0"/>
        <w:keepLines w:val="0"/>
        <w:pageBreakBefore w:val="0"/>
        <w:widowControl/>
        <w:kinsoku/>
        <w:wordWrap/>
        <w:overflowPunct/>
        <w:topLinePunct/>
        <w:autoSpaceDE/>
        <w:autoSpaceDN/>
        <w:bidi w:val="0"/>
        <w:adjustRightInd w:val="0"/>
        <w:snapToGrid w:val="0"/>
        <w:spacing w:line="500" w:lineRule="exact"/>
        <w:ind w:left="0" w:leftChars="0" w:right="0" w:firstLine="0" w:firstLineChars="0"/>
        <w:jc w:val="both"/>
        <w:textAlignment w:val="auto"/>
        <w:rPr>
          <w:rFonts w:hint="default" w:ascii="Times New Roman" w:hAnsi="Times New Roman" w:eastAsia="宋体" w:cs="Times New Roman"/>
          <w:b/>
          <w:snapToGrid/>
          <w:color w:val="auto"/>
          <w:spacing w:val="0"/>
          <w:w w:val="100"/>
          <w:kern w:val="21"/>
          <w:position w:val="0"/>
          <w:sz w:val="24"/>
          <w:szCs w:val="24"/>
          <w:u w:val="none" w:color="auto"/>
          <w:lang w:val="en-US" w:eastAsia="zh-CN" w:bidi="ar-SA"/>
        </w:rPr>
      </w:pPr>
      <w:r>
        <w:rPr>
          <w:rFonts w:hint="eastAsia" w:cs="Times New Roman"/>
          <w:b/>
          <w:snapToGrid/>
          <w:color w:val="auto"/>
          <w:spacing w:val="0"/>
          <w:w w:val="100"/>
          <w:kern w:val="21"/>
          <w:position w:val="0"/>
          <w:sz w:val="24"/>
          <w:szCs w:val="24"/>
          <w:u w:val="none" w:color="auto"/>
          <w:lang w:val="en-US" w:eastAsia="zh-CN" w:bidi="ar-SA"/>
        </w:rPr>
        <w:t>10</w:t>
      </w:r>
      <w:r>
        <w:rPr>
          <w:rFonts w:hint="default" w:ascii="Times New Roman" w:hAnsi="Times New Roman" w:eastAsia="宋体" w:cs="Times New Roman"/>
          <w:b/>
          <w:snapToGrid/>
          <w:color w:val="auto"/>
          <w:spacing w:val="0"/>
          <w:w w:val="100"/>
          <w:kern w:val="21"/>
          <w:position w:val="0"/>
          <w:sz w:val="24"/>
          <w:szCs w:val="24"/>
          <w:u w:val="none" w:color="auto"/>
          <w:lang w:val="en-US" w:eastAsia="zh-CN" w:bidi="ar-SA"/>
        </w:rPr>
        <w:t>.3环境风险防范措施和应急预案</w:t>
      </w:r>
    </w:p>
    <w:p w14:paraId="137D30AC">
      <w:pPr>
        <w:spacing w:line="520" w:lineRule="exact"/>
        <w:ind w:firstLine="480" w:firstLineChars="200"/>
        <w:rPr>
          <w:rFonts w:hint="eastAsia" w:ascii="Times New Roman" w:hAnsi="Times New Roman" w:eastAsia="宋体" w:cs="Times New Roman"/>
          <w:color w:val="000000"/>
          <w:sz w:val="24"/>
          <w:szCs w:val="24"/>
          <w:u w:val="none" w:color="auto"/>
        </w:rPr>
      </w:pPr>
      <w:r>
        <w:rPr>
          <w:rFonts w:hint="eastAsia" w:ascii="Times New Roman" w:hAnsi="Times New Roman" w:eastAsia="宋体" w:cs="Times New Roman"/>
          <w:color w:val="000000"/>
          <w:sz w:val="24"/>
          <w:szCs w:val="24"/>
          <w:u w:val="none" w:color="auto"/>
        </w:rPr>
        <w:t>（1）风险防范措施</w:t>
      </w:r>
    </w:p>
    <w:p w14:paraId="50A3E3BA">
      <w:pPr>
        <w:spacing w:line="520" w:lineRule="exact"/>
        <w:ind w:firstLine="480" w:firstLineChars="200"/>
        <w:rPr>
          <w:rFonts w:hint="eastAsia" w:ascii="Times New Roman" w:hAnsi="Times New Roman" w:eastAsia="宋体" w:cs="Times New Roman"/>
          <w:color w:val="000000"/>
          <w:sz w:val="24"/>
          <w:szCs w:val="24"/>
          <w:u w:val="none" w:color="auto"/>
        </w:rPr>
      </w:pPr>
      <w:r>
        <w:rPr>
          <w:rFonts w:hint="eastAsia" w:ascii="Times New Roman" w:hAnsi="Times New Roman" w:eastAsia="宋体" w:cs="Times New Roman"/>
          <w:color w:val="000000"/>
          <w:sz w:val="24"/>
          <w:szCs w:val="24"/>
          <w:u w:val="none" w:color="auto"/>
        </w:rPr>
        <w:t>大气环境风险防范措施：现场应急救援物资；水环境风险防范措施：事故池</w:t>
      </w:r>
      <w:r>
        <w:rPr>
          <w:rFonts w:hint="eastAsia" w:cs="Times New Roman"/>
          <w:color w:val="000000"/>
          <w:sz w:val="24"/>
          <w:szCs w:val="24"/>
          <w:u w:val="none" w:color="auto"/>
          <w:lang w:eastAsia="zh-CN"/>
        </w:rPr>
        <w:t>（</w:t>
      </w:r>
      <w:r>
        <w:rPr>
          <w:rFonts w:hint="eastAsia" w:cs="Times New Roman"/>
          <w:color w:val="000000"/>
          <w:sz w:val="24"/>
          <w:szCs w:val="24"/>
          <w:u w:val="none" w:color="auto"/>
          <w:lang w:val="en-US" w:eastAsia="zh-CN"/>
        </w:rPr>
        <w:t>200m</w:t>
      </w:r>
      <w:r>
        <w:rPr>
          <w:rFonts w:hint="eastAsia" w:cs="Times New Roman"/>
          <w:color w:val="000000"/>
          <w:sz w:val="24"/>
          <w:szCs w:val="24"/>
          <w:u w:val="none" w:color="auto"/>
          <w:vertAlign w:val="superscript"/>
          <w:lang w:val="en-US" w:eastAsia="zh-CN"/>
        </w:rPr>
        <w:t>3</w:t>
      </w:r>
      <w:r>
        <w:rPr>
          <w:rFonts w:hint="eastAsia" w:cs="Times New Roman"/>
          <w:color w:val="000000"/>
          <w:sz w:val="24"/>
          <w:szCs w:val="24"/>
          <w:u w:val="none" w:color="auto"/>
          <w:lang w:eastAsia="zh-CN"/>
        </w:rPr>
        <w:t>）</w:t>
      </w:r>
      <w:r>
        <w:rPr>
          <w:rFonts w:hint="eastAsia" w:ascii="Times New Roman" w:hAnsi="Times New Roman" w:eastAsia="宋体" w:cs="Times New Roman"/>
          <w:color w:val="000000"/>
          <w:sz w:val="24"/>
          <w:szCs w:val="24"/>
          <w:u w:val="none" w:color="auto"/>
        </w:rPr>
        <w:t>、污水收集管网及拦挡系统；地下水采取源头控制、分区防渗相结合措施。</w:t>
      </w:r>
    </w:p>
    <w:p w14:paraId="3A8C116F">
      <w:pPr>
        <w:spacing w:line="520" w:lineRule="exact"/>
        <w:ind w:firstLine="480" w:firstLineChars="200"/>
        <w:rPr>
          <w:rFonts w:hint="eastAsia" w:ascii="Times New Roman" w:hAnsi="Times New Roman" w:eastAsia="宋体" w:cs="Times New Roman"/>
          <w:color w:val="000000"/>
          <w:sz w:val="24"/>
          <w:szCs w:val="24"/>
          <w:u w:val="none" w:color="auto"/>
        </w:rPr>
      </w:pPr>
      <w:r>
        <w:rPr>
          <w:rFonts w:hint="eastAsia" w:ascii="Times New Roman" w:hAnsi="Times New Roman" w:eastAsia="宋体" w:cs="Times New Roman"/>
          <w:color w:val="000000"/>
          <w:sz w:val="24"/>
          <w:szCs w:val="24"/>
          <w:u w:val="none" w:color="auto"/>
        </w:rPr>
        <w:t>其他保障措施：按照工艺设计及安评内容合理布局总平面、采用DCS自动控制系、双回路电源、修订安全生产管理制度及环境管理制度、修订自行监测计划。</w:t>
      </w:r>
    </w:p>
    <w:p w14:paraId="13356B66">
      <w:pPr>
        <w:spacing w:line="520" w:lineRule="exact"/>
        <w:ind w:firstLine="480" w:firstLineChars="200"/>
        <w:rPr>
          <w:rFonts w:hint="eastAsia" w:ascii="Times New Roman" w:hAnsi="Times New Roman" w:eastAsia="宋体" w:cs="Times New Roman"/>
          <w:color w:val="000000"/>
          <w:sz w:val="24"/>
          <w:szCs w:val="24"/>
          <w:u w:val="none" w:color="auto"/>
        </w:rPr>
      </w:pPr>
      <w:r>
        <w:rPr>
          <w:rFonts w:hint="eastAsia" w:ascii="Times New Roman" w:hAnsi="Times New Roman" w:eastAsia="宋体" w:cs="Times New Roman"/>
          <w:color w:val="000000"/>
          <w:sz w:val="24"/>
          <w:szCs w:val="24"/>
          <w:u w:val="none" w:color="auto"/>
        </w:rPr>
        <w:t>（2）突发环境事件应急预案</w:t>
      </w:r>
    </w:p>
    <w:p w14:paraId="1657B4FF">
      <w:pPr>
        <w:spacing w:line="520" w:lineRule="exact"/>
        <w:ind w:firstLine="480" w:firstLineChars="200"/>
        <w:rPr>
          <w:rFonts w:hint="eastAsia" w:ascii="Times New Roman" w:hAnsi="Times New Roman" w:eastAsia="宋体" w:cs="Times New Roman"/>
          <w:color w:val="000000"/>
          <w:sz w:val="24"/>
          <w:szCs w:val="24"/>
          <w:u w:val="none" w:color="auto"/>
        </w:rPr>
      </w:pPr>
      <w:r>
        <w:rPr>
          <w:rFonts w:hint="eastAsia" w:ascii="Times New Roman" w:hAnsi="Times New Roman" w:eastAsia="宋体" w:cs="Times New Roman"/>
          <w:color w:val="000000"/>
          <w:sz w:val="24"/>
          <w:szCs w:val="24"/>
          <w:u w:val="none" w:color="auto"/>
        </w:rPr>
        <w:t>根据本项目建设内容，建立公司突发环境事件应急预案，并根据现有应急物资配置情况补充应急物资，明确应急物资管理及存放位置；应急预案应在政府事故风险应急预案大框架下进行修订，保持与政府应急预案的联动性，积极配合政府进行应急预案演练，构建区域环境风险联控机制。</w:t>
      </w:r>
    </w:p>
    <w:p w14:paraId="39207A71">
      <w:pPr>
        <w:keepNext w:val="0"/>
        <w:keepLines w:val="0"/>
        <w:pageBreakBefore w:val="0"/>
        <w:widowControl/>
        <w:kinsoku/>
        <w:wordWrap/>
        <w:overflowPunct/>
        <w:topLinePunct/>
        <w:autoSpaceDE/>
        <w:autoSpaceDN/>
        <w:bidi w:val="0"/>
        <w:adjustRightInd w:val="0"/>
        <w:snapToGrid w:val="0"/>
        <w:spacing w:line="500" w:lineRule="exact"/>
        <w:ind w:left="0" w:leftChars="0" w:right="0" w:firstLine="0" w:firstLineChars="0"/>
        <w:jc w:val="both"/>
        <w:textAlignment w:val="auto"/>
        <w:rPr>
          <w:rFonts w:hint="default" w:ascii="Times New Roman" w:hAnsi="Times New Roman" w:eastAsia="宋体" w:cs="Times New Roman"/>
          <w:b/>
          <w:snapToGrid/>
          <w:color w:val="auto"/>
          <w:spacing w:val="0"/>
          <w:w w:val="100"/>
          <w:kern w:val="21"/>
          <w:position w:val="0"/>
          <w:sz w:val="24"/>
          <w:szCs w:val="24"/>
          <w:u w:val="none" w:color="auto"/>
          <w:lang w:val="en-US" w:eastAsia="zh-CN" w:bidi="ar-SA"/>
        </w:rPr>
      </w:pPr>
      <w:r>
        <w:rPr>
          <w:rFonts w:hint="eastAsia" w:cs="Times New Roman"/>
          <w:b/>
          <w:snapToGrid/>
          <w:color w:val="auto"/>
          <w:spacing w:val="0"/>
          <w:w w:val="100"/>
          <w:kern w:val="21"/>
          <w:position w:val="0"/>
          <w:sz w:val="24"/>
          <w:szCs w:val="24"/>
          <w:u w:val="none" w:color="auto"/>
          <w:lang w:val="en-US" w:eastAsia="zh-CN" w:bidi="ar-SA"/>
        </w:rPr>
        <w:t>10</w:t>
      </w:r>
      <w:r>
        <w:rPr>
          <w:rFonts w:hint="default" w:ascii="Times New Roman" w:hAnsi="Times New Roman" w:eastAsia="宋体" w:cs="Times New Roman"/>
          <w:b/>
          <w:snapToGrid/>
          <w:color w:val="auto"/>
          <w:spacing w:val="0"/>
          <w:w w:val="100"/>
          <w:kern w:val="21"/>
          <w:position w:val="0"/>
          <w:sz w:val="24"/>
          <w:szCs w:val="24"/>
          <w:u w:val="none" w:color="auto"/>
          <w:lang w:val="en-US" w:eastAsia="zh-CN" w:bidi="ar-SA"/>
        </w:rPr>
        <w:t>.4风险评价结论和建议</w:t>
      </w:r>
    </w:p>
    <w:p w14:paraId="57838FB8">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通过对拟建项目危险因素、环境敏感性及环境风险事故影响、环境风险防范措施和应急预案等分析判断，拟建项目环境风险可以防控。</w:t>
      </w:r>
    </w:p>
    <w:p w14:paraId="161B5C9F">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由于事故触发因素具有不确定性，因此本项目事故情形的设定并不能包含全部可能的环境风险，事故情形的设定建立在环境风险识别基础上，通过对代表性事故情形的分析力求为风险管理提供科学依据。本项目的建设不可避免会存在一定的环境风险。对此，建设单位必须高度重视。做到风险防范警钟长鸣，环境安全管理常抓不懈；严格落实各项风险防范措施，不断完善风险管理体系。只有这样，才能有效降低风险事故发生概率、杜绝特大事故的发生隐患。</w:t>
      </w:r>
    </w:p>
    <w:p w14:paraId="150A9DEA">
      <w:pPr>
        <w:keepNext w:val="0"/>
        <w:keepLines w:val="0"/>
        <w:pageBreakBefore w:val="0"/>
        <w:widowControl/>
        <w:kinsoku/>
        <w:wordWrap/>
        <w:overflowPunct/>
        <w:topLinePunct/>
        <w:autoSpaceDE/>
        <w:autoSpaceDN/>
        <w:bidi w:val="0"/>
        <w:adjustRightInd w:val="0"/>
        <w:snapToGrid w:val="0"/>
        <w:spacing w:line="500" w:lineRule="exact"/>
        <w:ind w:left="0" w:right="0" w:firstLine="480" w:firstLineChars="200"/>
        <w:jc w:val="both"/>
        <w:textAlignment w:val="auto"/>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根据拟建项目环境风险可能影响的范围与程度，建议建设单位应按规定配备应急物资，前端预警、中段应急、后段洗消截流等多效手段组合防控，建立健全事故应急预案并与周边企业联动、定期演练，确保风险事故发生</w:t>
      </w: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时周边可能受影响</w:t>
      </w:r>
      <w:r>
        <w:rPr>
          <w:rFonts w:hint="default" w:ascii="Times New Roman" w:hAnsi="Times New Roman" w:eastAsia="宋体" w:cs="Times New Roman"/>
          <w:snapToGrid w:val="0"/>
          <w:color w:val="000000"/>
          <w:spacing w:val="0"/>
          <w:w w:val="100"/>
          <w:kern w:val="21"/>
          <w:position w:val="0"/>
          <w:sz w:val="24"/>
          <w:szCs w:val="24"/>
          <w:u w:val="none" w:color="auto"/>
          <w:lang w:val="en-US" w:eastAsia="zh-CN" w:bidi="ar-SA"/>
        </w:rPr>
        <w:t>人员得到优先防护和有序撤离，杜绝人员伤亡事故的发生。本项目存在较大环境风险，建设单位应定期开展环境影响后评价工作。</w:t>
      </w:r>
    </w:p>
    <w:p w14:paraId="6628E9F3">
      <w:pPr>
        <w:keepNext w:val="0"/>
        <w:keepLines w:val="0"/>
        <w:pageBreakBefore w:val="0"/>
        <w:widowControl/>
        <w:kinsoku/>
        <w:wordWrap/>
        <w:overflowPunct/>
        <w:topLinePunct/>
        <w:autoSpaceDE/>
        <w:autoSpaceDN/>
        <w:bidi w:val="0"/>
        <w:adjustRightInd w:val="0"/>
        <w:snapToGrid w:val="0"/>
        <w:spacing w:line="500" w:lineRule="exact"/>
        <w:ind w:left="0" w:leftChars="0" w:right="0" w:firstLine="0" w:firstLineChars="0"/>
        <w:jc w:val="both"/>
        <w:textAlignment w:val="auto"/>
        <w:rPr>
          <w:rFonts w:hint="default" w:ascii="Times New Roman" w:hAnsi="Times New Roman" w:eastAsia="宋体" w:cs="Times New Roman"/>
          <w:b/>
          <w:snapToGrid/>
          <w:color w:val="auto"/>
          <w:spacing w:val="0"/>
          <w:w w:val="100"/>
          <w:kern w:val="21"/>
          <w:position w:val="0"/>
          <w:sz w:val="24"/>
          <w:szCs w:val="24"/>
          <w:u w:val="none" w:color="auto"/>
          <w:lang w:val="en-US" w:eastAsia="zh-CN" w:bidi="ar-SA"/>
        </w:rPr>
      </w:pPr>
      <w:r>
        <w:rPr>
          <w:rFonts w:hint="eastAsia" w:cs="Times New Roman"/>
          <w:b/>
          <w:snapToGrid/>
          <w:color w:val="auto"/>
          <w:spacing w:val="0"/>
          <w:w w:val="100"/>
          <w:kern w:val="21"/>
          <w:position w:val="0"/>
          <w:sz w:val="24"/>
          <w:szCs w:val="24"/>
          <w:u w:val="none" w:color="auto"/>
          <w:lang w:val="en-US" w:eastAsia="zh-CN" w:bidi="ar-SA"/>
        </w:rPr>
        <w:t>10</w:t>
      </w:r>
      <w:r>
        <w:rPr>
          <w:rFonts w:hint="default" w:ascii="Times New Roman" w:hAnsi="Times New Roman" w:eastAsia="宋体" w:cs="Times New Roman"/>
          <w:b/>
          <w:snapToGrid/>
          <w:color w:val="auto"/>
          <w:spacing w:val="0"/>
          <w:w w:val="100"/>
          <w:kern w:val="21"/>
          <w:position w:val="0"/>
          <w:sz w:val="24"/>
          <w:szCs w:val="24"/>
          <w:u w:val="none" w:color="auto"/>
          <w:lang w:val="en-US" w:eastAsia="zh-CN" w:bidi="ar-SA"/>
        </w:rPr>
        <w:t>.5风险自查表</w:t>
      </w:r>
    </w:p>
    <w:p w14:paraId="3B7685FC">
      <w:pPr>
        <w:widowControl/>
        <w:topLinePunct/>
        <w:autoSpaceDE/>
        <w:autoSpaceDN/>
        <w:snapToGrid w:val="0"/>
        <w:spacing w:before="179" w:line="218" w:lineRule="auto"/>
        <w:ind w:firstLine="480" w:firstLineChars="200"/>
        <w:jc w:val="both"/>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pPr>
      <w:r>
        <w:rPr>
          <w:rFonts w:hint="eastAsia" w:ascii="Times New Roman" w:hAnsi="Times New Roman" w:eastAsia="宋体" w:cs="Times New Roman"/>
          <w:snapToGrid w:val="0"/>
          <w:color w:val="000000"/>
          <w:spacing w:val="0"/>
          <w:w w:val="100"/>
          <w:kern w:val="21"/>
          <w:position w:val="0"/>
          <w:sz w:val="24"/>
          <w:szCs w:val="24"/>
          <w:u w:val="none" w:color="auto"/>
          <w:lang w:val="en-US" w:eastAsia="zh-CN" w:bidi="ar-SA"/>
        </w:rPr>
        <w:t>拟建项目环境风险评价自查表见下表所示。</w:t>
      </w:r>
    </w:p>
    <w:p w14:paraId="61BE8756">
      <w:pPr>
        <w:numPr>
          <w:ilvl w:val="0"/>
          <w:numId w:val="5"/>
        </w:numPr>
        <w:tabs>
          <w:tab w:val="center" w:pos="4420"/>
        </w:tabs>
        <w:bidi w:val="0"/>
        <w:spacing w:line="460" w:lineRule="exact"/>
        <w:ind w:left="0" w:leftChars="0" w:firstLine="480" w:firstLineChars="200"/>
        <w:jc w:val="center"/>
        <w:rPr>
          <w:rFonts w:hint="eastAsia" w:ascii="Times New Roman" w:hAnsi="Times New Roman" w:eastAsia="黑体" w:cs="Times New Roman"/>
          <w:color w:val="auto"/>
          <w:spacing w:val="0"/>
          <w:w w:val="100"/>
          <w:kern w:val="21"/>
          <w:position w:val="0"/>
          <w:sz w:val="24"/>
          <w:szCs w:val="24"/>
          <w:u w:val="none" w:color="auto"/>
          <w:lang w:val="en-US" w:eastAsia="zh-CN"/>
        </w:rPr>
      </w:pPr>
      <w:r>
        <w:rPr>
          <w:rFonts w:hint="eastAsia" w:ascii="Times New Roman" w:hAnsi="Times New Roman" w:eastAsia="黑体" w:cs="Times New Roman"/>
          <w:color w:val="auto"/>
          <w:spacing w:val="0"/>
          <w:w w:val="100"/>
          <w:kern w:val="21"/>
          <w:position w:val="0"/>
          <w:sz w:val="24"/>
          <w:szCs w:val="24"/>
          <w:u w:val="none" w:color="auto"/>
          <w:lang w:val="en-US" w:eastAsia="zh-CN"/>
        </w:rPr>
        <w:t xml:space="preserve">    拟建项目环境风险评价自查表</w:t>
      </w:r>
    </w:p>
    <w:tbl>
      <w:tblPr>
        <w:tblStyle w:val="114"/>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509"/>
        <w:gridCol w:w="1039"/>
        <w:gridCol w:w="1034"/>
        <w:gridCol w:w="704"/>
        <w:gridCol w:w="244"/>
        <w:gridCol w:w="895"/>
        <w:gridCol w:w="352"/>
        <w:gridCol w:w="195"/>
        <w:gridCol w:w="630"/>
        <w:gridCol w:w="145"/>
        <w:gridCol w:w="624"/>
        <w:gridCol w:w="1138"/>
        <w:gridCol w:w="346"/>
        <w:gridCol w:w="1388"/>
      </w:tblGrid>
      <w:tr w14:paraId="40CC642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8" w:type="dxa"/>
            <w:gridSpan w:val="2"/>
            <w:tcBorders>
              <w:tl2br w:val="nil"/>
              <w:tr2bl w:val="nil"/>
            </w:tcBorders>
            <w:noWrap w:val="0"/>
            <w:vAlign w:val="center"/>
          </w:tcPr>
          <w:p w14:paraId="54A53BCA">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工作内容</w:t>
            </w:r>
          </w:p>
        </w:tc>
        <w:tc>
          <w:tcPr>
            <w:tcW w:w="7695" w:type="dxa"/>
            <w:gridSpan w:val="12"/>
            <w:tcBorders>
              <w:tl2br w:val="nil"/>
              <w:tr2bl w:val="nil"/>
            </w:tcBorders>
            <w:noWrap w:val="0"/>
            <w:vAlign w:val="center"/>
          </w:tcPr>
          <w:p w14:paraId="67EECA1B">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完成情况</w:t>
            </w:r>
          </w:p>
        </w:tc>
      </w:tr>
      <w:tr w14:paraId="40BE6DC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restart"/>
            <w:tcBorders>
              <w:tl2br w:val="nil"/>
              <w:tr2bl w:val="nil"/>
            </w:tcBorders>
            <w:noWrap w:val="0"/>
            <w:vAlign w:val="center"/>
          </w:tcPr>
          <w:p w14:paraId="3AB29ED4">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风险调查</w:t>
            </w:r>
          </w:p>
        </w:tc>
        <w:tc>
          <w:tcPr>
            <w:tcW w:w="1039" w:type="dxa"/>
            <w:vMerge w:val="restart"/>
            <w:tcBorders>
              <w:tl2br w:val="nil"/>
              <w:tr2bl w:val="nil"/>
            </w:tcBorders>
            <w:noWrap w:val="0"/>
            <w:vAlign w:val="center"/>
          </w:tcPr>
          <w:p w14:paraId="2EFEBFEC">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危险物质</w:t>
            </w:r>
          </w:p>
        </w:tc>
        <w:tc>
          <w:tcPr>
            <w:tcW w:w="1034" w:type="dxa"/>
            <w:tcBorders>
              <w:tl2br w:val="nil"/>
              <w:tr2bl w:val="nil"/>
            </w:tcBorders>
            <w:noWrap w:val="0"/>
            <w:vAlign w:val="center"/>
          </w:tcPr>
          <w:p w14:paraId="555D0616">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名称</w:t>
            </w:r>
          </w:p>
        </w:tc>
        <w:tc>
          <w:tcPr>
            <w:tcW w:w="948" w:type="dxa"/>
            <w:gridSpan w:val="2"/>
            <w:tcBorders>
              <w:tl2br w:val="nil"/>
              <w:tr2bl w:val="nil"/>
            </w:tcBorders>
            <w:noWrap w:val="0"/>
            <w:vAlign w:val="center"/>
          </w:tcPr>
          <w:p w14:paraId="392E14D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eastAsia" w:ascii="Times New Roman" w:hAnsi="Times New Roman" w:eastAsia="宋体" w:cs="Times New Roman"/>
                <w:b w:val="0"/>
                <w:bCs/>
                <w:color w:val="auto"/>
                <w:kern w:val="2"/>
                <w:sz w:val="21"/>
                <w:szCs w:val="21"/>
                <w:u w:val="none" w:color="auto"/>
                <w:lang w:val="en-US" w:eastAsia="zh-CN" w:bidi="ar-SA"/>
              </w:rPr>
              <w:t>锰及其化合物以锰计）</w:t>
            </w:r>
          </w:p>
        </w:tc>
        <w:tc>
          <w:tcPr>
            <w:tcW w:w="1247" w:type="dxa"/>
            <w:gridSpan w:val="2"/>
            <w:tcBorders>
              <w:tl2br w:val="nil"/>
              <w:tr2bl w:val="nil"/>
            </w:tcBorders>
            <w:noWrap w:val="0"/>
            <w:vAlign w:val="center"/>
          </w:tcPr>
          <w:p w14:paraId="159BCA68">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spacing w:val="0"/>
                <w:w w:val="100"/>
                <w:kern w:val="21"/>
                <w:position w:val="0"/>
                <w:sz w:val="21"/>
                <w:szCs w:val="21"/>
                <w:u w:val="none" w:color="auto"/>
              </w:rPr>
            </w:pPr>
            <w:r>
              <w:rPr>
                <w:rFonts w:hint="eastAsia" w:cs="Times New Roman"/>
                <w:b w:val="0"/>
                <w:bCs/>
                <w:color w:val="auto"/>
                <w:kern w:val="2"/>
                <w:sz w:val="21"/>
                <w:szCs w:val="21"/>
                <w:u w:val="none" w:color="auto"/>
                <w:lang w:val="en-US" w:eastAsia="zh-CN" w:bidi="ar-SA"/>
              </w:rPr>
              <w:t>镍及其化合物以镍计）</w:t>
            </w:r>
          </w:p>
        </w:tc>
        <w:tc>
          <w:tcPr>
            <w:tcW w:w="825" w:type="dxa"/>
            <w:gridSpan w:val="2"/>
            <w:tcBorders>
              <w:tl2br w:val="nil"/>
              <w:tr2bl w:val="nil"/>
            </w:tcBorders>
            <w:noWrap w:val="0"/>
            <w:vAlign w:val="center"/>
          </w:tcPr>
          <w:p w14:paraId="3BA09DA1">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pacing w:val="0"/>
                <w:w w:val="100"/>
                <w:kern w:val="21"/>
                <w:position w:val="0"/>
                <w:sz w:val="21"/>
                <w:szCs w:val="21"/>
                <w:u w:val="none" w:color="auto"/>
                <w:lang w:val="en-US" w:eastAsia="zh-CN"/>
              </w:rPr>
            </w:pPr>
            <w:r>
              <w:rPr>
                <w:rFonts w:hint="eastAsia" w:cs="Times New Roman"/>
                <w:b w:val="0"/>
                <w:bCs/>
                <w:color w:val="auto"/>
                <w:kern w:val="2"/>
                <w:sz w:val="21"/>
                <w:szCs w:val="21"/>
                <w:u w:val="none" w:color="auto"/>
                <w:lang w:val="en-US" w:eastAsia="zh-CN" w:bidi="ar-SA"/>
              </w:rPr>
              <w:t>电解液</w:t>
            </w:r>
          </w:p>
        </w:tc>
        <w:tc>
          <w:tcPr>
            <w:tcW w:w="769" w:type="dxa"/>
            <w:gridSpan w:val="2"/>
            <w:tcBorders>
              <w:tl2br w:val="nil"/>
              <w:tr2bl w:val="nil"/>
            </w:tcBorders>
            <w:noWrap w:val="0"/>
            <w:vAlign w:val="center"/>
          </w:tcPr>
          <w:p w14:paraId="58C278A1">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val="0"/>
                <w:bCs/>
                <w:color w:val="auto"/>
                <w:kern w:val="2"/>
                <w:sz w:val="21"/>
                <w:szCs w:val="21"/>
                <w:u w:val="none" w:color="auto"/>
                <w:lang w:val="en-US" w:eastAsia="zh-CN" w:bidi="ar-SA"/>
              </w:rPr>
            </w:pPr>
            <w:r>
              <w:rPr>
                <w:rFonts w:hint="eastAsia" w:ascii="Times New Roman" w:hAnsi="Times New Roman" w:eastAsia="宋体" w:cs="Times New Roman"/>
                <w:b w:val="0"/>
                <w:bCs/>
                <w:color w:val="auto"/>
                <w:kern w:val="2"/>
                <w:sz w:val="21"/>
                <w:szCs w:val="21"/>
                <w:u w:val="none" w:color="auto"/>
                <w:lang w:val="en-US" w:eastAsia="zh-CN" w:bidi="ar-SA"/>
              </w:rPr>
              <w:t>NMP</w:t>
            </w:r>
          </w:p>
        </w:tc>
        <w:tc>
          <w:tcPr>
            <w:tcW w:w="2872" w:type="dxa"/>
            <w:gridSpan w:val="3"/>
            <w:tcBorders>
              <w:tl2br w:val="nil"/>
              <w:tr2bl w:val="nil"/>
            </w:tcBorders>
            <w:noWrap w:val="0"/>
            <w:vAlign w:val="center"/>
          </w:tcPr>
          <w:p w14:paraId="06913834">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eastAsia" w:ascii="Times New Roman" w:hAnsi="Times New Roman" w:eastAsia="宋体" w:cs="Times New Roman"/>
                <w:b w:val="0"/>
                <w:bCs/>
                <w:color w:val="auto"/>
                <w:kern w:val="2"/>
                <w:sz w:val="21"/>
                <w:szCs w:val="21"/>
                <w:u w:val="none" w:color="auto"/>
                <w:lang w:val="en-US" w:eastAsia="zh-CN" w:bidi="ar-SA"/>
              </w:rPr>
              <w:t>NMP回收液</w:t>
            </w:r>
          </w:p>
        </w:tc>
      </w:tr>
      <w:tr w14:paraId="53BCCD9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1EC584EA">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vMerge w:val="continue"/>
            <w:tcBorders>
              <w:tl2br w:val="nil"/>
              <w:tr2bl w:val="nil"/>
            </w:tcBorders>
            <w:noWrap w:val="0"/>
            <w:vAlign w:val="center"/>
          </w:tcPr>
          <w:p w14:paraId="7FCFE6F1">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4" w:type="dxa"/>
            <w:tcBorders>
              <w:tl2br w:val="nil"/>
              <w:tr2bl w:val="nil"/>
            </w:tcBorders>
            <w:noWrap w:val="0"/>
            <w:vAlign w:val="center"/>
          </w:tcPr>
          <w:p w14:paraId="6C100D43">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存在总量</w:t>
            </w:r>
            <w:r>
              <w:rPr>
                <w:rFonts w:hint="default" w:ascii="Times New Roman" w:hAnsi="Times New Roman" w:eastAsia="Times New Roman" w:cs="Times New Roman"/>
                <w:spacing w:val="0"/>
                <w:w w:val="100"/>
                <w:kern w:val="21"/>
                <w:position w:val="0"/>
                <w:sz w:val="21"/>
                <w:szCs w:val="21"/>
                <w:u w:val="none" w:color="auto"/>
              </w:rPr>
              <w:t>/t</w:t>
            </w:r>
          </w:p>
        </w:tc>
        <w:tc>
          <w:tcPr>
            <w:tcW w:w="948" w:type="dxa"/>
            <w:gridSpan w:val="2"/>
            <w:tcBorders>
              <w:tl2br w:val="nil"/>
              <w:tr2bl w:val="nil"/>
            </w:tcBorders>
            <w:noWrap w:val="0"/>
            <w:vAlign w:val="center"/>
          </w:tcPr>
          <w:p w14:paraId="51BB1A19">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pacing w:val="0"/>
                <w:w w:val="100"/>
                <w:kern w:val="21"/>
                <w:position w:val="0"/>
                <w:sz w:val="21"/>
                <w:szCs w:val="21"/>
                <w:u w:val="none" w:color="auto"/>
                <w:lang w:val="en-US" w:eastAsia="zh-CN"/>
              </w:rPr>
            </w:pPr>
            <w:r>
              <w:rPr>
                <w:rFonts w:hint="eastAsia" w:ascii="Times New Roman" w:hAnsi="Times New Roman" w:eastAsia="宋体" w:cs="Times New Roman"/>
                <w:color w:val="000000"/>
                <w:kern w:val="0"/>
                <w:sz w:val="21"/>
                <w:szCs w:val="21"/>
                <w:u w:val="none" w:color="auto"/>
                <w:shd w:val="clear" w:color="auto" w:fill="FFFFFF"/>
                <w:lang w:val="en-US" w:eastAsia="zh-CN" w:bidi="ar"/>
              </w:rPr>
              <w:t>36.484</w:t>
            </w:r>
          </w:p>
        </w:tc>
        <w:tc>
          <w:tcPr>
            <w:tcW w:w="1247" w:type="dxa"/>
            <w:gridSpan w:val="2"/>
            <w:tcBorders>
              <w:tl2br w:val="nil"/>
              <w:tr2bl w:val="nil"/>
            </w:tcBorders>
            <w:noWrap w:val="0"/>
            <w:vAlign w:val="center"/>
          </w:tcPr>
          <w:p w14:paraId="2E8D5E98">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pacing w:val="0"/>
                <w:w w:val="100"/>
                <w:kern w:val="21"/>
                <w:position w:val="0"/>
                <w:sz w:val="21"/>
                <w:szCs w:val="21"/>
                <w:u w:val="none" w:color="auto"/>
                <w:lang w:val="en-US" w:eastAsia="zh-CN"/>
              </w:rPr>
            </w:pPr>
            <w:r>
              <w:rPr>
                <w:rFonts w:hint="eastAsia" w:ascii="Times New Roman" w:hAnsi="Times New Roman" w:eastAsia="宋体" w:cs="Times New Roman"/>
                <w:color w:val="000000"/>
                <w:kern w:val="0"/>
                <w:sz w:val="21"/>
                <w:szCs w:val="21"/>
                <w:u w:val="none" w:color="auto"/>
                <w:shd w:val="clear" w:color="auto" w:fill="FFFFFF"/>
                <w:lang w:val="en-US" w:eastAsia="zh-CN" w:bidi="ar"/>
              </w:rPr>
              <w:t>0.061</w:t>
            </w:r>
          </w:p>
        </w:tc>
        <w:tc>
          <w:tcPr>
            <w:tcW w:w="825" w:type="dxa"/>
            <w:gridSpan w:val="2"/>
            <w:tcBorders>
              <w:tl2br w:val="nil"/>
              <w:tr2bl w:val="nil"/>
            </w:tcBorders>
            <w:shd w:val="clear" w:color="auto" w:fill="auto"/>
            <w:noWrap w:val="0"/>
            <w:vAlign w:val="center"/>
          </w:tcPr>
          <w:p w14:paraId="59C0C97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2"/>
                <w:sz w:val="21"/>
                <w:szCs w:val="21"/>
                <w:u w:val="none" w:color="auto"/>
                <w:vertAlign w:val="baseline"/>
                <w:lang w:val="en-US" w:eastAsia="zh-CN" w:bidi="ar-SA"/>
              </w:rPr>
            </w:pPr>
            <w:r>
              <w:rPr>
                <w:rFonts w:hint="eastAsia" w:cs="Times New Roman"/>
                <w:color w:val="000000"/>
                <w:sz w:val="21"/>
                <w:szCs w:val="21"/>
                <w:u w:val="none" w:color="auto"/>
                <w:vertAlign w:val="baseline"/>
                <w:lang w:val="en-US" w:eastAsia="zh-CN"/>
              </w:rPr>
              <w:t>0.4</w:t>
            </w:r>
          </w:p>
        </w:tc>
        <w:tc>
          <w:tcPr>
            <w:tcW w:w="769" w:type="dxa"/>
            <w:gridSpan w:val="2"/>
            <w:tcBorders>
              <w:tl2br w:val="nil"/>
              <w:tr2bl w:val="nil"/>
            </w:tcBorders>
            <w:noWrap w:val="0"/>
            <w:vAlign w:val="center"/>
          </w:tcPr>
          <w:p w14:paraId="0F7193D6">
            <w:pPr>
              <w:keepNext w:val="0"/>
              <w:keepLines w:val="0"/>
              <w:pageBreakBefore w:val="0"/>
              <w:widowControl/>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spacing w:val="0"/>
                <w:w w:val="100"/>
                <w:kern w:val="21"/>
                <w:position w:val="0"/>
                <w:sz w:val="21"/>
                <w:szCs w:val="21"/>
                <w:u w:val="none" w:color="auto"/>
                <w:lang w:val="en-US" w:eastAsia="zh-CN" w:bidi="ar-SA"/>
              </w:rPr>
            </w:pPr>
            <w:r>
              <w:rPr>
                <w:rFonts w:hint="eastAsia" w:cs="Times New Roman"/>
                <w:color w:val="000000"/>
                <w:sz w:val="21"/>
                <w:szCs w:val="21"/>
                <w:u w:val="none" w:color="auto"/>
                <w:vertAlign w:val="baseline"/>
                <w:lang w:val="en-US" w:eastAsia="zh-CN"/>
              </w:rPr>
              <w:t>349.5</w:t>
            </w:r>
          </w:p>
        </w:tc>
        <w:tc>
          <w:tcPr>
            <w:tcW w:w="2872" w:type="dxa"/>
            <w:gridSpan w:val="3"/>
            <w:tcBorders>
              <w:tl2br w:val="nil"/>
              <w:tr2bl w:val="nil"/>
            </w:tcBorders>
            <w:noWrap w:val="0"/>
            <w:vAlign w:val="center"/>
          </w:tcPr>
          <w:p w14:paraId="63057434">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pacing w:val="0"/>
                <w:w w:val="100"/>
                <w:kern w:val="21"/>
                <w:position w:val="0"/>
                <w:sz w:val="21"/>
                <w:szCs w:val="21"/>
                <w:u w:val="none" w:color="auto"/>
                <w:lang w:val="en-US" w:eastAsia="zh-CN"/>
              </w:rPr>
            </w:pPr>
            <w:r>
              <w:rPr>
                <w:rFonts w:hint="eastAsia" w:cs="Times New Roman"/>
                <w:color w:val="000000"/>
                <w:sz w:val="21"/>
                <w:szCs w:val="21"/>
                <w:u w:val="none" w:color="auto"/>
                <w:vertAlign w:val="baseline"/>
                <w:lang w:val="en-US" w:eastAsia="zh-CN"/>
              </w:rPr>
              <w:t>140</w:t>
            </w:r>
          </w:p>
        </w:tc>
      </w:tr>
      <w:tr w14:paraId="073BB70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107821B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vMerge w:val="restart"/>
            <w:tcBorders>
              <w:tl2br w:val="nil"/>
              <w:tr2bl w:val="nil"/>
            </w:tcBorders>
            <w:noWrap w:val="0"/>
            <w:vAlign w:val="center"/>
          </w:tcPr>
          <w:p w14:paraId="2BF76D6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环境敏感性</w:t>
            </w:r>
          </w:p>
        </w:tc>
        <w:tc>
          <w:tcPr>
            <w:tcW w:w="1034" w:type="dxa"/>
            <w:vMerge w:val="restart"/>
            <w:tcBorders>
              <w:tl2br w:val="nil"/>
              <w:tr2bl w:val="nil"/>
            </w:tcBorders>
            <w:noWrap w:val="0"/>
            <w:vAlign w:val="center"/>
          </w:tcPr>
          <w:p w14:paraId="2E7B73CA">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大气</w:t>
            </w:r>
          </w:p>
        </w:tc>
        <w:tc>
          <w:tcPr>
            <w:tcW w:w="3165" w:type="dxa"/>
            <w:gridSpan w:val="7"/>
            <w:tcBorders>
              <w:tl2br w:val="nil"/>
              <w:tr2bl w:val="nil"/>
            </w:tcBorders>
            <w:noWrap w:val="0"/>
            <w:vAlign w:val="center"/>
          </w:tcPr>
          <w:p w14:paraId="430352F1">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500m</w:t>
            </w:r>
            <w:r>
              <w:rPr>
                <w:rFonts w:hint="default" w:ascii="Times New Roman" w:hAnsi="Times New Roman" w:cs="Times New Roman"/>
                <w:spacing w:val="0"/>
                <w:w w:val="100"/>
                <w:kern w:val="21"/>
                <w:position w:val="0"/>
                <w:sz w:val="21"/>
                <w:szCs w:val="21"/>
                <w:u w:val="none" w:color="auto"/>
              </w:rPr>
              <w:t>范围内人口数</w:t>
            </w:r>
            <w:r>
              <w:rPr>
                <w:rFonts w:hint="default" w:ascii="Times New Roman" w:hAnsi="Times New Roman" w:eastAsia="Times New Roman" w:cs="Times New Roman"/>
                <w:spacing w:val="0"/>
                <w:w w:val="100"/>
                <w:kern w:val="21"/>
                <w:position w:val="0"/>
                <w:sz w:val="21"/>
                <w:szCs w:val="21"/>
                <w:u w:val="none" w:color="auto"/>
              </w:rPr>
              <w:t xml:space="preserve"> 2000人 </w:t>
            </w:r>
          </w:p>
        </w:tc>
        <w:tc>
          <w:tcPr>
            <w:tcW w:w="3496" w:type="dxa"/>
            <w:gridSpan w:val="4"/>
            <w:tcBorders>
              <w:tl2br w:val="nil"/>
              <w:tr2bl w:val="nil"/>
            </w:tcBorders>
            <w:noWrap w:val="0"/>
            <w:vAlign w:val="center"/>
          </w:tcPr>
          <w:p w14:paraId="046557E5">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 xml:space="preserve">5km </w:t>
            </w:r>
            <w:r>
              <w:rPr>
                <w:rFonts w:hint="default" w:ascii="Times New Roman" w:hAnsi="Times New Roman" w:cs="Times New Roman"/>
                <w:spacing w:val="0"/>
                <w:w w:val="100"/>
                <w:kern w:val="21"/>
                <w:position w:val="0"/>
                <w:sz w:val="21"/>
                <w:szCs w:val="21"/>
                <w:u w:val="none" w:color="auto"/>
              </w:rPr>
              <w:t>范围内人口数</w:t>
            </w:r>
            <w:r>
              <w:rPr>
                <w:rFonts w:hint="default" w:ascii="Times New Roman" w:hAnsi="Times New Roman" w:eastAsia="宋体" w:cs="Times New Roman"/>
                <w:i w:val="0"/>
                <w:iCs w:val="0"/>
                <w:color w:val="000000"/>
                <w:kern w:val="0"/>
                <w:sz w:val="21"/>
                <w:szCs w:val="21"/>
                <w:u w:val="none" w:color="auto"/>
                <w:lang w:val="en-US" w:eastAsia="zh-CN" w:bidi="ar"/>
              </w:rPr>
              <w:t>125668</w:t>
            </w:r>
            <w:r>
              <w:rPr>
                <w:rFonts w:ascii="Times New Roman" w:hAnsi="Times New Roman" w:eastAsia="宋体" w:cs="Times New Roman"/>
                <w:color w:val="000000"/>
                <w:sz w:val="21"/>
                <w:szCs w:val="21"/>
                <w:u w:val="none" w:color="auto"/>
              </w:rPr>
              <w:t>人</w:t>
            </w:r>
          </w:p>
        </w:tc>
      </w:tr>
      <w:tr w14:paraId="774048A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35615A26">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vMerge w:val="continue"/>
            <w:tcBorders>
              <w:tl2br w:val="nil"/>
              <w:tr2bl w:val="nil"/>
            </w:tcBorders>
            <w:noWrap w:val="0"/>
            <w:vAlign w:val="center"/>
          </w:tcPr>
          <w:p w14:paraId="70B1D0E1">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4" w:type="dxa"/>
            <w:vMerge w:val="continue"/>
            <w:tcBorders>
              <w:tl2br w:val="nil"/>
              <w:tr2bl w:val="nil"/>
            </w:tcBorders>
            <w:noWrap w:val="0"/>
            <w:vAlign w:val="center"/>
          </w:tcPr>
          <w:p w14:paraId="6E2511E6">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5273" w:type="dxa"/>
            <w:gridSpan w:val="10"/>
            <w:tcBorders>
              <w:tl2br w:val="nil"/>
              <w:tr2bl w:val="nil"/>
            </w:tcBorders>
            <w:noWrap w:val="0"/>
            <w:vAlign w:val="center"/>
          </w:tcPr>
          <w:p w14:paraId="4FBF37D8">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每公里管段周边</w:t>
            </w:r>
            <w:r>
              <w:rPr>
                <w:rFonts w:hint="default" w:ascii="Times New Roman" w:hAnsi="Times New Roman" w:eastAsia="Times New Roman" w:cs="Times New Roman"/>
                <w:spacing w:val="0"/>
                <w:w w:val="100"/>
                <w:kern w:val="21"/>
                <w:position w:val="0"/>
                <w:sz w:val="21"/>
                <w:szCs w:val="21"/>
                <w:u w:val="none" w:color="auto"/>
              </w:rPr>
              <w:t xml:space="preserve">200m </w:t>
            </w:r>
            <w:r>
              <w:rPr>
                <w:rFonts w:hint="default" w:ascii="Times New Roman" w:hAnsi="Times New Roman" w:cs="Times New Roman"/>
                <w:spacing w:val="0"/>
                <w:w w:val="100"/>
                <w:kern w:val="21"/>
                <w:position w:val="0"/>
                <w:sz w:val="21"/>
                <w:szCs w:val="21"/>
                <w:u w:val="none" w:color="auto"/>
              </w:rPr>
              <w:t>范围内人口数（最大）</w:t>
            </w:r>
          </w:p>
        </w:tc>
        <w:tc>
          <w:tcPr>
            <w:tcW w:w="1388" w:type="dxa"/>
            <w:tcBorders>
              <w:tl2br w:val="nil"/>
              <w:tr2bl w:val="nil"/>
            </w:tcBorders>
            <w:noWrap w:val="0"/>
            <w:vAlign w:val="center"/>
          </w:tcPr>
          <w:p w14:paraId="46715F82">
            <w:pPr>
              <w:pStyle w:val="115"/>
              <w:keepNext w:val="0"/>
              <w:keepLines w:val="0"/>
              <w:pageBreakBefore w:val="0"/>
              <w:widowControl/>
              <w:tabs>
                <w:tab w:val="left" w:pos="659"/>
              </w:tabs>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w:t>
            </w:r>
            <w:r>
              <w:rPr>
                <w:rFonts w:hint="default" w:ascii="Times New Roman" w:hAnsi="Times New Roman" w:cs="Times New Roman"/>
                <w:spacing w:val="0"/>
                <w:w w:val="100"/>
                <w:kern w:val="21"/>
                <w:position w:val="0"/>
                <w:sz w:val="21"/>
                <w:szCs w:val="21"/>
                <w:u w:val="none" w:color="auto"/>
              </w:rPr>
              <w:t>人</w:t>
            </w:r>
          </w:p>
        </w:tc>
      </w:tr>
      <w:tr w14:paraId="3FA0FE6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7FB5D934">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vMerge w:val="continue"/>
            <w:tcBorders>
              <w:tl2br w:val="nil"/>
              <w:tr2bl w:val="nil"/>
            </w:tcBorders>
            <w:noWrap w:val="0"/>
            <w:vAlign w:val="center"/>
          </w:tcPr>
          <w:p w14:paraId="2A36C797">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4" w:type="dxa"/>
            <w:vMerge w:val="restart"/>
            <w:tcBorders>
              <w:tl2br w:val="nil"/>
              <w:tr2bl w:val="nil"/>
            </w:tcBorders>
            <w:noWrap w:val="0"/>
            <w:vAlign w:val="center"/>
          </w:tcPr>
          <w:p w14:paraId="451C17B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地表水</w:t>
            </w:r>
          </w:p>
        </w:tc>
        <w:tc>
          <w:tcPr>
            <w:tcW w:w="1843" w:type="dxa"/>
            <w:gridSpan w:val="3"/>
            <w:tcBorders>
              <w:tl2br w:val="nil"/>
              <w:tr2bl w:val="nil"/>
            </w:tcBorders>
            <w:noWrap w:val="0"/>
            <w:vAlign w:val="center"/>
          </w:tcPr>
          <w:p w14:paraId="31DB8E61">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地表水功能敏感性</w:t>
            </w:r>
          </w:p>
        </w:tc>
        <w:tc>
          <w:tcPr>
            <w:tcW w:w="1322" w:type="dxa"/>
            <w:gridSpan w:val="4"/>
            <w:tcBorders>
              <w:tl2br w:val="nil"/>
              <w:tr2bl w:val="nil"/>
            </w:tcBorders>
            <w:noWrap w:val="0"/>
            <w:vAlign w:val="center"/>
          </w:tcPr>
          <w:p w14:paraId="07067FFF">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 xml:space="preserve">F1 </w:t>
            </w:r>
            <w:r>
              <w:rPr>
                <w:rFonts w:hint="eastAsia" w:ascii="Times New Roman" w:hAnsi="Times New Roman" w:eastAsia="宋体" w:cs="Times New Roman"/>
                <w:spacing w:val="0"/>
                <w:w w:val="100"/>
                <w:kern w:val="21"/>
                <w:position w:val="0"/>
                <w:sz w:val="21"/>
                <w:szCs w:val="21"/>
                <w:u w:val="none" w:color="auto"/>
                <w:lang w:eastAsia="zh-CN"/>
              </w:rPr>
              <w:t>□</w:t>
            </w:r>
          </w:p>
        </w:tc>
        <w:tc>
          <w:tcPr>
            <w:tcW w:w="2108" w:type="dxa"/>
            <w:gridSpan w:val="3"/>
            <w:tcBorders>
              <w:tl2br w:val="nil"/>
              <w:tr2bl w:val="nil"/>
            </w:tcBorders>
            <w:noWrap w:val="0"/>
            <w:vAlign w:val="center"/>
          </w:tcPr>
          <w:p w14:paraId="2D2925E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 xml:space="preserve">F2 </w:t>
            </w:r>
            <w:r>
              <w:rPr>
                <w:rFonts w:hint="eastAsia" w:ascii="Times New Roman" w:hAnsi="Times New Roman" w:eastAsia="宋体" w:cs="Times New Roman"/>
                <w:spacing w:val="0"/>
                <w:w w:val="100"/>
                <w:kern w:val="21"/>
                <w:position w:val="0"/>
                <w:sz w:val="21"/>
                <w:szCs w:val="21"/>
                <w:u w:val="none" w:color="auto"/>
                <w:lang w:eastAsia="zh-CN"/>
              </w:rPr>
              <w:t>□</w:t>
            </w:r>
          </w:p>
        </w:tc>
        <w:tc>
          <w:tcPr>
            <w:tcW w:w="1388" w:type="dxa"/>
            <w:tcBorders>
              <w:tl2br w:val="nil"/>
              <w:tr2bl w:val="nil"/>
            </w:tcBorders>
            <w:noWrap w:val="0"/>
            <w:vAlign w:val="center"/>
          </w:tcPr>
          <w:p w14:paraId="02EB138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F3</w:t>
            </w:r>
            <w:r>
              <w:rPr>
                <w:rFonts w:hint="default" w:ascii="Times New Roman" w:hAnsi="Times New Roman" w:eastAsia="MS Gothic" w:cs="Times New Roman"/>
                <w:spacing w:val="0"/>
                <w:w w:val="100"/>
                <w:kern w:val="21"/>
                <w:position w:val="0"/>
                <w:sz w:val="21"/>
                <w:szCs w:val="21"/>
                <w:u w:val="none" w:color="auto"/>
              </w:rPr>
              <w:t>☑</w:t>
            </w:r>
          </w:p>
        </w:tc>
      </w:tr>
      <w:tr w14:paraId="17AF2F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45784BC0">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vMerge w:val="continue"/>
            <w:tcBorders>
              <w:tl2br w:val="nil"/>
              <w:tr2bl w:val="nil"/>
            </w:tcBorders>
            <w:noWrap w:val="0"/>
            <w:vAlign w:val="center"/>
          </w:tcPr>
          <w:p w14:paraId="0DC232D2">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4" w:type="dxa"/>
            <w:vMerge w:val="continue"/>
            <w:tcBorders>
              <w:tl2br w:val="nil"/>
              <w:tr2bl w:val="nil"/>
            </w:tcBorders>
            <w:noWrap w:val="0"/>
            <w:vAlign w:val="center"/>
          </w:tcPr>
          <w:p w14:paraId="066277FD">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843" w:type="dxa"/>
            <w:gridSpan w:val="3"/>
            <w:tcBorders>
              <w:tl2br w:val="nil"/>
              <w:tr2bl w:val="nil"/>
            </w:tcBorders>
            <w:noWrap w:val="0"/>
            <w:vAlign w:val="center"/>
          </w:tcPr>
          <w:p w14:paraId="7BF6C4F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环境敏感目标分级</w:t>
            </w:r>
          </w:p>
        </w:tc>
        <w:tc>
          <w:tcPr>
            <w:tcW w:w="1322" w:type="dxa"/>
            <w:gridSpan w:val="4"/>
            <w:tcBorders>
              <w:tl2br w:val="nil"/>
              <w:tr2bl w:val="nil"/>
            </w:tcBorders>
            <w:noWrap w:val="0"/>
            <w:vAlign w:val="center"/>
          </w:tcPr>
          <w:p w14:paraId="16028ADB">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 xml:space="preserve">S1 </w:t>
            </w:r>
            <w:r>
              <w:rPr>
                <w:rFonts w:hint="eastAsia" w:ascii="Times New Roman" w:hAnsi="Times New Roman" w:eastAsia="宋体" w:cs="Times New Roman"/>
                <w:spacing w:val="0"/>
                <w:w w:val="100"/>
                <w:kern w:val="21"/>
                <w:position w:val="0"/>
                <w:sz w:val="21"/>
                <w:szCs w:val="21"/>
                <w:u w:val="none" w:color="auto"/>
                <w:lang w:eastAsia="zh-CN"/>
              </w:rPr>
              <w:t>□</w:t>
            </w:r>
          </w:p>
        </w:tc>
        <w:tc>
          <w:tcPr>
            <w:tcW w:w="2108" w:type="dxa"/>
            <w:gridSpan w:val="3"/>
            <w:tcBorders>
              <w:tl2br w:val="nil"/>
              <w:tr2bl w:val="nil"/>
            </w:tcBorders>
            <w:noWrap w:val="0"/>
            <w:vAlign w:val="center"/>
          </w:tcPr>
          <w:p w14:paraId="7737E402">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 xml:space="preserve">S2 </w:t>
            </w:r>
            <w:r>
              <w:rPr>
                <w:rFonts w:hint="eastAsia" w:ascii="Times New Roman" w:hAnsi="Times New Roman" w:eastAsia="宋体" w:cs="Times New Roman"/>
                <w:spacing w:val="0"/>
                <w:w w:val="100"/>
                <w:kern w:val="21"/>
                <w:position w:val="0"/>
                <w:sz w:val="21"/>
                <w:szCs w:val="21"/>
                <w:u w:val="none" w:color="auto"/>
                <w:lang w:eastAsia="zh-CN"/>
              </w:rPr>
              <w:t>□</w:t>
            </w:r>
          </w:p>
        </w:tc>
        <w:tc>
          <w:tcPr>
            <w:tcW w:w="1388" w:type="dxa"/>
            <w:tcBorders>
              <w:tl2br w:val="nil"/>
              <w:tr2bl w:val="nil"/>
            </w:tcBorders>
            <w:noWrap w:val="0"/>
            <w:vAlign w:val="center"/>
          </w:tcPr>
          <w:p w14:paraId="5C9C3CF9">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S3</w:t>
            </w:r>
            <w:r>
              <w:rPr>
                <w:rFonts w:hint="default" w:ascii="Times New Roman" w:hAnsi="Times New Roman" w:eastAsia="MS Gothic" w:cs="Times New Roman"/>
                <w:spacing w:val="0"/>
                <w:w w:val="100"/>
                <w:kern w:val="21"/>
                <w:position w:val="0"/>
                <w:sz w:val="21"/>
                <w:szCs w:val="21"/>
                <w:u w:val="none" w:color="auto"/>
              </w:rPr>
              <w:t>☑</w:t>
            </w:r>
          </w:p>
        </w:tc>
      </w:tr>
      <w:tr w14:paraId="0A6F6E3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69C5C417">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vMerge w:val="continue"/>
            <w:tcBorders>
              <w:tl2br w:val="nil"/>
              <w:tr2bl w:val="nil"/>
            </w:tcBorders>
            <w:noWrap w:val="0"/>
            <w:vAlign w:val="center"/>
          </w:tcPr>
          <w:p w14:paraId="4725F925">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4" w:type="dxa"/>
            <w:vMerge w:val="restart"/>
            <w:tcBorders>
              <w:tl2br w:val="nil"/>
              <w:tr2bl w:val="nil"/>
            </w:tcBorders>
            <w:noWrap w:val="0"/>
            <w:vAlign w:val="center"/>
          </w:tcPr>
          <w:p w14:paraId="3439C024">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地下水</w:t>
            </w:r>
          </w:p>
        </w:tc>
        <w:tc>
          <w:tcPr>
            <w:tcW w:w="1843" w:type="dxa"/>
            <w:gridSpan w:val="3"/>
            <w:tcBorders>
              <w:tl2br w:val="nil"/>
              <w:tr2bl w:val="nil"/>
            </w:tcBorders>
            <w:noWrap w:val="0"/>
            <w:vAlign w:val="center"/>
          </w:tcPr>
          <w:p w14:paraId="0EEE82E6">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地下水功能敏感性</w:t>
            </w:r>
          </w:p>
        </w:tc>
        <w:tc>
          <w:tcPr>
            <w:tcW w:w="1322" w:type="dxa"/>
            <w:gridSpan w:val="4"/>
            <w:tcBorders>
              <w:tl2br w:val="nil"/>
              <w:tr2bl w:val="nil"/>
            </w:tcBorders>
            <w:noWrap w:val="0"/>
            <w:vAlign w:val="center"/>
          </w:tcPr>
          <w:p w14:paraId="187F0702">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 xml:space="preserve">G1 </w:t>
            </w:r>
            <w:r>
              <w:rPr>
                <w:rFonts w:hint="eastAsia" w:ascii="Times New Roman" w:hAnsi="Times New Roman" w:eastAsia="宋体" w:cs="Times New Roman"/>
                <w:spacing w:val="0"/>
                <w:w w:val="100"/>
                <w:kern w:val="21"/>
                <w:position w:val="0"/>
                <w:sz w:val="21"/>
                <w:szCs w:val="21"/>
                <w:u w:val="none" w:color="auto"/>
                <w:lang w:eastAsia="zh-CN"/>
              </w:rPr>
              <w:t>□</w:t>
            </w:r>
          </w:p>
        </w:tc>
        <w:tc>
          <w:tcPr>
            <w:tcW w:w="2108" w:type="dxa"/>
            <w:gridSpan w:val="3"/>
            <w:tcBorders>
              <w:tl2br w:val="nil"/>
              <w:tr2bl w:val="nil"/>
            </w:tcBorders>
            <w:noWrap w:val="0"/>
            <w:vAlign w:val="center"/>
          </w:tcPr>
          <w:p w14:paraId="41BA1912">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 xml:space="preserve">G2 </w:t>
            </w:r>
            <w:r>
              <w:rPr>
                <w:rFonts w:hint="eastAsia" w:ascii="Times New Roman" w:hAnsi="Times New Roman" w:eastAsia="宋体" w:cs="Times New Roman"/>
                <w:spacing w:val="0"/>
                <w:w w:val="100"/>
                <w:kern w:val="21"/>
                <w:position w:val="0"/>
                <w:sz w:val="21"/>
                <w:szCs w:val="21"/>
                <w:u w:val="none" w:color="auto"/>
                <w:lang w:eastAsia="zh-CN"/>
              </w:rPr>
              <w:t>□</w:t>
            </w:r>
          </w:p>
        </w:tc>
        <w:tc>
          <w:tcPr>
            <w:tcW w:w="1388" w:type="dxa"/>
            <w:tcBorders>
              <w:tl2br w:val="nil"/>
              <w:tr2bl w:val="nil"/>
            </w:tcBorders>
            <w:noWrap w:val="0"/>
            <w:vAlign w:val="center"/>
          </w:tcPr>
          <w:p w14:paraId="2DA9DBFF">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G3</w:t>
            </w:r>
            <w:r>
              <w:rPr>
                <w:rFonts w:hint="default" w:ascii="Times New Roman" w:hAnsi="Times New Roman" w:eastAsia="MS Gothic" w:cs="Times New Roman"/>
                <w:spacing w:val="0"/>
                <w:w w:val="100"/>
                <w:kern w:val="21"/>
                <w:position w:val="0"/>
                <w:sz w:val="21"/>
                <w:szCs w:val="21"/>
                <w:u w:val="none" w:color="auto"/>
              </w:rPr>
              <w:t>☑</w:t>
            </w:r>
          </w:p>
        </w:tc>
      </w:tr>
      <w:tr w14:paraId="6C7A9B2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6A8F46B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vMerge w:val="continue"/>
            <w:tcBorders>
              <w:tl2br w:val="nil"/>
              <w:tr2bl w:val="nil"/>
            </w:tcBorders>
            <w:noWrap w:val="0"/>
            <w:vAlign w:val="center"/>
          </w:tcPr>
          <w:p w14:paraId="3468E1CB">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4" w:type="dxa"/>
            <w:vMerge w:val="continue"/>
            <w:tcBorders>
              <w:tl2br w:val="nil"/>
              <w:tr2bl w:val="nil"/>
            </w:tcBorders>
            <w:noWrap w:val="0"/>
            <w:vAlign w:val="center"/>
          </w:tcPr>
          <w:p w14:paraId="67CB2AA6">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843" w:type="dxa"/>
            <w:gridSpan w:val="3"/>
            <w:tcBorders>
              <w:tl2br w:val="nil"/>
              <w:tr2bl w:val="nil"/>
            </w:tcBorders>
            <w:noWrap w:val="0"/>
            <w:vAlign w:val="center"/>
          </w:tcPr>
          <w:p w14:paraId="3EEB2D5D">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包气带防污性能</w:t>
            </w:r>
          </w:p>
        </w:tc>
        <w:tc>
          <w:tcPr>
            <w:tcW w:w="1322" w:type="dxa"/>
            <w:gridSpan w:val="4"/>
            <w:tcBorders>
              <w:tl2br w:val="nil"/>
              <w:tr2bl w:val="nil"/>
            </w:tcBorders>
            <w:noWrap w:val="0"/>
            <w:vAlign w:val="center"/>
          </w:tcPr>
          <w:p w14:paraId="461882F2">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 xml:space="preserve">D1 </w:t>
            </w:r>
            <w:r>
              <w:rPr>
                <w:rFonts w:hint="eastAsia" w:ascii="Times New Roman" w:hAnsi="Times New Roman" w:eastAsia="宋体" w:cs="Times New Roman"/>
                <w:spacing w:val="0"/>
                <w:w w:val="100"/>
                <w:kern w:val="21"/>
                <w:position w:val="0"/>
                <w:sz w:val="21"/>
                <w:szCs w:val="21"/>
                <w:u w:val="none" w:color="auto"/>
                <w:lang w:eastAsia="zh-CN"/>
              </w:rPr>
              <w:t>□</w:t>
            </w:r>
          </w:p>
        </w:tc>
        <w:tc>
          <w:tcPr>
            <w:tcW w:w="2108" w:type="dxa"/>
            <w:gridSpan w:val="3"/>
            <w:tcBorders>
              <w:tl2br w:val="nil"/>
              <w:tr2bl w:val="nil"/>
            </w:tcBorders>
            <w:noWrap w:val="0"/>
            <w:vAlign w:val="center"/>
          </w:tcPr>
          <w:p w14:paraId="45CEE95F">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 xml:space="preserve">D2 </w:t>
            </w:r>
            <w:r>
              <w:rPr>
                <w:rFonts w:hint="default" w:ascii="Times New Roman" w:hAnsi="Times New Roman" w:eastAsia="MS Gothic" w:cs="Times New Roman"/>
                <w:spacing w:val="0"/>
                <w:w w:val="100"/>
                <w:kern w:val="21"/>
                <w:position w:val="0"/>
                <w:sz w:val="21"/>
                <w:szCs w:val="21"/>
                <w:u w:val="none" w:color="auto"/>
              </w:rPr>
              <w:t>☑</w:t>
            </w:r>
          </w:p>
        </w:tc>
        <w:tc>
          <w:tcPr>
            <w:tcW w:w="1388" w:type="dxa"/>
            <w:tcBorders>
              <w:tl2br w:val="nil"/>
              <w:tr2bl w:val="nil"/>
            </w:tcBorders>
            <w:noWrap w:val="0"/>
            <w:vAlign w:val="center"/>
          </w:tcPr>
          <w:p w14:paraId="0F850F52">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 xml:space="preserve">D3 </w:t>
            </w:r>
            <w:r>
              <w:rPr>
                <w:rFonts w:hint="eastAsia" w:ascii="Times New Roman" w:hAnsi="Times New Roman" w:eastAsia="宋体" w:cs="Times New Roman"/>
                <w:spacing w:val="0"/>
                <w:w w:val="100"/>
                <w:kern w:val="21"/>
                <w:position w:val="0"/>
                <w:sz w:val="21"/>
                <w:szCs w:val="21"/>
                <w:u w:val="none" w:color="auto"/>
                <w:lang w:eastAsia="zh-CN"/>
              </w:rPr>
              <w:t>□</w:t>
            </w:r>
          </w:p>
        </w:tc>
      </w:tr>
      <w:tr w14:paraId="364A273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8" w:type="dxa"/>
            <w:gridSpan w:val="2"/>
            <w:vMerge w:val="restart"/>
            <w:tcBorders>
              <w:tl2br w:val="nil"/>
              <w:tr2bl w:val="nil"/>
            </w:tcBorders>
            <w:noWrap w:val="0"/>
            <w:vAlign w:val="center"/>
          </w:tcPr>
          <w:p w14:paraId="2BFB229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物质及工艺系统危险性</w:t>
            </w:r>
          </w:p>
        </w:tc>
        <w:tc>
          <w:tcPr>
            <w:tcW w:w="1034" w:type="dxa"/>
            <w:tcBorders>
              <w:tl2br w:val="nil"/>
              <w:tr2bl w:val="nil"/>
            </w:tcBorders>
            <w:noWrap w:val="0"/>
            <w:vAlign w:val="center"/>
          </w:tcPr>
          <w:p w14:paraId="6F2E90C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 xml:space="preserve">Q </w:t>
            </w:r>
            <w:r>
              <w:rPr>
                <w:rFonts w:hint="default" w:ascii="Times New Roman" w:hAnsi="Times New Roman" w:cs="Times New Roman"/>
                <w:spacing w:val="0"/>
                <w:w w:val="100"/>
                <w:kern w:val="21"/>
                <w:position w:val="0"/>
                <w:sz w:val="21"/>
                <w:szCs w:val="21"/>
                <w:u w:val="none" w:color="auto"/>
              </w:rPr>
              <w:t>值</w:t>
            </w:r>
          </w:p>
        </w:tc>
        <w:tc>
          <w:tcPr>
            <w:tcW w:w="1843" w:type="dxa"/>
            <w:gridSpan w:val="3"/>
            <w:tcBorders>
              <w:tl2br w:val="nil"/>
              <w:tr2bl w:val="nil"/>
            </w:tcBorders>
            <w:noWrap w:val="0"/>
            <w:vAlign w:val="center"/>
          </w:tcPr>
          <w:p w14:paraId="4ABDADC6">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Q</w:t>
            </w:r>
            <w:r>
              <w:rPr>
                <w:rFonts w:hint="default" w:ascii="Times New Roman" w:hAnsi="Times New Roman" w:cs="Times New Roman"/>
                <w:spacing w:val="0"/>
                <w:w w:val="100"/>
                <w:kern w:val="21"/>
                <w:position w:val="0"/>
                <w:sz w:val="21"/>
                <w:szCs w:val="21"/>
                <w:u w:val="none" w:color="auto"/>
              </w:rPr>
              <w:t>＜</w:t>
            </w:r>
            <w:r>
              <w:rPr>
                <w:rFonts w:hint="default" w:ascii="Times New Roman" w:hAnsi="Times New Roman" w:eastAsia="Times New Roman" w:cs="Times New Roman"/>
                <w:spacing w:val="0"/>
                <w:w w:val="100"/>
                <w:kern w:val="21"/>
                <w:position w:val="0"/>
                <w:sz w:val="21"/>
                <w:szCs w:val="21"/>
                <w:u w:val="none" w:color="auto"/>
              </w:rPr>
              <w:t xml:space="preserve">1 </w:t>
            </w:r>
            <w:r>
              <w:rPr>
                <w:rFonts w:hint="eastAsia" w:ascii="Times New Roman" w:hAnsi="Times New Roman" w:eastAsia="宋体" w:cs="Times New Roman"/>
                <w:spacing w:val="0"/>
                <w:w w:val="100"/>
                <w:kern w:val="21"/>
                <w:position w:val="0"/>
                <w:sz w:val="21"/>
                <w:szCs w:val="21"/>
                <w:u w:val="none" w:color="auto"/>
                <w:lang w:eastAsia="zh-CN"/>
              </w:rPr>
              <w:t>□</w:t>
            </w:r>
          </w:p>
        </w:tc>
        <w:tc>
          <w:tcPr>
            <w:tcW w:w="1322" w:type="dxa"/>
            <w:gridSpan w:val="4"/>
            <w:tcBorders>
              <w:tl2br w:val="nil"/>
              <w:tr2bl w:val="nil"/>
            </w:tcBorders>
            <w:noWrap w:val="0"/>
            <w:vAlign w:val="center"/>
          </w:tcPr>
          <w:p w14:paraId="7BE49E13">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微软雅黑"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1≤Q</w:t>
            </w:r>
            <w:r>
              <w:rPr>
                <w:rFonts w:hint="default" w:ascii="Times New Roman" w:hAnsi="Times New Roman" w:cs="Times New Roman"/>
                <w:spacing w:val="0"/>
                <w:w w:val="100"/>
                <w:kern w:val="21"/>
                <w:position w:val="0"/>
                <w:sz w:val="21"/>
                <w:szCs w:val="21"/>
                <w:u w:val="none" w:color="auto"/>
              </w:rPr>
              <w:t>＜</w:t>
            </w:r>
            <w:r>
              <w:rPr>
                <w:rFonts w:hint="default" w:ascii="Times New Roman" w:hAnsi="Times New Roman" w:eastAsia="Times New Roman" w:cs="Times New Roman"/>
                <w:spacing w:val="0"/>
                <w:w w:val="100"/>
                <w:kern w:val="21"/>
                <w:position w:val="0"/>
                <w:sz w:val="21"/>
                <w:szCs w:val="21"/>
                <w:u w:val="none" w:color="auto"/>
              </w:rPr>
              <w:t>10</w:t>
            </w:r>
            <w:r>
              <w:rPr>
                <w:rFonts w:hint="eastAsia" w:ascii="Times New Roman" w:hAnsi="Times New Roman" w:eastAsia="微软雅黑" w:cs="Times New Roman"/>
                <w:spacing w:val="0"/>
                <w:w w:val="100"/>
                <w:kern w:val="21"/>
                <w:position w:val="0"/>
                <w:sz w:val="21"/>
                <w:szCs w:val="21"/>
                <w:u w:val="none" w:color="auto"/>
                <w:lang w:eastAsia="zh-CN"/>
              </w:rPr>
              <w:t>□</w:t>
            </w:r>
          </w:p>
        </w:tc>
        <w:tc>
          <w:tcPr>
            <w:tcW w:w="2108" w:type="dxa"/>
            <w:gridSpan w:val="3"/>
            <w:tcBorders>
              <w:tl2br w:val="nil"/>
              <w:tr2bl w:val="nil"/>
            </w:tcBorders>
            <w:noWrap w:val="0"/>
            <w:vAlign w:val="center"/>
          </w:tcPr>
          <w:p w14:paraId="7B7B0517">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10≤Q</w:t>
            </w:r>
            <w:r>
              <w:rPr>
                <w:rFonts w:hint="default" w:ascii="Times New Roman" w:hAnsi="Times New Roman" w:cs="Times New Roman"/>
                <w:spacing w:val="0"/>
                <w:w w:val="100"/>
                <w:kern w:val="21"/>
                <w:position w:val="0"/>
                <w:sz w:val="21"/>
                <w:szCs w:val="21"/>
                <w:u w:val="none" w:color="auto"/>
              </w:rPr>
              <w:t>＜</w:t>
            </w:r>
            <w:r>
              <w:rPr>
                <w:rFonts w:hint="default" w:ascii="Times New Roman" w:hAnsi="Times New Roman" w:eastAsia="Times New Roman" w:cs="Times New Roman"/>
                <w:spacing w:val="0"/>
                <w:w w:val="100"/>
                <w:kern w:val="21"/>
                <w:position w:val="0"/>
                <w:sz w:val="21"/>
                <w:szCs w:val="21"/>
                <w:u w:val="none" w:color="auto"/>
              </w:rPr>
              <w:t xml:space="preserve">100 </w:t>
            </w:r>
            <w:r>
              <w:rPr>
                <w:rFonts w:hint="eastAsia" w:ascii="Times New Roman" w:hAnsi="Times New Roman" w:eastAsia="宋体" w:cs="Times New Roman"/>
                <w:spacing w:val="0"/>
                <w:w w:val="100"/>
                <w:kern w:val="21"/>
                <w:position w:val="0"/>
                <w:sz w:val="21"/>
                <w:szCs w:val="21"/>
                <w:u w:val="none" w:color="auto"/>
                <w:lang w:eastAsia="zh-CN"/>
              </w:rPr>
              <w:t>□</w:t>
            </w:r>
          </w:p>
        </w:tc>
        <w:tc>
          <w:tcPr>
            <w:tcW w:w="1388" w:type="dxa"/>
            <w:tcBorders>
              <w:tl2br w:val="nil"/>
              <w:tr2bl w:val="nil"/>
            </w:tcBorders>
            <w:noWrap w:val="0"/>
            <w:vAlign w:val="center"/>
          </w:tcPr>
          <w:p w14:paraId="03FE2E5F">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微软雅黑"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Q</w:t>
            </w:r>
            <w:r>
              <w:rPr>
                <w:rFonts w:hint="default" w:ascii="Times New Roman" w:hAnsi="Times New Roman" w:cs="Times New Roman"/>
                <w:spacing w:val="0"/>
                <w:w w:val="100"/>
                <w:kern w:val="21"/>
                <w:position w:val="0"/>
                <w:sz w:val="21"/>
                <w:szCs w:val="21"/>
                <w:u w:val="none" w:color="auto"/>
              </w:rPr>
              <w:t>＞</w:t>
            </w:r>
            <w:r>
              <w:rPr>
                <w:rFonts w:hint="default" w:ascii="Times New Roman" w:hAnsi="Times New Roman" w:eastAsia="Times New Roman" w:cs="Times New Roman"/>
                <w:spacing w:val="0"/>
                <w:w w:val="100"/>
                <w:kern w:val="21"/>
                <w:position w:val="0"/>
                <w:sz w:val="21"/>
                <w:szCs w:val="21"/>
                <w:u w:val="none" w:color="auto"/>
              </w:rPr>
              <w:t>100</w:t>
            </w:r>
            <w:r>
              <w:rPr>
                <w:rFonts w:hint="eastAsia" w:ascii="Times New Roman" w:hAnsi="Times New Roman" w:eastAsia="微软雅黑" w:cs="Times New Roman"/>
                <w:spacing w:val="0"/>
                <w:w w:val="100"/>
                <w:kern w:val="21"/>
                <w:position w:val="0"/>
                <w:sz w:val="21"/>
                <w:szCs w:val="21"/>
                <w:u w:val="none" w:color="auto"/>
                <w:lang w:eastAsia="zh-CN"/>
              </w:rPr>
              <w:t>☑</w:t>
            </w:r>
          </w:p>
        </w:tc>
      </w:tr>
      <w:tr w14:paraId="06419F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8" w:type="dxa"/>
            <w:gridSpan w:val="2"/>
            <w:vMerge w:val="continue"/>
            <w:tcBorders>
              <w:tl2br w:val="nil"/>
              <w:tr2bl w:val="nil"/>
            </w:tcBorders>
            <w:noWrap w:val="0"/>
            <w:vAlign w:val="center"/>
          </w:tcPr>
          <w:p w14:paraId="7B1A4F39">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4" w:type="dxa"/>
            <w:tcBorders>
              <w:tl2br w:val="nil"/>
              <w:tr2bl w:val="nil"/>
            </w:tcBorders>
            <w:noWrap w:val="0"/>
            <w:vAlign w:val="center"/>
          </w:tcPr>
          <w:p w14:paraId="6E101D4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M</w:t>
            </w:r>
            <w:r>
              <w:rPr>
                <w:rFonts w:hint="default" w:ascii="Times New Roman" w:hAnsi="Times New Roman" w:cs="Times New Roman"/>
                <w:spacing w:val="0"/>
                <w:w w:val="100"/>
                <w:kern w:val="21"/>
                <w:position w:val="0"/>
                <w:sz w:val="21"/>
                <w:szCs w:val="21"/>
                <w:u w:val="none" w:color="auto"/>
              </w:rPr>
              <w:t>值</w:t>
            </w:r>
          </w:p>
        </w:tc>
        <w:tc>
          <w:tcPr>
            <w:tcW w:w="1843" w:type="dxa"/>
            <w:gridSpan w:val="3"/>
            <w:tcBorders>
              <w:tl2br w:val="nil"/>
              <w:tr2bl w:val="nil"/>
            </w:tcBorders>
            <w:noWrap w:val="0"/>
            <w:vAlign w:val="center"/>
          </w:tcPr>
          <w:p w14:paraId="5A2978D8">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微软雅黑"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M1</w:t>
            </w:r>
            <w:r>
              <w:rPr>
                <w:rFonts w:hint="eastAsia" w:eastAsia="宋体" w:cs="Times New Roman"/>
                <w:spacing w:val="0"/>
                <w:w w:val="100"/>
                <w:kern w:val="21"/>
                <w:position w:val="0"/>
                <w:sz w:val="21"/>
                <w:szCs w:val="21"/>
                <w:u w:val="none" w:color="auto"/>
                <w:lang w:eastAsia="zh-CN"/>
              </w:rPr>
              <w:t>□</w:t>
            </w:r>
          </w:p>
        </w:tc>
        <w:tc>
          <w:tcPr>
            <w:tcW w:w="1322" w:type="dxa"/>
            <w:gridSpan w:val="4"/>
            <w:tcBorders>
              <w:tl2br w:val="nil"/>
              <w:tr2bl w:val="nil"/>
            </w:tcBorders>
            <w:noWrap w:val="0"/>
            <w:vAlign w:val="center"/>
          </w:tcPr>
          <w:p w14:paraId="2E580A8C">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M2</w:t>
            </w:r>
            <w:r>
              <w:rPr>
                <w:rFonts w:hint="eastAsia" w:eastAsia="宋体" w:cs="Times New Roman"/>
                <w:spacing w:val="0"/>
                <w:w w:val="100"/>
                <w:kern w:val="21"/>
                <w:position w:val="0"/>
                <w:sz w:val="21"/>
                <w:szCs w:val="21"/>
                <w:u w:val="none" w:color="auto"/>
                <w:lang w:eastAsia="zh-CN"/>
              </w:rPr>
              <w:t>□</w:t>
            </w:r>
          </w:p>
        </w:tc>
        <w:tc>
          <w:tcPr>
            <w:tcW w:w="2108" w:type="dxa"/>
            <w:gridSpan w:val="3"/>
            <w:tcBorders>
              <w:tl2br w:val="nil"/>
              <w:tr2bl w:val="nil"/>
            </w:tcBorders>
            <w:noWrap w:val="0"/>
            <w:vAlign w:val="center"/>
          </w:tcPr>
          <w:p w14:paraId="677005BE">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M3</w:t>
            </w:r>
            <w:r>
              <w:rPr>
                <w:rFonts w:hint="eastAsia" w:ascii="Times New Roman" w:hAnsi="Times New Roman" w:cs="Times New Roman"/>
                <w:spacing w:val="0"/>
                <w:w w:val="100"/>
                <w:kern w:val="21"/>
                <w:position w:val="0"/>
                <w:sz w:val="21"/>
                <w:szCs w:val="21"/>
                <w:u w:val="none" w:color="auto"/>
                <w:lang w:eastAsia="zh-CN"/>
              </w:rPr>
              <w:t>□</w:t>
            </w:r>
          </w:p>
        </w:tc>
        <w:tc>
          <w:tcPr>
            <w:tcW w:w="1388" w:type="dxa"/>
            <w:tcBorders>
              <w:tl2br w:val="nil"/>
              <w:tr2bl w:val="nil"/>
            </w:tcBorders>
            <w:noWrap w:val="0"/>
            <w:vAlign w:val="center"/>
          </w:tcPr>
          <w:p w14:paraId="26F1DB6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M4</w:t>
            </w:r>
            <w:r>
              <w:rPr>
                <w:rFonts w:hint="eastAsia" w:ascii="Times New Roman" w:hAnsi="Times New Roman" w:cs="Times New Roman"/>
                <w:spacing w:val="0"/>
                <w:w w:val="100"/>
                <w:kern w:val="21"/>
                <w:position w:val="0"/>
                <w:sz w:val="21"/>
                <w:szCs w:val="21"/>
                <w:u w:val="none" w:color="auto"/>
                <w:lang w:eastAsia="zh-CN"/>
              </w:rPr>
              <w:t>☑</w:t>
            </w:r>
          </w:p>
        </w:tc>
      </w:tr>
      <w:tr w14:paraId="5A83BD2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8" w:type="dxa"/>
            <w:gridSpan w:val="2"/>
            <w:vMerge w:val="continue"/>
            <w:tcBorders>
              <w:tl2br w:val="nil"/>
              <w:tr2bl w:val="nil"/>
            </w:tcBorders>
            <w:noWrap w:val="0"/>
            <w:vAlign w:val="center"/>
          </w:tcPr>
          <w:p w14:paraId="043225AD">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4" w:type="dxa"/>
            <w:tcBorders>
              <w:tl2br w:val="nil"/>
              <w:tr2bl w:val="nil"/>
            </w:tcBorders>
            <w:noWrap w:val="0"/>
            <w:vAlign w:val="center"/>
          </w:tcPr>
          <w:p w14:paraId="4D0954DE">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 xml:space="preserve">P </w:t>
            </w:r>
            <w:r>
              <w:rPr>
                <w:rFonts w:hint="default" w:ascii="Times New Roman" w:hAnsi="Times New Roman" w:cs="Times New Roman"/>
                <w:spacing w:val="0"/>
                <w:w w:val="100"/>
                <w:kern w:val="21"/>
                <w:position w:val="0"/>
                <w:sz w:val="21"/>
                <w:szCs w:val="21"/>
                <w:u w:val="none" w:color="auto"/>
              </w:rPr>
              <w:t>值</w:t>
            </w:r>
          </w:p>
        </w:tc>
        <w:tc>
          <w:tcPr>
            <w:tcW w:w="1843" w:type="dxa"/>
            <w:gridSpan w:val="3"/>
            <w:tcBorders>
              <w:tl2br w:val="nil"/>
              <w:tr2bl w:val="nil"/>
            </w:tcBorders>
            <w:noWrap w:val="0"/>
            <w:vAlign w:val="center"/>
          </w:tcPr>
          <w:p w14:paraId="1D55110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P1</w:t>
            </w:r>
            <w:r>
              <w:rPr>
                <w:rFonts w:hint="eastAsia" w:eastAsia="宋体" w:cs="Times New Roman"/>
                <w:spacing w:val="0"/>
                <w:w w:val="100"/>
                <w:kern w:val="21"/>
                <w:position w:val="0"/>
                <w:sz w:val="21"/>
                <w:szCs w:val="21"/>
                <w:u w:val="none" w:color="auto"/>
                <w:lang w:eastAsia="zh-CN"/>
              </w:rPr>
              <w:t>□</w:t>
            </w:r>
          </w:p>
        </w:tc>
        <w:tc>
          <w:tcPr>
            <w:tcW w:w="1322" w:type="dxa"/>
            <w:gridSpan w:val="4"/>
            <w:tcBorders>
              <w:tl2br w:val="nil"/>
              <w:tr2bl w:val="nil"/>
            </w:tcBorders>
            <w:noWrap w:val="0"/>
            <w:vAlign w:val="center"/>
          </w:tcPr>
          <w:p w14:paraId="74EF478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P2</w:t>
            </w:r>
            <w:r>
              <w:rPr>
                <w:rFonts w:hint="eastAsia" w:eastAsia="宋体" w:cs="Times New Roman"/>
                <w:spacing w:val="0"/>
                <w:w w:val="100"/>
                <w:kern w:val="21"/>
                <w:position w:val="0"/>
                <w:sz w:val="21"/>
                <w:szCs w:val="21"/>
                <w:u w:val="none" w:color="auto"/>
                <w:lang w:eastAsia="zh-CN"/>
              </w:rPr>
              <w:t>□</w:t>
            </w:r>
          </w:p>
        </w:tc>
        <w:tc>
          <w:tcPr>
            <w:tcW w:w="2108" w:type="dxa"/>
            <w:gridSpan w:val="3"/>
            <w:tcBorders>
              <w:tl2br w:val="nil"/>
              <w:tr2bl w:val="nil"/>
            </w:tcBorders>
            <w:noWrap w:val="0"/>
            <w:vAlign w:val="center"/>
          </w:tcPr>
          <w:p w14:paraId="62CC80B6">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P3</w:t>
            </w:r>
            <w:r>
              <w:rPr>
                <w:rFonts w:hint="eastAsia" w:ascii="Times New Roman" w:hAnsi="Times New Roman" w:cs="Times New Roman"/>
                <w:spacing w:val="0"/>
                <w:w w:val="100"/>
                <w:kern w:val="21"/>
                <w:position w:val="0"/>
                <w:sz w:val="21"/>
                <w:szCs w:val="21"/>
                <w:u w:val="none" w:color="auto"/>
                <w:lang w:eastAsia="zh-CN"/>
              </w:rPr>
              <w:t>☑</w:t>
            </w:r>
          </w:p>
        </w:tc>
        <w:tc>
          <w:tcPr>
            <w:tcW w:w="1388" w:type="dxa"/>
            <w:tcBorders>
              <w:tl2br w:val="nil"/>
              <w:tr2bl w:val="nil"/>
            </w:tcBorders>
            <w:noWrap w:val="0"/>
            <w:vAlign w:val="center"/>
          </w:tcPr>
          <w:p w14:paraId="3812A8F5">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P4</w:t>
            </w:r>
            <w:r>
              <w:rPr>
                <w:rFonts w:hint="eastAsia" w:ascii="Times New Roman" w:hAnsi="Times New Roman" w:cs="Times New Roman"/>
                <w:spacing w:val="0"/>
                <w:w w:val="100"/>
                <w:kern w:val="21"/>
                <w:position w:val="0"/>
                <w:sz w:val="21"/>
                <w:szCs w:val="21"/>
                <w:u w:val="none" w:color="auto"/>
                <w:lang w:eastAsia="zh-CN"/>
              </w:rPr>
              <w:t>□</w:t>
            </w:r>
          </w:p>
        </w:tc>
      </w:tr>
      <w:tr w14:paraId="7079F23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8" w:type="dxa"/>
            <w:gridSpan w:val="2"/>
            <w:vMerge w:val="restart"/>
            <w:tcBorders>
              <w:tl2br w:val="nil"/>
              <w:tr2bl w:val="nil"/>
            </w:tcBorders>
            <w:noWrap w:val="0"/>
            <w:vAlign w:val="center"/>
          </w:tcPr>
          <w:p w14:paraId="5B0F0E31">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环境敏感程度</w:t>
            </w:r>
          </w:p>
        </w:tc>
        <w:tc>
          <w:tcPr>
            <w:tcW w:w="1034" w:type="dxa"/>
            <w:tcBorders>
              <w:tl2br w:val="nil"/>
              <w:tr2bl w:val="nil"/>
            </w:tcBorders>
            <w:noWrap w:val="0"/>
            <w:vAlign w:val="center"/>
          </w:tcPr>
          <w:p w14:paraId="597ADF8A">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大气</w:t>
            </w:r>
          </w:p>
        </w:tc>
        <w:tc>
          <w:tcPr>
            <w:tcW w:w="3165" w:type="dxa"/>
            <w:gridSpan w:val="7"/>
            <w:tcBorders>
              <w:tl2br w:val="nil"/>
              <w:tr2bl w:val="nil"/>
            </w:tcBorders>
            <w:noWrap w:val="0"/>
            <w:vAlign w:val="center"/>
          </w:tcPr>
          <w:p w14:paraId="73126CA8">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E1</w:t>
            </w:r>
            <w:r>
              <w:rPr>
                <w:rFonts w:hint="eastAsia" w:ascii="Times New Roman" w:hAnsi="Times New Roman" w:eastAsia="宋体" w:cs="Times New Roman"/>
                <w:spacing w:val="0"/>
                <w:w w:val="100"/>
                <w:kern w:val="21"/>
                <w:position w:val="0"/>
                <w:sz w:val="21"/>
                <w:szCs w:val="21"/>
                <w:u w:val="none" w:color="auto"/>
                <w:lang w:eastAsia="zh-CN"/>
              </w:rPr>
              <w:t>☑</w:t>
            </w:r>
          </w:p>
        </w:tc>
        <w:tc>
          <w:tcPr>
            <w:tcW w:w="1762" w:type="dxa"/>
            <w:gridSpan w:val="2"/>
            <w:tcBorders>
              <w:tl2br w:val="nil"/>
              <w:tr2bl w:val="nil"/>
            </w:tcBorders>
            <w:noWrap w:val="0"/>
            <w:vAlign w:val="center"/>
          </w:tcPr>
          <w:p w14:paraId="35C10171">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E2</w:t>
            </w:r>
            <w:r>
              <w:rPr>
                <w:rFonts w:hint="eastAsia" w:eastAsia="宋体" w:cs="Times New Roman"/>
                <w:spacing w:val="0"/>
                <w:w w:val="100"/>
                <w:kern w:val="21"/>
                <w:position w:val="0"/>
                <w:sz w:val="21"/>
                <w:szCs w:val="21"/>
                <w:u w:val="none" w:color="auto"/>
                <w:lang w:eastAsia="zh-CN"/>
              </w:rPr>
              <w:t>□</w:t>
            </w:r>
          </w:p>
        </w:tc>
        <w:tc>
          <w:tcPr>
            <w:tcW w:w="1734" w:type="dxa"/>
            <w:gridSpan w:val="2"/>
            <w:tcBorders>
              <w:tl2br w:val="nil"/>
              <w:tr2bl w:val="nil"/>
            </w:tcBorders>
            <w:noWrap w:val="0"/>
            <w:vAlign w:val="center"/>
          </w:tcPr>
          <w:p w14:paraId="4B1F9132">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E3</w:t>
            </w:r>
            <w:r>
              <w:rPr>
                <w:rFonts w:hint="eastAsia" w:eastAsia="宋体" w:cs="Times New Roman"/>
                <w:spacing w:val="0"/>
                <w:w w:val="100"/>
                <w:kern w:val="21"/>
                <w:position w:val="0"/>
                <w:sz w:val="21"/>
                <w:szCs w:val="21"/>
                <w:u w:val="none" w:color="auto"/>
                <w:lang w:eastAsia="zh-CN"/>
              </w:rPr>
              <w:t>□</w:t>
            </w:r>
          </w:p>
        </w:tc>
      </w:tr>
      <w:tr w14:paraId="29EFC72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8" w:type="dxa"/>
            <w:gridSpan w:val="2"/>
            <w:vMerge w:val="continue"/>
            <w:tcBorders>
              <w:tl2br w:val="nil"/>
              <w:tr2bl w:val="nil"/>
            </w:tcBorders>
            <w:noWrap w:val="0"/>
            <w:vAlign w:val="center"/>
          </w:tcPr>
          <w:p w14:paraId="714784E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4" w:type="dxa"/>
            <w:tcBorders>
              <w:tl2br w:val="nil"/>
              <w:tr2bl w:val="nil"/>
            </w:tcBorders>
            <w:noWrap w:val="0"/>
            <w:vAlign w:val="center"/>
          </w:tcPr>
          <w:p w14:paraId="6F357B83">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地表水</w:t>
            </w:r>
          </w:p>
        </w:tc>
        <w:tc>
          <w:tcPr>
            <w:tcW w:w="3165" w:type="dxa"/>
            <w:gridSpan w:val="7"/>
            <w:tcBorders>
              <w:tl2br w:val="nil"/>
              <w:tr2bl w:val="nil"/>
            </w:tcBorders>
            <w:noWrap w:val="0"/>
            <w:vAlign w:val="center"/>
          </w:tcPr>
          <w:p w14:paraId="129C3725">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E1</w:t>
            </w:r>
            <w:r>
              <w:rPr>
                <w:rFonts w:hint="eastAsia" w:eastAsia="宋体" w:cs="Times New Roman"/>
                <w:spacing w:val="0"/>
                <w:w w:val="100"/>
                <w:kern w:val="21"/>
                <w:position w:val="0"/>
                <w:sz w:val="21"/>
                <w:szCs w:val="21"/>
                <w:u w:val="none" w:color="auto"/>
                <w:lang w:eastAsia="zh-CN"/>
              </w:rPr>
              <w:t>□</w:t>
            </w:r>
          </w:p>
        </w:tc>
        <w:tc>
          <w:tcPr>
            <w:tcW w:w="1762" w:type="dxa"/>
            <w:gridSpan w:val="2"/>
            <w:tcBorders>
              <w:tl2br w:val="nil"/>
              <w:tr2bl w:val="nil"/>
            </w:tcBorders>
            <w:noWrap w:val="0"/>
            <w:vAlign w:val="center"/>
          </w:tcPr>
          <w:p w14:paraId="0BB2558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MS Gothic"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E2</w:t>
            </w:r>
            <w:r>
              <w:rPr>
                <w:rFonts w:hint="eastAsia" w:eastAsia="宋体" w:cs="Times New Roman"/>
                <w:spacing w:val="0"/>
                <w:w w:val="100"/>
                <w:kern w:val="21"/>
                <w:position w:val="0"/>
                <w:sz w:val="21"/>
                <w:szCs w:val="21"/>
                <w:u w:val="none" w:color="auto"/>
                <w:lang w:eastAsia="zh-CN"/>
              </w:rPr>
              <w:t>□</w:t>
            </w:r>
          </w:p>
        </w:tc>
        <w:tc>
          <w:tcPr>
            <w:tcW w:w="1734" w:type="dxa"/>
            <w:gridSpan w:val="2"/>
            <w:tcBorders>
              <w:tl2br w:val="nil"/>
              <w:tr2bl w:val="nil"/>
            </w:tcBorders>
            <w:noWrap w:val="0"/>
            <w:vAlign w:val="center"/>
          </w:tcPr>
          <w:p w14:paraId="2FE02D02">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微软雅黑"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E3</w:t>
            </w:r>
            <w:r>
              <w:rPr>
                <w:rFonts w:hint="eastAsia" w:ascii="Times New Roman" w:hAnsi="Times New Roman" w:eastAsia="微软雅黑" w:cs="Times New Roman"/>
                <w:spacing w:val="0"/>
                <w:w w:val="100"/>
                <w:kern w:val="21"/>
                <w:position w:val="0"/>
                <w:sz w:val="21"/>
                <w:szCs w:val="21"/>
                <w:u w:val="none" w:color="auto"/>
                <w:lang w:eastAsia="zh-CN"/>
              </w:rPr>
              <w:t>☑</w:t>
            </w:r>
          </w:p>
        </w:tc>
      </w:tr>
      <w:tr w14:paraId="04BA163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8" w:type="dxa"/>
            <w:gridSpan w:val="2"/>
            <w:vMerge w:val="continue"/>
            <w:tcBorders>
              <w:tl2br w:val="nil"/>
              <w:tr2bl w:val="nil"/>
            </w:tcBorders>
            <w:noWrap w:val="0"/>
            <w:vAlign w:val="center"/>
          </w:tcPr>
          <w:p w14:paraId="45A4787F">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4" w:type="dxa"/>
            <w:tcBorders>
              <w:tl2br w:val="nil"/>
              <w:tr2bl w:val="nil"/>
            </w:tcBorders>
            <w:noWrap w:val="0"/>
            <w:vAlign w:val="center"/>
          </w:tcPr>
          <w:p w14:paraId="7DC605BD">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地下水</w:t>
            </w:r>
          </w:p>
        </w:tc>
        <w:tc>
          <w:tcPr>
            <w:tcW w:w="3165" w:type="dxa"/>
            <w:gridSpan w:val="7"/>
            <w:tcBorders>
              <w:tl2br w:val="nil"/>
              <w:tr2bl w:val="nil"/>
            </w:tcBorders>
            <w:noWrap w:val="0"/>
            <w:vAlign w:val="center"/>
          </w:tcPr>
          <w:p w14:paraId="08BC4BC9">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E1</w:t>
            </w:r>
            <w:r>
              <w:rPr>
                <w:rFonts w:hint="eastAsia" w:cs="Times New Roman"/>
                <w:spacing w:val="0"/>
                <w:w w:val="100"/>
                <w:kern w:val="21"/>
                <w:position w:val="0"/>
                <w:sz w:val="21"/>
                <w:szCs w:val="21"/>
                <w:u w:val="none" w:color="auto"/>
                <w:lang w:eastAsia="zh-CN"/>
              </w:rPr>
              <w:t>□</w:t>
            </w:r>
          </w:p>
        </w:tc>
        <w:tc>
          <w:tcPr>
            <w:tcW w:w="1762" w:type="dxa"/>
            <w:gridSpan w:val="2"/>
            <w:tcBorders>
              <w:tl2br w:val="nil"/>
              <w:tr2bl w:val="nil"/>
            </w:tcBorders>
            <w:noWrap w:val="0"/>
            <w:vAlign w:val="center"/>
          </w:tcPr>
          <w:p w14:paraId="3A16E8F6">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eastAsia="Times New Roman" w:cs="Times New Roman"/>
                <w:spacing w:val="0"/>
                <w:w w:val="100"/>
                <w:kern w:val="21"/>
                <w:position w:val="0"/>
                <w:sz w:val="21"/>
                <w:szCs w:val="21"/>
                <w:u w:val="none" w:color="auto"/>
              </w:rPr>
              <w:t>E2</w:t>
            </w:r>
            <w:r>
              <w:rPr>
                <w:rFonts w:hint="eastAsia" w:cs="Times New Roman"/>
                <w:spacing w:val="0"/>
                <w:w w:val="100"/>
                <w:kern w:val="21"/>
                <w:position w:val="0"/>
                <w:sz w:val="21"/>
                <w:szCs w:val="21"/>
                <w:u w:val="none" w:color="auto"/>
                <w:lang w:eastAsia="zh-CN"/>
              </w:rPr>
              <w:t>□</w:t>
            </w:r>
          </w:p>
        </w:tc>
        <w:tc>
          <w:tcPr>
            <w:tcW w:w="1734" w:type="dxa"/>
            <w:gridSpan w:val="2"/>
            <w:tcBorders>
              <w:tl2br w:val="nil"/>
              <w:tr2bl w:val="nil"/>
            </w:tcBorders>
            <w:noWrap w:val="0"/>
            <w:vAlign w:val="center"/>
          </w:tcPr>
          <w:p w14:paraId="7C083D60">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E3</w:t>
            </w:r>
            <w:r>
              <w:rPr>
                <w:rFonts w:hint="eastAsia" w:cs="Times New Roman"/>
                <w:spacing w:val="0"/>
                <w:w w:val="100"/>
                <w:kern w:val="21"/>
                <w:position w:val="0"/>
                <w:sz w:val="21"/>
                <w:szCs w:val="21"/>
                <w:u w:val="none" w:color="auto"/>
                <w:lang w:eastAsia="zh-CN"/>
              </w:rPr>
              <w:t>☑</w:t>
            </w:r>
          </w:p>
        </w:tc>
      </w:tr>
      <w:tr w14:paraId="70E4F63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8" w:type="dxa"/>
            <w:gridSpan w:val="2"/>
            <w:tcBorders>
              <w:tl2br w:val="nil"/>
              <w:tr2bl w:val="nil"/>
            </w:tcBorders>
            <w:noWrap w:val="0"/>
            <w:vAlign w:val="center"/>
          </w:tcPr>
          <w:p w14:paraId="47B25C20">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环境风险潜势</w:t>
            </w:r>
          </w:p>
        </w:tc>
        <w:tc>
          <w:tcPr>
            <w:tcW w:w="1738" w:type="dxa"/>
            <w:gridSpan w:val="2"/>
            <w:tcBorders>
              <w:tl2br w:val="nil"/>
              <w:tr2bl w:val="nil"/>
            </w:tcBorders>
            <w:noWrap w:val="0"/>
            <w:vAlign w:val="center"/>
          </w:tcPr>
          <w:p w14:paraId="3EB57D5A">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Ⅳ</w:t>
            </w:r>
            <w:r>
              <w:rPr>
                <w:rFonts w:hint="default" w:ascii="Times New Roman" w:hAnsi="Times New Roman" w:eastAsia="Times New Roman" w:cs="Times New Roman"/>
                <w:spacing w:val="0"/>
                <w:w w:val="100"/>
                <w:kern w:val="21"/>
                <w:position w:val="0"/>
                <w:sz w:val="21"/>
                <w:szCs w:val="21"/>
                <w:u w:val="none" w:color="auto"/>
                <w:vertAlign w:val="superscript"/>
              </w:rPr>
              <w:t>+</w:t>
            </w:r>
            <w:r>
              <w:rPr>
                <w:rFonts w:hint="eastAsia" w:eastAsia="宋体" w:cs="Times New Roman"/>
                <w:spacing w:val="0"/>
                <w:w w:val="100"/>
                <w:kern w:val="21"/>
                <w:position w:val="0"/>
                <w:sz w:val="21"/>
                <w:szCs w:val="21"/>
                <w:u w:val="none" w:color="auto"/>
                <w:lang w:eastAsia="zh-CN"/>
              </w:rPr>
              <w:t>□</w:t>
            </w:r>
          </w:p>
        </w:tc>
        <w:tc>
          <w:tcPr>
            <w:tcW w:w="1686" w:type="dxa"/>
            <w:gridSpan w:val="4"/>
            <w:tcBorders>
              <w:tl2br w:val="nil"/>
              <w:tr2bl w:val="nil"/>
            </w:tcBorders>
            <w:noWrap w:val="0"/>
            <w:vAlign w:val="center"/>
          </w:tcPr>
          <w:p w14:paraId="4DE46AF7">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Ⅳ</w:t>
            </w:r>
            <w:r>
              <w:rPr>
                <w:rFonts w:hint="eastAsia" w:eastAsia="宋体" w:cs="Times New Roman"/>
                <w:spacing w:val="0"/>
                <w:w w:val="100"/>
                <w:kern w:val="21"/>
                <w:position w:val="0"/>
                <w:sz w:val="21"/>
                <w:szCs w:val="21"/>
                <w:u w:val="none" w:color="auto"/>
                <w:lang w:eastAsia="zh-CN"/>
              </w:rPr>
              <w:t>□</w:t>
            </w:r>
          </w:p>
        </w:tc>
        <w:tc>
          <w:tcPr>
            <w:tcW w:w="775" w:type="dxa"/>
            <w:gridSpan w:val="2"/>
            <w:tcBorders>
              <w:tl2br w:val="nil"/>
              <w:tr2bl w:val="nil"/>
            </w:tcBorders>
            <w:noWrap w:val="0"/>
            <w:vAlign w:val="center"/>
          </w:tcPr>
          <w:p w14:paraId="5D000BF4">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Ⅲ</w:t>
            </w:r>
            <w:r>
              <w:rPr>
                <w:rFonts w:hint="eastAsia" w:cs="Times New Roman"/>
                <w:spacing w:val="0"/>
                <w:w w:val="100"/>
                <w:kern w:val="21"/>
                <w:position w:val="0"/>
                <w:sz w:val="21"/>
                <w:szCs w:val="21"/>
                <w:u w:val="none" w:color="auto"/>
                <w:lang w:eastAsia="zh-CN"/>
              </w:rPr>
              <w:t>☑</w:t>
            </w:r>
          </w:p>
        </w:tc>
        <w:tc>
          <w:tcPr>
            <w:tcW w:w="1762" w:type="dxa"/>
            <w:gridSpan w:val="2"/>
            <w:tcBorders>
              <w:tl2br w:val="nil"/>
              <w:tr2bl w:val="nil"/>
            </w:tcBorders>
            <w:noWrap w:val="0"/>
            <w:vAlign w:val="center"/>
          </w:tcPr>
          <w:p w14:paraId="3C0F25FA">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Ⅱ</w:t>
            </w:r>
            <w:r>
              <w:rPr>
                <w:rFonts w:hint="eastAsia" w:eastAsia="宋体" w:cs="Times New Roman"/>
                <w:spacing w:val="0"/>
                <w:w w:val="100"/>
                <w:kern w:val="21"/>
                <w:position w:val="0"/>
                <w:sz w:val="21"/>
                <w:szCs w:val="21"/>
                <w:u w:val="none" w:color="auto"/>
                <w:lang w:eastAsia="zh-CN"/>
              </w:rPr>
              <w:t>□</w:t>
            </w:r>
          </w:p>
        </w:tc>
        <w:tc>
          <w:tcPr>
            <w:tcW w:w="1734" w:type="dxa"/>
            <w:gridSpan w:val="2"/>
            <w:tcBorders>
              <w:tl2br w:val="nil"/>
              <w:tr2bl w:val="nil"/>
            </w:tcBorders>
            <w:noWrap w:val="0"/>
            <w:vAlign w:val="center"/>
          </w:tcPr>
          <w:p w14:paraId="4FE9C230">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I</w:t>
            </w:r>
            <w:r>
              <w:rPr>
                <w:rFonts w:hint="eastAsia" w:eastAsia="宋体" w:cs="Times New Roman"/>
                <w:spacing w:val="0"/>
                <w:w w:val="100"/>
                <w:kern w:val="21"/>
                <w:position w:val="0"/>
                <w:sz w:val="21"/>
                <w:szCs w:val="21"/>
                <w:u w:val="none" w:color="auto"/>
                <w:lang w:eastAsia="zh-CN"/>
              </w:rPr>
              <w:t>□</w:t>
            </w:r>
          </w:p>
        </w:tc>
      </w:tr>
      <w:tr w14:paraId="50B089B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8" w:type="dxa"/>
            <w:gridSpan w:val="2"/>
            <w:tcBorders>
              <w:tl2br w:val="nil"/>
              <w:tr2bl w:val="nil"/>
            </w:tcBorders>
            <w:noWrap w:val="0"/>
            <w:vAlign w:val="center"/>
          </w:tcPr>
          <w:p w14:paraId="1C475B20">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评价等级</w:t>
            </w:r>
          </w:p>
        </w:tc>
        <w:tc>
          <w:tcPr>
            <w:tcW w:w="2877" w:type="dxa"/>
            <w:gridSpan w:val="4"/>
            <w:tcBorders>
              <w:tl2br w:val="nil"/>
              <w:tr2bl w:val="nil"/>
            </w:tcBorders>
            <w:noWrap w:val="0"/>
            <w:vAlign w:val="center"/>
          </w:tcPr>
          <w:p w14:paraId="7E73295A">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 xml:space="preserve">一级 </w:t>
            </w:r>
            <w:r>
              <w:rPr>
                <w:rFonts w:hint="eastAsia" w:eastAsia="宋体" w:cs="Times New Roman"/>
                <w:spacing w:val="0"/>
                <w:w w:val="100"/>
                <w:kern w:val="21"/>
                <w:position w:val="0"/>
                <w:sz w:val="21"/>
                <w:szCs w:val="21"/>
                <w:u w:val="none" w:color="auto"/>
                <w:lang w:eastAsia="zh-CN"/>
              </w:rPr>
              <w:t>□</w:t>
            </w:r>
          </w:p>
        </w:tc>
        <w:tc>
          <w:tcPr>
            <w:tcW w:w="1322" w:type="dxa"/>
            <w:gridSpan w:val="4"/>
            <w:tcBorders>
              <w:tl2br w:val="nil"/>
              <w:tr2bl w:val="nil"/>
            </w:tcBorders>
            <w:noWrap w:val="0"/>
            <w:vAlign w:val="center"/>
          </w:tcPr>
          <w:p w14:paraId="2FD05504">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二级</w:t>
            </w:r>
            <w:r>
              <w:rPr>
                <w:rFonts w:hint="eastAsia" w:eastAsia="宋体" w:cs="Times New Roman"/>
                <w:spacing w:val="0"/>
                <w:w w:val="100"/>
                <w:kern w:val="21"/>
                <w:position w:val="0"/>
                <w:sz w:val="21"/>
                <w:szCs w:val="21"/>
                <w:u w:val="none" w:color="auto"/>
                <w:lang w:eastAsia="zh-CN"/>
              </w:rPr>
              <w:t>☑</w:t>
            </w:r>
          </w:p>
        </w:tc>
        <w:tc>
          <w:tcPr>
            <w:tcW w:w="2108" w:type="dxa"/>
            <w:gridSpan w:val="3"/>
            <w:tcBorders>
              <w:tl2br w:val="nil"/>
              <w:tr2bl w:val="nil"/>
            </w:tcBorders>
            <w:noWrap w:val="0"/>
            <w:vAlign w:val="center"/>
          </w:tcPr>
          <w:p w14:paraId="132DEBB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cs="Times New Roman"/>
                <w:spacing w:val="0"/>
                <w:w w:val="100"/>
                <w:kern w:val="21"/>
                <w:position w:val="0"/>
                <w:sz w:val="21"/>
                <w:szCs w:val="21"/>
                <w:u w:val="none" w:color="auto"/>
              </w:rPr>
              <w:t xml:space="preserve">三级 </w:t>
            </w:r>
            <w:r>
              <w:rPr>
                <w:rFonts w:hint="eastAsia" w:ascii="Times New Roman" w:hAnsi="Times New Roman" w:cs="Times New Roman"/>
                <w:spacing w:val="0"/>
                <w:w w:val="100"/>
                <w:kern w:val="21"/>
                <w:position w:val="0"/>
                <w:sz w:val="21"/>
                <w:szCs w:val="21"/>
                <w:u w:val="none" w:color="auto"/>
                <w:lang w:eastAsia="zh-CN"/>
              </w:rPr>
              <w:t>□</w:t>
            </w:r>
          </w:p>
        </w:tc>
        <w:tc>
          <w:tcPr>
            <w:tcW w:w="1388" w:type="dxa"/>
            <w:tcBorders>
              <w:tl2br w:val="nil"/>
              <w:tr2bl w:val="nil"/>
            </w:tcBorders>
            <w:noWrap w:val="0"/>
            <w:vAlign w:val="center"/>
          </w:tcPr>
          <w:p w14:paraId="2D89A835">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 xml:space="preserve">简单分析 </w:t>
            </w:r>
            <w:r>
              <w:rPr>
                <w:rFonts w:hint="eastAsia" w:eastAsia="宋体" w:cs="Times New Roman"/>
                <w:spacing w:val="0"/>
                <w:w w:val="100"/>
                <w:kern w:val="21"/>
                <w:position w:val="0"/>
                <w:sz w:val="21"/>
                <w:szCs w:val="21"/>
                <w:u w:val="none" w:color="auto"/>
                <w:lang w:eastAsia="zh-CN"/>
              </w:rPr>
              <w:t>□</w:t>
            </w:r>
          </w:p>
        </w:tc>
      </w:tr>
      <w:tr w14:paraId="75F16DD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restart"/>
            <w:tcBorders>
              <w:tl2br w:val="nil"/>
              <w:tr2bl w:val="nil"/>
            </w:tcBorders>
            <w:noWrap w:val="0"/>
            <w:vAlign w:val="center"/>
          </w:tcPr>
          <w:p w14:paraId="7A6777A8">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风险识别</w:t>
            </w:r>
          </w:p>
        </w:tc>
        <w:tc>
          <w:tcPr>
            <w:tcW w:w="1039" w:type="dxa"/>
            <w:tcBorders>
              <w:tl2br w:val="nil"/>
              <w:tr2bl w:val="nil"/>
            </w:tcBorders>
            <w:noWrap w:val="0"/>
            <w:vAlign w:val="center"/>
          </w:tcPr>
          <w:p w14:paraId="4F8B3A35">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物质危险性</w:t>
            </w:r>
          </w:p>
        </w:tc>
        <w:tc>
          <w:tcPr>
            <w:tcW w:w="4199" w:type="dxa"/>
            <w:gridSpan w:val="8"/>
            <w:tcBorders>
              <w:tl2br w:val="nil"/>
              <w:tr2bl w:val="nil"/>
            </w:tcBorders>
            <w:noWrap w:val="0"/>
            <w:vAlign w:val="center"/>
          </w:tcPr>
          <w:p w14:paraId="1A0DB07E">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有毒有害</w:t>
            </w:r>
            <w:r>
              <w:rPr>
                <w:rFonts w:hint="eastAsia" w:eastAsia="宋体" w:cs="Times New Roman"/>
                <w:spacing w:val="0"/>
                <w:w w:val="100"/>
                <w:kern w:val="21"/>
                <w:position w:val="0"/>
                <w:sz w:val="21"/>
                <w:szCs w:val="21"/>
                <w:u w:val="none" w:color="auto"/>
                <w:lang w:eastAsia="zh-CN"/>
              </w:rPr>
              <w:t>☑</w:t>
            </w:r>
          </w:p>
        </w:tc>
        <w:tc>
          <w:tcPr>
            <w:tcW w:w="3496" w:type="dxa"/>
            <w:gridSpan w:val="4"/>
            <w:tcBorders>
              <w:tl2br w:val="nil"/>
              <w:tr2bl w:val="nil"/>
            </w:tcBorders>
            <w:noWrap w:val="0"/>
            <w:vAlign w:val="center"/>
          </w:tcPr>
          <w:p w14:paraId="733C4F46">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易燃易爆</w:t>
            </w:r>
            <w:r>
              <w:rPr>
                <w:rFonts w:hint="eastAsia" w:cs="Times New Roman"/>
                <w:spacing w:val="0"/>
                <w:w w:val="100"/>
                <w:kern w:val="21"/>
                <w:position w:val="0"/>
                <w:sz w:val="21"/>
                <w:szCs w:val="21"/>
                <w:u w:val="none" w:color="auto"/>
                <w:lang w:eastAsia="zh-CN"/>
              </w:rPr>
              <w:t>□</w:t>
            </w:r>
          </w:p>
        </w:tc>
      </w:tr>
      <w:tr w14:paraId="71499F1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5B26A92A">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tcBorders>
              <w:tl2br w:val="nil"/>
              <w:tr2bl w:val="nil"/>
            </w:tcBorders>
            <w:noWrap w:val="0"/>
            <w:vAlign w:val="center"/>
          </w:tcPr>
          <w:p w14:paraId="5E1FDF12">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环境风险类型</w:t>
            </w:r>
          </w:p>
        </w:tc>
        <w:tc>
          <w:tcPr>
            <w:tcW w:w="4199" w:type="dxa"/>
            <w:gridSpan w:val="8"/>
            <w:tcBorders>
              <w:tl2br w:val="nil"/>
              <w:tr2bl w:val="nil"/>
            </w:tcBorders>
            <w:noWrap w:val="0"/>
            <w:vAlign w:val="center"/>
          </w:tcPr>
          <w:p w14:paraId="4E7736F8">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泄漏</w:t>
            </w:r>
            <w:r>
              <w:rPr>
                <w:rFonts w:hint="eastAsia" w:eastAsia="宋体" w:cs="Times New Roman"/>
                <w:spacing w:val="0"/>
                <w:w w:val="100"/>
                <w:kern w:val="21"/>
                <w:position w:val="0"/>
                <w:sz w:val="21"/>
                <w:szCs w:val="21"/>
                <w:u w:val="none" w:color="auto"/>
                <w:lang w:eastAsia="zh-CN"/>
              </w:rPr>
              <w:t>☑</w:t>
            </w:r>
          </w:p>
        </w:tc>
        <w:tc>
          <w:tcPr>
            <w:tcW w:w="3496" w:type="dxa"/>
            <w:gridSpan w:val="4"/>
            <w:tcBorders>
              <w:tl2br w:val="nil"/>
              <w:tr2bl w:val="nil"/>
            </w:tcBorders>
            <w:noWrap w:val="0"/>
            <w:vAlign w:val="center"/>
          </w:tcPr>
          <w:p w14:paraId="416D92C3">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火灾、爆炸引发伴生</w:t>
            </w:r>
            <w:r>
              <w:rPr>
                <w:rFonts w:hint="default" w:ascii="Times New Roman" w:hAnsi="Times New Roman" w:eastAsia="Times New Roman" w:cs="Times New Roman"/>
                <w:spacing w:val="0"/>
                <w:w w:val="100"/>
                <w:kern w:val="21"/>
                <w:position w:val="0"/>
                <w:sz w:val="21"/>
                <w:szCs w:val="21"/>
                <w:u w:val="none" w:color="auto"/>
              </w:rPr>
              <w:t>/</w:t>
            </w:r>
            <w:r>
              <w:rPr>
                <w:rFonts w:hint="default" w:ascii="Times New Roman" w:hAnsi="Times New Roman" w:cs="Times New Roman"/>
                <w:spacing w:val="0"/>
                <w:w w:val="100"/>
                <w:kern w:val="21"/>
                <w:position w:val="0"/>
                <w:sz w:val="21"/>
                <w:szCs w:val="21"/>
                <w:u w:val="none" w:color="auto"/>
              </w:rPr>
              <w:t>次生污染物排放</w:t>
            </w:r>
            <w:r>
              <w:rPr>
                <w:rFonts w:hint="eastAsia" w:eastAsia="宋体" w:cs="Times New Roman"/>
                <w:spacing w:val="0"/>
                <w:w w:val="100"/>
                <w:kern w:val="21"/>
                <w:position w:val="0"/>
                <w:sz w:val="21"/>
                <w:szCs w:val="21"/>
                <w:u w:val="none" w:color="auto"/>
                <w:lang w:eastAsia="zh-CN"/>
              </w:rPr>
              <w:t>☑</w:t>
            </w:r>
          </w:p>
        </w:tc>
      </w:tr>
      <w:tr w14:paraId="4D8E42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1554C07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tcBorders>
              <w:tl2br w:val="nil"/>
              <w:tr2bl w:val="nil"/>
            </w:tcBorders>
            <w:noWrap w:val="0"/>
            <w:vAlign w:val="center"/>
          </w:tcPr>
          <w:p w14:paraId="23507A4F">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影响途径</w:t>
            </w:r>
          </w:p>
        </w:tc>
        <w:tc>
          <w:tcPr>
            <w:tcW w:w="1738" w:type="dxa"/>
            <w:gridSpan w:val="2"/>
            <w:tcBorders>
              <w:tl2br w:val="nil"/>
              <w:tr2bl w:val="nil"/>
            </w:tcBorders>
            <w:noWrap w:val="0"/>
            <w:vAlign w:val="center"/>
          </w:tcPr>
          <w:p w14:paraId="671FD4BA">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大气</w:t>
            </w:r>
            <w:r>
              <w:rPr>
                <w:rFonts w:hint="eastAsia" w:ascii="Times New Roman" w:hAnsi="Times New Roman" w:cs="Times New Roman"/>
                <w:spacing w:val="0"/>
                <w:w w:val="100"/>
                <w:kern w:val="21"/>
                <w:position w:val="0"/>
                <w:sz w:val="21"/>
                <w:szCs w:val="21"/>
                <w:u w:val="none" w:color="auto"/>
                <w:lang w:val="en-US" w:eastAsia="zh-CN"/>
              </w:rPr>
              <w:t xml:space="preserve"> </w:t>
            </w:r>
            <w:r>
              <w:rPr>
                <w:rFonts w:hint="eastAsia" w:eastAsia="宋体" w:cs="Times New Roman"/>
                <w:spacing w:val="0"/>
                <w:w w:val="100"/>
                <w:kern w:val="21"/>
                <w:position w:val="0"/>
                <w:sz w:val="21"/>
                <w:szCs w:val="21"/>
                <w:u w:val="none" w:color="auto"/>
                <w:lang w:eastAsia="zh-CN"/>
              </w:rPr>
              <w:t>☑</w:t>
            </w:r>
          </w:p>
        </w:tc>
        <w:tc>
          <w:tcPr>
            <w:tcW w:w="4223" w:type="dxa"/>
            <w:gridSpan w:val="8"/>
            <w:tcBorders>
              <w:tl2br w:val="nil"/>
              <w:tr2bl w:val="nil"/>
            </w:tcBorders>
            <w:noWrap w:val="0"/>
            <w:vAlign w:val="center"/>
          </w:tcPr>
          <w:p w14:paraId="5AECD2F4">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地表水</w:t>
            </w:r>
            <w:r>
              <w:rPr>
                <w:rFonts w:hint="eastAsia" w:ascii="Times New Roman" w:hAnsi="Times New Roman" w:cs="Times New Roman"/>
                <w:spacing w:val="0"/>
                <w:w w:val="100"/>
                <w:kern w:val="21"/>
                <w:position w:val="0"/>
                <w:sz w:val="21"/>
                <w:szCs w:val="21"/>
                <w:u w:val="none" w:color="auto"/>
                <w:lang w:val="en-US" w:eastAsia="zh-CN"/>
              </w:rPr>
              <w:t xml:space="preserve"> </w:t>
            </w:r>
            <w:r>
              <w:rPr>
                <w:rFonts w:hint="eastAsia" w:cs="Times New Roman"/>
                <w:spacing w:val="0"/>
                <w:w w:val="100"/>
                <w:kern w:val="21"/>
                <w:position w:val="0"/>
                <w:sz w:val="21"/>
                <w:szCs w:val="21"/>
                <w:u w:val="none" w:color="auto"/>
                <w:lang w:eastAsia="zh-CN"/>
              </w:rPr>
              <w:t>☑</w:t>
            </w:r>
          </w:p>
        </w:tc>
        <w:tc>
          <w:tcPr>
            <w:tcW w:w="1734" w:type="dxa"/>
            <w:gridSpan w:val="2"/>
            <w:tcBorders>
              <w:tl2br w:val="nil"/>
              <w:tr2bl w:val="nil"/>
            </w:tcBorders>
            <w:noWrap w:val="0"/>
            <w:vAlign w:val="center"/>
          </w:tcPr>
          <w:p w14:paraId="193F2AE7">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地下水</w:t>
            </w:r>
            <w:r>
              <w:rPr>
                <w:rFonts w:hint="eastAsia" w:ascii="Times New Roman" w:hAnsi="Times New Roman" w:cs="Times New Roman"/>
                <w:spacing w:val="0"/>
                <w:w w:val="100"/>
                <w:kern w:val="21"/>
                <w:position w:val="0"/>
                <w:sz w:val="21"/>
                <w:szCs w:val="21"/>
                <w:u w:val="none" w:color="auto"/>
                <w:lang w:val="en-US" w:eastAsia="zh-CN"/>
              </w:rPr>
              <w:t xml:space="preserve"> </w:t>
            </w:r>
            <w:r>
              <w:rPr>
                <w:rFonts w:hint="eastAsia" w:eastAsia="宋体" w:cs="Times New Roman"/>
                <w:spacing w:val="0"/>
                <w:w w:val="100"/>
                <w:kern w:val="21"/>
                <w:position w:val="0"/>
                <w:sz w:val="21"/>
                <w:szCs w:val="21"/>
                <w:u w:val="none" w:color="auto"/>
                <w:lang w:eastAsia="zh-CN"/>
              </w:rPr>
              <w:t>□</w:t>
            </w:r>
          </w:p>
        </w:tc>
      </w:tr>
      <w:tr w14:paraId="7D3143B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8" w:type="dxa"/>
            <w:gridSpan w:val="2"/>
            <w:tcBorders>
              <w:tl2br w:val="nil"/>
              <w:tr2bl w:val="nil"/>
            </w:tcBorders>
            <w:noWrap w:val="0"/>
            <w:vAlign w:val="center"/>
          </w:tcPr>
          <w:p w14:paraId="1BCB9ADC">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事故情形分析</w:t>
            </w:r>
          </w:p>
        </w:tc>
        <w:tc>
          <w:tcPr>
            <w:tcW w:w="2877" w:type="dxa"/>
            <w:gridSpan w:val="4"/>
            <w:tcBorders>
              <w:tl2br w:val="nil"/>
              <w:tr2bl w:val="nil"/>
            </w:tcBorders>
            <w:noWrap w:val="0"/>
            <w:vAlign w:val="center"/>
          </w:tcPr>
          <w:p w14:paraId="0A73015F">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源强设定方法</w:t>
            </w:r>
          </w:p>
        </w:tc>
        <w:tc>
          <w:tcPr>
            <w:tcW w:w="1322" w:type="dxa"/>
            <w:gridSpan w:val="4"/>
            <w:tcBorders>
              <w:tl2br w:val="nil"/>
              <w:tr2bl w:val="nil"/>
            </w:tcBorders>
            <w:noWrap w:val="0"/>
            <w:vAlign w:val="center"/>
          </w:tcPr>
          <w:p w14:paraId="2CCAA2E1">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计算法</w:t>
            </w:r>
            <w:r>
              <w:rPr>
                <w:rFonts w:hint="eastAsia" w:ascii="Times New Roman" w:hAnsi="Times New Roman" w:cs="Times New Roman"/>
                <w:spacing w:val="0"/>
                <w:w w:val="100"/>
                <w:kern w:val="21"/>
                <w:position w:val="0"/>
                <w:sz w:val="21"/>
                <w:szCs w:val="21"/>
                <w:u w:val="none" w:color="auto"/>
                <w:lang w:val="en-US" w:eastAsia="zh-CN"/>
              </w:rPr>
              <w:t xml:space="preserve"> </w:t>
            </w:r>
            <w:r>
              <w:rPr>
                <w:rFonts w:hint="eastAsia" w:eastAsia="宋体" w:cs="Times New Roman"/>
                <w:spacing w:val="0"/>
                <w:w w:val="100"/>
                <w:kern w:val="21"/>
                <w:position w:val="0"/>
                <w:sz w:val="21"/>
                <w:szCs w:val="21"/>
                <w:u w:val="none" w:color="auto"/>
                <w:lang w:eastAsia="zh-CN"/>
              </w:rPr>
              <w:t>□</w:t>
            </w:r>
          </w:p>
        </w:tc>
        <w:tc>
          <w:tcPr>
            <w:tcW w:w="2108" w:type="dxa"/>
            <w:gridSpan w:val="3"/>
            <w:tcBorders>
              <w:tl2br w:val="nil"/>
              <w:tr2bl w:val="nil"/>
            </w:tcBorders>
            <w:noWrap w:val="0"/>
            <w:vAlign w:val="center"/>
          </w:tcPr>
          <w:p w14:paraId="7166004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经验估算法</w:t>
            </w:r>
            <w:r>
              <w:rPr>
                <w:rFonts w:hint="eastAsia" w:ascii="Times New Roman" w:hAnsi="Times New Roman" w:cs="Times New Roman"/>
                <w:spacing w:val="0"/>
                <w:w w:val="100"/>
                <w:kern w:val="21"/>
                <w:position w:val="0"/>
                <w:sz w:val="21"/>
                <w:szCs w:val="21"/>
                <w:u w:val="none" w:color="auto"/>
                <w:lang w:val="en-US" w:eastAsia="zh-CN"/>
              </w:rPr>
              <w:t xml:space="preserve"> </w:t>
            </w:r>
            <w:r>
              <w:rPr>
                <w:rFonts w:hint="eastAsia" w:eastAsia="宋体" w:cs="Times New Roman"/>
                <w:spacing w:val="0"/>
                <w:w w:val="100"/>
                <w:kern w:val="21"/>
                <w:position w:val="0"/>
                <w:sz w:val="21"/>
                <w:szCs w:val="21"/>
                <w:u w:val="none" w:color="auto"/>
                <w:lang w:eastAsia="zh-CN"/>
              </w:rPr>
              <w:t>□</w:t>
            </w:r>
          </w:p>
        </w:tc>
        <w:tc>
          <w:tcPr>
            <w:tcW w:w="1388" w:type="dxa"/>
            <w:tcBorders>
              <w:tl2br w:val="nil"/>
              <w:tr2bl w:val="nil"/>
            </w:tcBorders>
            <w:noWrap w:val="0"/>
            <w:vAlign w:val="center"/>
          </w:tcPr>
          <w:p w14:paraId="62A5839E">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 xml:space="preserve">其他估算法 </w:t>
            </w:r>
            <w:r>
              <w:rPr>
                <w:rFonts w:hint="eastAsia" w:eastAsia="宋体" w:cs="Times New Roman"/>
                <w:spacing w:val="0"/>
                <w:w w:val="100"/>
                <w:kern w:val="21"/>
                <w:position w:val="0"/>
                <w:sz w:val="21"/>
                <w:szCs w:val="21"/>
                <w:u w:val="none" w:color="auto"/>
                <w:lang w:eastAsia="zh-CN"/>
              </w:rPr>
              <w:t>□</w:t>
            </w:r>
          </w:p>
        </w:tc>
      </w:tr>
      <w:tr w14:paraId="6C4CDF6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restart"/>
            <w:tcBorders>
              <w:tl2br w:val="nil"/>
              <w:tr2bl w:val="nil"/>
            </w:tcBorders>
            <w:noWrap w:val="0"/>
            <w:vAlign w:val="center"/>
          </w:tcPr>
          <w:p w14:paraId="4FE84F80">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风险预测与评价</w:t>
            </w:r>
          </w:p>
        </w:tc>
        <w:tc>
          <w:tcPr>
            <w:tcW w:w="1039" w:type="dxa"/>
            <w:vMerge w:val="restart"/>
            <w:tcBorders>
              <w:tl2br w:val="nil"/>
              <w:tr2bl w:val="nil"/>
            </w:tcBorders>
            <w:noWrap w:val="0"/>
            <w:vAlign w:val="center"/>
          </w:tcPr>
          <w:p w14:paraId="15884870">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大气（最不利气象条件下）</w:t>
            </w:r>
          </w:p>
        </w:tc>
        <w:tc>
          <w:tcPr>
            <w:tcW w:w="2877" w:type="dxa"/>
            <w:gridSpan w:val="4"/>
            <w:tcBorders>
              <w:tl2br w:val="nil"/>
              <w:tr2bl w:val="nil"/>
            </w:tcBorders>
            <w:noWrap w:val="0"/>
            <w:vAlign w:val="center"/>
          </w:tcPr>
          <w:p w14:paraId="63A99EFB">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预测模型</w:t>
            </w:r>
          </w:p>
        </w:tc>
        <w:tc>
          <w:tcPr>
            <w:tcW w:w="1322" w:type="dxa"/>
            <w:gridSpan w:val="4"/>
            <w:tcBorders>
              <w:tl2br w:val="nil"/>
              <w:tr2bl w:val="nil"/>
            </w:tcBorders>
            <w:noWrap w:val="0"/>
            <w:vAlign w:val="center"/>
          </w:tcPr>
          <w:p w14:paraId="268375E6">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SLAB</w:t>
            </w:r>
            <w:r>
              <w:rPr>
                <w:rFonts w:hint="eastAsia" w:ascii="Times New Roman" w:hAnsi="Times New Roman" w:eastAsia="宋体" w:cs="Times New Roman"/>
                <w:spacing w:val="0"/>
                <w:w w:val="100"/>
                <w:kern w:val="21"/>
                <w:position w:val="0"/>
                <w:sz w:val="21"/>
                <w:szCs w:val="21"/>
                <w:u w:val="none" w:color="auto"/>
                <w:lang w:val="en-US" w:eastAsia="zh-CN"/>
              </w:rPr>
              <w:t xml:space="preserve"> </w:t>
            </w:r>
            <w:r>
              <w:rPr>
                <w:rFonts w:hint="eastAsia" w:eastAsia="宋体" w:cs="Times New Roman"/>
                <w:spacing w:val="0"/>
                <w:w w:val="100"/>
                <w:kern w:val="21"/>
                <w:position w:val="0"/>
                <w:sz w:val="21"/>
                <w:szCs w:val="21"/>
                <w:u w:val="none" w:color="auto"/>
                <w:lang w:eastAsia="zh-CN"/>
              </w:rPr>
              <w:t>□</w:t>
            </w:r>
          </w:p>
        </w:tc>
        <w:tc>
          <w:tcPr>
            <w:tcW w:w="2108" w:type="dxa"/>
            <w:gridSpan w:val="3"/>
            <w:tcBorders>
              <w:tl2br w:val="nil"/>
              <w:tr2bl w:val="nil"/>
            </w:tcBorders>
            <w:noWrap w:val="0"/>
            <w:vAlign w:val="center"/>
          </w:tcPr>
          <w:p w14:paraId="29F3C195">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微软雅黑"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AFTOX</w:t>
            </w:r>
            <w:r>
              <w:rPr>
                <w:rFonts w:hint="eastAsia" w:cs="Times New Roman"/>
                <w:spacing w:val="0"/>
                <w:w w:val="100"/>
                <w:kern w:val="21"/>
                <w:position w:val="0"/>
                <w:sz w:val="21"/>
                <w:szCs w:val="21"/>
                <w:u w:val="none" w:color="auto"/>
                <w:lang w:eastAsia="zh-CN"/>
              </w:rPr>
              <w:t>☑</w:t>
            </w:r>
          </w:p>
        </w:tc>
        <w:tc>
          <w:tcPr>
            <w:tcW w:w="1388" w:type="dxa"/>
            <w:tcBorders>
              <w:tl2br w:val="nil"/>
              <w:tr2bl w:val="nil"/>
            </w:tcBorders>
            <w:noWrap w:val="0"/>
            <w:vAlign w:val="center"/>
          </w:tcPr>
          <w:p w14:paraId="718D052D">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pacing w:val="0"/>
                <w:w w:val="100"/>
                <w:kern w:val="21"/>
                <w:position w:val="0"/>
                <w:sz w:val="21"/>
                <w:szCs w:val="21"/>
                <w:u w:val="none" w:color="auto"/>
                <w:lang w:eastAsia="zh-CN"/>
              </w:rPr>
            </w:pPr>
            <w:r>
              <w:rPr>
                <w:rFonts w:hint="default" w:ascii="Times New Roman" w:hAnsi="Times New Roman" w:cs="Times New Roman"/>
                <w:spacing w:val="0"/>
                <w:w w:val="100"/>
                <w:kern w:val="21"/>
                <w:position w:val="0"/>
                <w:sz w:val="21"/>
                <w:szCs w:val="21"/>
                <w:u w:val="none" w:color="auto"/>
              </w:rPr>
              <w:t xml:space="preserve">其他 </w:t>
            </w:r>
            <w:r>
              <w:rPr>
                <w:rFonts w:hint="eastAsia" w:ascii="Times New Roman" w:hAnsi="Times New Roman" w:eastAsia="宋体" w:cs="Times New Roman"/>
                <w:spacing w:val="0"/>
                <w:w w:val="100"/>
                <w:kern w:val="21"/>
                <w:position w:val="0"/>
                <w:sz w:val="21"/>
                <w:szCs w:val="21"/>
                <w:u w:val="none" w:color="auto"/>
                <w:lang w:eastAsia="zh-CN"/>
              </w:rPr>
              <w:t>□</w:t>
            </w:r>
          </w:p>
        </w:tc>
      </w:tr>
      <w:tr w14:paraId="1A68E68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509" w:type="dxa"/>
            <w:vMerge w:val="continue"/>
            <w:tcBorders>
              <w:tl2br w:val="nil"/>
              <w:tr2bl w:val="nil"/>
            </w:tcBorders>
            <w:noWrap w:val="0"/>
            <w:vAlign w:val="center"/>
          </w:tcPr>
          <w:p w14:paraId="47042877">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vMerge w:val="continue"/>
            <w:tcBorders>
              <w:tl2br w:val="nil"/>
              <w:tr2bl w:val="nil"/>
            </w:tcBorders>
            <w:noWrap w:val="0"/>
            <w:vAlign w:val="center"/>
          </w:tcPr>
          <w:p w14:paraId="3D1509AE">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2877" w:type="dxa"/>
            <w:gridSpan w:val="4"/>
            <w:tcBorders>
              <w:tl2br w:val="nil"/>
              <w:tr2bl w:val="nil"/>
            </w:tcBorders>
            <w:noWrap w:val="0"/>
            <w:vAlign w:val="center"/>
          </w:tcPr>
          <w:p w14:paraId="01467406">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spacing w:val="0"/>
                <w:w w:val="100"/>
                <w:kern w:val="21"/>
                <w:position w:val="0"/>
                <w:sz w:val="21"/>
                <w:szCs w:val="21"/>
                <w:u w:val="none" w:color="auto"/>
                <w:lang w:val="en-US" w:eastAsia="zh-CN"/>
              </w:rPr>
            </w:pPr>
            <w:r>
              <w:rPr>
                <w:rFonts w:hint="eastAsia" w:ascii="Times New Roman" w:hAnsi="Times New Roman" w:cs="Times New Roman"/>
                <w:spacing w:val="0"/>
                <w:w w:val="100"/>
                <w:kern w:val="21"/>
                <w:position w:val="0"/>
                <w:sz w:val="21"/>
                <w:szCs w:val="21"/>
                <w:u w:val="none" w:color="auto"/>
                <w:lang w:val="en-US" w:eastAsia="zh-CN"/>
              </w:rPr>
              <w:t>预测结果（电解液泄漏）</w:t>
            </w:r>
          </w:p>
        </w:tc>
        <w:tc>
          <w:tcPr>
            <w:tcW w:w="4818" w:type="dxa"/>
            <w:gridSpan w:val="8"/>
            <w:tcBorders>
              <w:tl2br w:val="nil"/>
              <w:tr2bl w:val="nil"/>
            </w:tcBorders>
            <w:noWrap w:val="0"/>
            <w:vAlign w:val="center"/>
          </w:tcPr>
          <w:p w14:paraId="2ED8FA4E">
            <w:pPr>
              <w:pStyle w:val="115"/>
              <w:keepNext w:val="0"/>
              <w:keepLines w:val="0"/>
              <w:pageBreakBefore w:val="0"/>
              <w:widowControl/>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spacing w:val="0"/>
                <w:w w:val="100"/>
                <w:kern w:val="21"/>
                <w:position w:val="0"/>
                <w:sz w:val="21"/>
                <w:szCs w:val="21"/>
                <w:u w:val="none" w:color="auto"/>
                <w:lang w:val="en-US" w:eastAsia="zh-CN" w:bidi="ar-SA"/>
              </w:rPr>
            </w:pPr>
            <w:r>
              <w:rPr>
                <w:rFonts w:hint="eastAsia" w:ascii="Times New Roman" w:hAnsi="Times New Roman" w:eastAsia="宋体" w:cs="Times New Roman"/>
                <w:color w:val="000000"/>
                <w:spacing w:val="0"/>
                <w:w w:val="100"/>
                <w:kern w:val="21"/>
                <w:position w:val="0"/>
                <w:sz w:val="21"/>
                <w:szCs w:val="21"/>
                <w:u w:val="none" w:color="auto"/>
                <w:lang w:val="en-US" w:eastAsia="zh-CN" w:bidi="ar-SA"/>
              </w:rPr>
              <w:t>电解液泄漏最远影响距离为112m</w:t>
            </w:r>
          </w:p>
        </w:tc>
      </w:tr>
      <w:tr w14:paraId="07881CB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2B0A7FE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vMerge w:val="continue"/>
            <w:tcBorders>
              <w:tl2br w:val="nil"/>
              <w:tr2bl w:val="nil"/>
            </w:tcBorders>
            <w:noWrap w:val="0"/>
            <w:vAlign w:val="center"/>
          </w:tcPr>
          <w:p w14:paraId="319DDE70">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2877" w:type="dxa"/>
            <w:gridSpan w:val="4"/>
            <w:tcBorders>
              <w:tl2br w:val="nil"/>
              <w:tr2bl w:val="nil"/>
            </w:tcBorders>
            <w:noWrap w:val="0"/>
            <w:vAlign w:val="center"/>
          </w:tcPr>
          <w:p w14:paraId="5F51C01F">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预测结果（伴生</w:t>
            </w:r>
            <w:r>
              <w:rPr>
                <w:rFonts w:hint="default" w:ascii="Times New Roman" w:hAnsi="Times New Roman" w:eastAsia="Times New Roman" w:cs="Times New Roman"/>
                <w:spacing w:val="0"/>
                <w:w w:val="100"/>
                <w:kern w:val="21"/>
                <w:position w:val="0"/>
                <w:sz w:val="21"/>
                <w:szCs w:val="21"/>
                <w:u w:val="none" w:color="auto"/>
              </w:rPr>
              <w:t>CO</w:t>
            </w:r>
            <w:r>
              <w:rPr>
                <w:rFonts w:hint="default" w:ascii="Times New Roman" w:hAnsi="Times New Roman" w:cs="Times New Roman"/>
                <w:spacing w:val="0"/>
                <w:w w:val="100"/>
                <w:kern w:val="21"/>
                <w:position w:val="0"/>
                <w:sz w:val="21"/>
                <w:szCs w:val="21"/>
                <w:u w:val="none" w:color="auto"/>
              </w:rPr>
              <w:t>）</w:t>
            </w:r>
          </w:p>
        </w:tc>
        <w:tc>
          <w:tcPr>
            <w:tcW w:w="4818" w:type="dxa"/>
            <w:gridSpan w:val="8"/>
            <w:tcBorders>
              <w:tl2br w:val="nil"/>
              <w:tr2bl w:val="nil"/>
            </w:tcBorders>
            <w:noWrap w:val="0"/>
            <w:vAlign w:val="center"/>
          </w:tcPr>
          <w:p w14:paraId="0D1FB8F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发生火灾后，次生伴生污染物 CO 的最大落地浓度出现在距离泄漏 位置 60m 处，最大落地浓度为50.76mg/m</w:t>
            </w:r>
            <w:r>
              <w:rPr>
                <w:rFonts w:hint="default" w:ascii="Times New Roman" w:hAnsi="Times New Roman" w:eastAsia="Times New Roman" w:cs="Times New Roman"/>
                <w:spacing w:val="0"/>
                <w:w w:val="100"/>
                <w:kern w:val="21"/>
                <w:position w:val="0"/>
                <w:sz w:val="21"/>
                <w:szCs w:val="21"/>
                <w:u w:val="none" w:color="auto"/>
                <w:vertAlign w:val="superscript"/>
              </w:rPr>
              <w:t>3</w:t>
            </w:r>
            <w:r>
              <w:rPr>
                <w:rFonts w:hint="default" w:ascii="Times New Roman" w:hAnsi="Times New Roman" w:eastAsia="Times New Roman" w:cs="Times New Roman"/>
                <w:spacing w:val="0"/>
                <w:w w:val="100"/>
                <w:kern w:val="21"/>
                <w:position w:val="0"/>
                <w:sz w:val="21"/>
                <w:szCs w:val="21"/>
                <w:u w:val="none" w:color="auto"/>
              </w:rPr>
              <w:t>，距离厂界</w:t>
            </w:r>
            <w:r>
              <w:rPr>
                <w:rFonts w:hint="eastAsia" w:ascii="Times New Roman" w:hAnsi="Times New Roman" w:eastAsia="宋体" w:cs="Times New Roman"/>
                <w:spacing w:val="0"/>
                <w:w w:val="100"/>
                <w:kern w:val="21"/>
                <w:position w:val="0"/>
                <w:sz w:val="21"/>
                <w:szCs w:val="21"/>
                <w:u w:val="none" w:color="auto"/>
                <w:lang w:val="en-US" w:eastAsia="zh-CN"/>
              </w:rPr>
              <w:t>东</w:t>
            </w:r>
            <w:r>
              <w:rPr>
                <w:rFonts w:hint="default" w:ascii="Times New Roman" w:hAnsi="Times New Roman" w:eastAsia="Times New Roman" w:cs="Times New Roman"/>
                <w:spacing w:val="0"/>
                <w:w w:val="100"/>
                <w:kern w:val="21"/>
                <w:position w:val="0"/>
                <w:sz w:val="21"/>
                <w:szCs w:val="21"/>
                <w:u w:val="none" w:color="auto"/>
              </w:rPr>
              <w:t>南侧280m处的刘堤村CO最大落地浓度为20.779mg/m</w:t>
            </w:r>
            <w:r>
              <w:rPr>
                <w:rFonts w:hint="default" w:ascii="Times New Roman" w:hAnsi="Times New Roman" w:eastAsia="Times New Roman" w:cs="Times New Roman"/>
                <w:spacing w:val="0"/>
                <w:w w:val="100"/>
                <w:kern w:val="21"/>
                <w:position w:val="0"/>
                <w:sz w:val="21"/>
                <w:szCs w:val="21"/>
                <w:u w:val="none" w:color="auto"/>
                <w:vertAlign w:val="superscript"/>
              </w:rPr>
              <w:t>3</w:t>
            </w:r>
            <w:r>
              <w:rPr>
                <w:rFonts w:hint="default" w:ascii="Times New Roman" w:hAnsi="Times New Roman" w:eastAsia="Times New Roman" w:cs="Times New Roman"/>
                <w:spacing w:val="0"/>
                <w:w w:val="100"/>
                <w:kern w:val="21"/>
                <w:position w:val="0"/>
                <w:sz w:val="21"/>
                <w:szCs w:val="21"/>
                <w:u w:val="none" w:color="auto"/>
              </w:rPr>
              <w:t>；未出现毒性终点浓度。</w:t>
            </w:r>
          </w:p>
        </w:tc>
      </w:tr>
      <w:tr w14:paraId="5FE68DF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3084013A">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vMerge w:val="continue"/>
            <w:tcBorders>
              <w:tl2br w:val="nil"/>
              <w:tr2bl w:val="nil"/>
            </w:tcBorders>
            <w:noWrap w:val="0"/>
            <w:vAlign w:val="center"/>
          </w:tcPr>
          <w:p w14:paraId="334D5B4D">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2877" w:type="dxa"/>
            <w:gridSpan w:val="4"/>
            <w:tcBorders>
              <w:tl2br w:val="nil"/>
              <w:tr2bl w:val="nil"/>
            </w:tcBorders>
            <w:noWrap w:val="0"/>
            <w:vAlign w:val="center"/>
          </w:tcPr>
          <w:p w14:paraId="0B9D31D2">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预测结果（伴生</w:t>
            </w:r>
            <w:r>
              <w:rPr>
                <w:rFonts w:hint="eastAsia" w:eastAsia="宋体" w:cs="Times New Roman"/>
                <w:spacing w:val="0"/>
                <w:w w:val="100"/>
                <w:kern w:val="21"/>
                <w:position w:val="0"/>
                <w:sz w:val="21"/>
                <w:szCs w:val="21"/>
                <w:u w:val="none" w:color="auto"/>
                <w:lang w:val="en-US" w:eastAsia="zh-CN"/>
              </w:rPr>
              <w:t>HF</w:t>
            </w:r>
            <w:r>
              <w:rPr>
                <w:rFonts w:hint="default" w:ascii="Times New Roman" w:hAnsi="Times New Roman" w:cs="Times New Roman"/>
                <w:spacing w:val="0"/>
                <w:w w:val="100"/>
                <w:kern w:val="21"/>
                <w:position w:val="0"/>
                <w:sz w:val="21"/>
                <w:szCs w:val="21"/>
                <w:u w:val="none" w:color="auto"/>
              </w:rPr>
              <w:t>）</w:t>
            </w:r>
          </w:p>
        </w:tc>
        <w:tc>
          <w:tcPr>
            <w:tcW w:w="4818" w:type="dxa"/>
            <w:gridSpan w:val="8"/>
            <w:tcBorders>
              <w:tl2br w:val="nil"/>
              <w:tr2bl w:val="nil"/>
            </w:tcBorders>
            <w:noWrap w:val="0"/>
            <w:vAlign w:val="center"/>
          </w:tcPr>
          <w:p w14:paraId="1C7F1DC6">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eastAsia="Times New Roman" w:cs="Times New Roman"/>
                <w:spacing w:val="0"/>
                <w:w w:val="100"/>
                <w:kern w:val="21"/>
                <w:position w:val="0"/>
                <w:sz w:val="21"/>
                <w:szCs w:val="21"/>
                <w:u w:val="none" w:color="auto"/>
              </w:rPr>
              <w:t>次生伴生污染物氟化氢最大落地浓度出现在距离泄漏位置310m 处，最大落地浓度为0.000349mg/m</w:t>
            </w:r>
            <w:r>
              <w:rPr>
                <w:rFonts w:hint="default" w:ascii="Times New Roman" w:hAnsi="Times New Roman" w:eastAsia="Times New Roman" w:cs="Times New Roman"/>
                <w:spacing w:val="0"/>
                <w:w w:val="100"/>
                <w:kern w:val="21"/>
                <w:position w:val="0"/>
                <w:sz w:val="21"/>
                <w:szCs w:val="21"/>
                <w:u w:val="none" w:color="auto"/>
                <w:vertAlign w:val="superscript"/>
              </w:rPr>
              <w:t>3</w:t>
            </w:r>
            <w:r>
              <w:rPr>
                <w:rFonts w:hint="default" w:ascii="Times New Roman" w:hAnsi="Times New Roman" w:eastAsia="Times New Roman" w:cs="Times New Roman"/>
                <w:spacing w:val="0"/>
                <w:w w:val="100"/>
                <w:kern w:val="21"/>
                <w:position w:val="0"/>
                <w:sz w:val="21"/>
                <w:szCs w:val="21"/>
                <w:u w:val="none" w:color="auto"/>
              </w:rPr>
              <w:t>，距离厂界</w:t>
            </w:r>
            <w:r>
              <w:rPr>
                <w:rFonts w:hint="eastAsia" w:ascii="Times New Roman" w:hAnsi="Times New Roman" w:eastAsia="宋体" w:cs="Times New Roman"/>
                <w:spacing w:val="0"/>
                <w:w w:val="100"/>
                <w:kern w:val="21"/>
                <w:position w:val="0"/>
                <w:sz w:val="21"/>
                <w:szCs w:val="21"/>
                <w:u w:val="none" w:color="auto"/>
                <w:lang w:val="en-US" w:eastAsia="zh-CN"/>
              </w:rPr>
              <w:t>东</w:t>
            </w:r>
            <w:r>
              <w:rPr>
                <w:rFonts w:hint="default" w:ascii="Times New Roman" w:hAnsi="Times New Roman" w:eastAsia="Times New Roman" w:cs="Times New Roman"/>
                <w:spacing w:val="0"/>
                <w:w w:val="100"/>
                <w:kern w:val="21"/>
                <w:position w:val="0"/>
                <w:sz w:val="21"/>
                <w:szCs w:val="21"/>
                <w:u w:val="none" w:color="auto"/>
              </w:rPr>
              <w:t>南侧280m处的刘堤村氟化氢最大落地浓度为3.5065E-04mg/m</w:t>
            </w:r>
            <w:r>
              <w:rPr>
                <w:rFonts w:hint="default" w:ascii="Times New Roman" w:hAnsi="Times New Roman" w:eastAsia="Times New Roman" w:cs="Times New Roman"/>
                <w:spacing w:val="0"/>
                <w:w w:val="100"/>
                <w:kern w:val="21"/>
                <w:position w:val="0"/>
                <w:sz w:val="21"/>
                <w:szCs w:val="21"/>
                <w:u w:val="none" w:color="auto"/>
                <w:vertAlign w:val="superscript"/>
              </w:rPr>
              <w:t>3</w:t>
            </w:r>
            <w:r>
              <w:rPr>
                <w:rFonts w:hint="eastAsia" w:ascii="Times New Roman" w:hAnsi="Times New Roman" w:eastAsia="宋体" w:cs="Times New Roman"/>
                <w:spacing w:val="0"/>
                <w:w w:val="100"/>
                <w:kern w:val="21"/>
                <w:position w:val="0"/>
                <w:sz w:val="21"/>
                <w:szCs w:val="21"/>
                <w:u w:val="none" w:color="auto"/>
                <w:vertAlign w:val="baseline"/>
                <w:lang w:eastAsia="zh-CN"/>
              </w:rPr>
              <w:t>，</w:t>
            </w:r>
            <w:r>
              <w:rPr>
                <w:rFonts w:hint="default" w:ascii="Times New Roman" w:hAnsi="Times New Roman" w:eastAsia="Times New Roman" w:cs="Times New Roman"/>
                <w:spacing w:val="0"/>
                <w:w w:val="100"/>
                <w:kern w:val="21"/>
                <w:position w:val="0"/>
                <w:sz w:val="21"/>
                <w:szCs w:val="21"/>
                <w:u w:val="none" w:color="auto"/>
              </w:rPr>
              <w:t>未出现毒性终点浓度。</w:t>
            </w:r>
          </w:p>
        </w:tc>
      </w:tr>
      <w:tr w14:paraId="32C7D65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092C1BFE">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tcBorders>
              <w:tl2br w:val="nil"/>
              <w:tr2bl w:val="nil"/>
            </w:tcBorders>
            <w:noWrap w:val="0"/>
            <w:vAlign w:val="center"/>
          </w:tcPr>
          <w:p w14:paraId="1352A2D3">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地表水</w:t>
            </w:r>
          </w:p>
        </w:tc>
        <w:tc>
          <w:tcPr>
            <w:tcW w:w="7695" w:type="dxa"/>
            <w:gridSpan w:val="12"/>
            <w:tcBorders>
              <w:tl2br w:val="nil"/>
              <w:tr2bl w:val="nil"/>
            </w:tcBorders>
            <w:noWrap w:val="0"/>
            <w:vAlign w:val="center"/>
          </w:tcPr>
          <w:p w14:paraId="03C2487C">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最近环境敏感目标</w:t>
            </w:r>
            <w:r>
              <w:rPr>
                <w:rFonts w:hint="default" w:ascii="Times New Roman" w:hAnsi="Times New Roman" w:eastAsia="Times New Roman" w:cs="Times New Roman"/>
                <w:spacing w:val="0"/>
                <w:w w:val="100"/>
                <w:kern w:val="21"/>
                <w:position w:val="0"/>
                <w:sz w:val="21"/>
                <w:szCs w:val="21"/>
                <w:u w:val="none" w:color="auto"/>
              </w:rPr>
              <w:t xml:space="preserve">  /  </w:t>
            </w:r>
            <w:r>
              <w:rPr>
                <w:rFonts w:hint="default" w:ascii="Times New Roman" w:hAnsi="Times New Roman" w:cs="Times New Roman"/>
                <w:spacing w:val="0"/>
                <w:w w:val="100"/>
                <w:kern w:val="21"/>
                <w:position w:val="0"/>
                <w:sz w:val="21"/>
                <w:szCs w:val="21"/>
                <w:u w:val="none" w:color="auto"/>
              </w:rPr>
              <w:t>，到达时间</w:t>
            </w:r>
            <w:r>
              <w:rPr>
                <w:rFonts w:hint="default" w:ascii="Times New Roman" w:hAnsi="Times New Roman" w:eastAsia="Times New Roman" w:cs="Times New Roman"/>
                <w:spacing w:val="0"/>
                <w:w w:val="100"/>
                <w:kern w:val="21"/>
                <w:position w:val="0"/>
                <w:sz w:val="21"/>
                <w:szCs w:val="21"/>
                <w:u w:val="none" w:color="auto"/>
              </w:rPr>
              <w:t xml:space="preserve">  / h</w:t>
            </w:r>
          </w:p>
        </w:tc>
      </w:tr>
      <w:tr w14:paraId="1F4C725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2565136A">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vMerge w:val="restart"/>
            <w:tcBorders>
              <w:tl2br w:val="nil"/>
              <w:tr2bl w:val="nil"/>
            </w:tcBorders>
            <w:noWrap w:val="0"/>
            <w:vAlign w:val="center"/>
          </w:tcPr>
          <w:p w14:paraId="4EFA4702">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地下水</w:t>
            </w:r>
          </w:p>
        </w:tc>
        <w:tc>
          <w:tcPr>
            <w:tcW w:w="7695" w:type="dxa"/>
            <w:gridSpan w:val="12"/>
            <w:tcBorders>
              <w:tl2br w:val="nil"/>
              <w:tr2bl w:val="nil"/>
            </w:tcBorders>
            <w:noWrap w:val="0"/>
            <w:vAlign w:val="center"/>
          </w:tcPr>
          <w:p w14:paraId="47DDC8E1">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下游厂区边界到达时间</w:t>
            </w:r>
            <w:r>
              <w:rPr>
                <w:rFonts w:hint="default" w:ascii="Times New Roman" w:hAnsi="Times New Roman" w:eastAsia="Times New Roman" w:cs="Times New Roman"/>
                <w:spacing w:val="0"/>
                <w:w w:val="100"/>
                <w:kern w:val="21"/>
                <w:position w:val="0"/>
                <w:sz w:val="21"/>
                <w:szCs w:val="21"/>
                <w:u w:val="none" w:color="auto"/>
              </w:rPr>
              <w:t xml:space="preserve">  / d</w:t>
            </w:r>
          </w:p>
        </w:tc>
      </w:tr>
      <w:tr w14:paraId="12AB207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9" w:type="dxa"/>
            <w:vMerge w:val="continue"/>
            <w:tcBorders>
              <w:tl2br w:val="nil"/>
              <w:tr2bl w:val="nil"/>
            </w:tcBorders>
            <w:noWrap w:val="0"/>
            <w:vAlign w:val="center"/>
          </w:tcPr>
          <w:p w14:paraId="4F69A9D9">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1039" w:type="dxa"/>
            <w:vMerge w:val="continue"/>
            <w:tcBorders>
              <w:tl2br w:val="nil"/>
              <w:tr2bl w:val="nil"/>
            </w:tcBorders>
            <w:noWrap w:val="0"/>
            <w:vAlign w:val="center"/>
          </w:tcPr>
          <w:p w14:paraId="4570F453">
            <w:pPr>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p>
        </w:tc>
        <w:tc>
          <w:tcPr>
            <w:tcW w:w="7695" w:type="dxa"/>
            <w:gridSpan w:val="12"/>
            <w:tcBorders>
              <w:tl2br w:val="nil"/>
              <w:tr2bl w:val="nil"/>
            </w:tcBorders>
            <w:noWrap w:val="0"/>
            <w:vAlign w:val="center"/>
          </w:tcPr>
          <w:p w14:paraId="03A02930">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最近环境敏感目标</w:t>
            </w:r>
            <w:r>
              <w:rPr>
                <w:rFonts w:hint="default" w:ascii="Times New Roman" w:hAnsi="Times New Roman" w:eastAsia="Times New Roman" w:cs="Times New Roman"/>
                <w:spacing w:val="0"/>
                <w:w w:val="100"/>
                <w:kern w:val="21"/>
                <w:position w:val="0"/>
                <w:sz w:val="21"/>
                <w:szCs w:val="21"/>
                <w:u w:val="none" w:color="auto"/>
              </w:rPr>
              <w:t xml:space="preserve">  /  </w:t>
            </w:r>
            <w:r>
              <w:rPr>
                <w:rFonts w:hint="default" w:ascii="Times New Roman" w:hAnsi="Times New Roman" w:cs="Times New Roman"/>
                <w:spacing w:val="0"/>
                <w:w w:val="100"/>
                <w:kern w:val="21"/>
                <w:position w:val="0"/>
                <w:sz w:val="21"/>
                <w:szCs w:val="21"/>
                <w:u w:val="none" w:color="auto"/>
              </w:rPr>
              <w:t>，到达时间</w:t>
            </w:r>
            <w:r>
              <w:rPr>
                <w:rFonts w:hint="default" w:ascii="Times New Roman" w:hAnsi="Times New Roman" w:eastAsia="Times New Roman" w:cs="Times New Roman"/>
                <w:spacing w:val="0"/>
                <w:w w:val="100"/>
                <w:kern w:val="21"/>
                <w:position w:val="0"/>
                <w:sz w:val="21"/>
                <w:szCs w:val="21"/>
                <w:u w:val="none" w:color="auto"/>
              </w:rPr>
              <w:t xml:space="preserve">  / d</w:t>
            </w:r>
          </w:p>
        </w:tc>
      </w:tr>
      <w:tr w14:paraId="5B9BE5F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8" w:type="dxa"/>
            <w:gridSpan w:val="2"/>
            <w:tcBorders>
              <w:tl2br w:val="nil"/>
              <w:tr2bl w:val="nil"/>
            </w:tcBorders>
            <w:noWrap w:val="0"/>
            <w:vAlign w:val="center"/>
          </w:tcPr>
          <w:p w14:paraId="4CDB322D">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重点风险防范措施</w:t>
            </w:r>
          </w:p>
        </w:tc>
        <w:tc>
          <w:tcPr>
            <w:tcW w:w="7695" w:type="dxa"/>
            <w:gridSpan w:val="12"/>
            <w:tcBorders>
              <w:tl2br w:val="nil"/>
              <w:tr2bl w:val="nil"/>
            </w:tcBorders>
            <w:noWrap w:val="0"/>
            <w:vAlign w:val="center"/>
          </w:tcPr>
          <w:p w14:paraId="7F6724D6">
            <w:pPr>
              <w:keepNext w:val="0"/>
              <w:keepLines w:val="0"/>
              <w:pageBreakBefore w:val="0"/>
              <w:widowControl/>
              <w:kinsoku/>
              <w:wordWrap/>
              <w:overflowPunct/>
              <w:autoSpaceDE/>
              <w:autoSpaceDN/>
              <w:bidi w:val="0"/>
              <w:spacing w:line="240" w:lineRule="auto"/>
              <w:ind w:firstLine="0" w:firstLineChars="0"/>
              <w:jc w:val="left"/>
              <w:textAlignment w:val="auto"/>
              <w:rPr>
                <w:rFonts w:ascii="Times New Roman" w:hAnsi="Times New Roman" w:eastAsia="宋体" w:cs="Times New Roman"/>
                <w:color w:val="000000"/>
                <w:kern w:val="0"/>
                <w:sz w:val="21"/>
                <w:szCs w:val="21"/>
                <w:u w:val="none" w:color="auto"/>
              </w:rPr>
            </w:pPr>
            <w:r>
              <w:rPr>
                <w:rFonts w:ascii="Times New Roman" w:hAnsi="Times New Roman" w:eastAsia="宋体" w:cs="Times New Roman"/>
                <w:color w:val="000000"/>
                <w:kern w:val="0"/>
                <w:sz w:val="21"/>
                <w:szCs w:val="21"/>
                <w:u w:val="none" w:color="auto"/>
              </w:rPr>
              <w:t>1、</w:t>
            </w:r>
            <w:r>
              <w:rPr>
                <w:rFonts w:ascii="Times New Roman" w:hAnsi="Times New Roman" w:eastAsia="宋体" w:cs="Times New Roman"/>
                <w:color w:val="000000"/>
                <w:sz w:val="21"/>
                <w:szCs w:val="21"/>
                <w:u w:val="none" w:color="auto"/>
              </w:rPr>
              <w:t>事故废水、消防废水收集管网及总排口隔水挡板</w:t>
            </w:r>
            <w:r>
              <w:rPr>
                <w:rFonts w:ascii="Times New Roman" w:hAnsi="Times New Roman" w:eastAsia="宋体" w:cs="Times New Roman"/>
                <w:color w:val="000000"/>
                <w:kern w:val="0"/>
                <w:sz w:val="21"/>
                <w:szCs w:val="21"/>
                <w:u w:val="none" w:color="auto"/>
              </w:rPr>
              <w:t>，项目所在厂区</w:t>
            </w:r>
            <w:r>
              <w:rPr>
                <w:rFonts w:hint="eastAsia" w:cs="Times New Roman"/>
                <w:color w:val="000000"/>
                <w:kern w:val="0"/>
                <w:sz w:val="21"/>
                <w:szCs w:val="21"/>
                <w:u w:val="none" w:color="auto"/>
                <w:lang w:val="en-US" w:eastAsia="zh-CN"/>
              </w:rPr>
              <w:t>设应急事故池</w:t>
            </w:r>
            <w:r>
              <w:rPr>
                <w:rFonts w:ascii="Times New Roman" w:hAnsi="Times New Roman" w:eastAsia="宋体" w:cs="Times New Roman"/>
                <w:color w:val="000000"/>
                <w:sz w:val="21"/>
                <w:szCs w:val="21"/>
                <w:u w:val="none" w:color="auto"/>
              </w:rPr>
              <w:t>一座</w:t>
            </w:r>
            <w:r>
              <w:rPr>
                <w:rFonts w:hint="eastAsia" w:ascii="Times New Roman" w:hAnsi="Times New Roman" w:eastAsia="宋体" w:cs="Times New Roman"/>
                <w:color w:val="000000"/>
                <w:kern w:val="0"/>
                <w:sz w:val="21"/>
                <w:szCs w:val="21"/>
                <w:u w:val="none" w:color="auto"/>
              </w:rPr>
              <w:t>，</w:t>
            </w:r>
            <w:r>
              <w:rPr>
                <w:rFonts w:hint="eastAsia" w:cs="Times New Roman"/>
                <w:color w:val="000000"/>
                <w:kern w:val="0"/>
                <w:sz w:val="21"/>
                <w:szCs w:val="21"/>
                <w:u w:val="none" w:color="auto"/>
                <w:lang w:val="en-US" w:eastAsia="zh-CN"/>
              </w:rPr>
              <w:t>容积200m</w:t>
            </w:r>
            <w:r>
              <w:rPr>
                <w:rFonts w:hint="eastAsia" w:cs="Times New Roman"/>
                <w:color w:val="000000"/>
                <w:kern w:val="0"/>
                <w:sz w:val="21"/>
                <w:szCs w:val="21"/>
                <w:u w:val="none" w:color="auto"/>
                <w:vertAlign w:val="superscript"/>
                <w:lang w:val="en-US" w:eastAsia="zh-CN"/>
              </w:rPr>
              <w:t>3</w:t>
            </w:r>
            <w:r>
              <w:rPr>
                <w:rFonts w:hint="eastAsia" w:cs="Times New Roman"/>
                <w:color w:val="000000"/>
                <w:kern w:val="0"/>
                <w:sz w:val="21"/>
                <w:szCs w:val="21"/>
                <w:u w:val="none" w:color="auto"/>
                <w:vertAlign w:val="baseline"/>
                <w:lang w:val="en-US" w:eastAsia="zh-CN"/>
              </w:rPr>
              <w:t>，</w:t>
            </w:r>
            <w:r>
              <w:rPr>
                <w:rFonts w:hint="eastAsia" w:cs="Times New Roman"/>
                <w:color w:val="000000"/>
                <w:sz w:val="21"/>
                <w:szCs w:val="21"/>
                <w:u w:val="none" w:color="auto"/>
                <w:lang w:val="en-US" w:eastAsia="zh-CN"/>
              </w:rPr>
              <w:t>要求</w:t>
            </w:r>
            <w:r>
              <w:rPr>
                <w:rFonts w:ascii="Times New Roman" w:hAnsi="Times New Roman" w:eastAsia="宋体" w:cs="Times New Roman"/>
                <w:color w:val="000000"/>
                <w:sz w:val="21"/>
                <w:szCs w:val="21"/>
                <w:u w:val="none" w:color="auto"/>
              </w:rPr>
              <w:t>满足全厂需求</w:t>
            </w:r>
            <w:r>
              <w:rPr>
                <w:rFonts w:ascii="Times New Roman" w:hAnsi="Times New Roman" w:eastAsia="宋体" w:cs="Times New Roman"/>
                <w:color w:val="000000"/>
                <w:kern w:val="0"/>
                <w:sz w:val="21"/>
                <w:szCs w:val="21"/>
                <w:u w:val="none" w:color="auto"/>
              </w:rPr>
              <w:t>。</w:t>
            </w:r>
          </w:p>
          <w:p w14:paraId="28F87FE8">
            <w:pPr>
              <w:keepNext w:val="0"/>
              <w:keepLines w:val="0"/>
              <w:pageBreakBefore w:val="0"/>
              <w:widowControl/>
              <w:kinsoku/>
              <w:wordWrap/>
              <w:overflowPunct/>
              <w:autoSpaceDE/>
              <w:autoSpaceDN/>
              <w:bidi w:val="0"/>
              <w:spacing w:line="240" w:lineRule="auto"/>
              <w:ind w:firstLine="0" w:firstLineChars="0"/>
              <w:jc w:val="left"/>
              <w:textAlignment w:val="auto"/>
              <w:rPr>
                <w:rFonts w:ascii="Times New Roman" w:hAnsi="Times New Roman" w:eastAsia="宋体" w:cs="Times New Roman"/>
                <w:color w:val="000000"/>
                <w:sz w:val="21"/>
                <w:szCs w:val="21"/>
                <w:u w:val="none" w:color="auto"/>
              </w:rPr>
            </w:pPr>
            <w:r>
              <w:rPr>
                <w:rFonts w:ascii="Times New Roman" w:hAnsi="Times New Roman" w:eastAsia="宋体" w:cs="Times New Roman"/>
                <w:bCs/>
                <w:color w:val="000000"/>
                <w:sz w:val="21"/>
                <w:szCs w:val="21"/>
                <w:u w:val="none" w:color="auto"/>
              </w:rPr>
              <w:t>2、</w:t>
            </w:r>
            <w:r>
              <w:rPr>
                <w:rFonts w:hint="eastAsia" w:ascii="Times New Roman" w:hAnsi="Times New Roman" w:eastAsia="宋体" w:cs="Times New Roman"/>
                <w:bCs/>
                <w:color w:val="000000"/>
                <w:sz w:val="21"/>
                <w:szCs w:val="21"/>
                <w:u w:val="none" w:color="auto"/>
              </w:rPr>
              <w:t>物料</w:t>
            </w:r>
            <w:r>
              <w:rPr>
                <w:rFonts w:ascii="Times New Roman" w:hAnsi="Times New Roman" w:eastAsia="宋体" w:cs="Times New Roman"/>
                <w:color w:val="000000"/>
                <w:sz w:val="21"/>
                <w:szCs w:val="21"/>
                <w:u w:val="none" w:color="auto"/>
              </w:rPr>
              <w:t>储存区</w:t>
            </w:r>
            <w:r>
              <w:rPr>
                <w:rFonts w:hint="eastAsia" w:ascii="Times New Roman" w:hAnsi="Times New Roman" w:eastAsia="宋体" w:cs="Times New Roman"/>
                <w:color w:val="000000"/>
                <w:sz w:val="21"/>
                <w:szCs w:val="21"/>
                <w:u w:val="none" w:color="auto"/>
              </w:rPr>
              <w:t>做好</w:t>
            </w:r>
            <w:r>
              <w:rPr>
                <w:rFonts w:ascii="Times New Roman" w:hAnsi="Times New Roman" w:eastAsia="宋体" w:cs="Times New Roman"/>
                <w:color w:val="000000"/>
                <w:sz w:val="21"/>
                <w:szCs w:val="21"/>
                <w:u w:val="none" w:color="auto"/>
              </w:rPr>
              <w:t>防渗工程。</w:t>
            </w:r>
          </w:p>
          <w:p w14:paraId="7384F45D">
            <w:pPr>
              <w:keepNext w:val="0"/>
              <w:keepLines w:val="0"/>
              <w:pageBreakBefore w:val="0"/>
              <w:widowControl/>
              <w:kinsoku/>
              <w:wordWrap/>
              <w:overflowPunct/>
              <w:autoSpaceDE/>
              <w:autoSpaceDN/>
              <w:bidi w:val="0"/>
              <w:spacing w:line="240" w:lineRule="auto"/>
              <w:ind w:firstLine="0" w:firstLineChars="0"/>
              <w:jc w:val="left"/>
              <w:textAlignment w:val="auto"/>
              <w:rPr>
                <w:rFonts w:ascii="Times New Roman" w:hAnsi="Times New Roman" w:eastAsia="宋体" w:cs="Times New Roman"/>
                <w:color w:val="000000"/>
                <w:sz w:val="21"/>
                <w:szCs w:val="21"/>
                <w:u w:val="none" w:color="auto"/>
              </w:rPr>
            </w:pPr>
            <w:r>
              <w:rPr>
                <w:rFonts w:ascii="Times New Roman" w:hAnsi="Times New Roman" w:eastAsia="宋体" w:cs="Times New Roman"/>
                <w:color w:val="000000"/>
                <w:sz w:val="21"/>
                <w:szCs w:val="21"/>
                <w:u w:val="none" w:color="auto"/>
              </w:rPr>
              <w:t>3、按规范要求安装泄漏报警和监控装置。</w:t>
            </w:r>
          </w:p>
          <w:p w14:paraId="256C8482">
            <w:pPr>
              <w:keepNext w:val="0"/>
              <w:keepLines w:val="0"/>
              <w:pageBreakBefore w:val="0"/>
              <w:widowControl/>
              <w:kinsoku/>
              <w:wordWrap/>
              <w:overflowPunct/>
              <w:autoSpaceDE/>
              <w:autoSpaceDN/>
              <w:bidi w:val="0"/>
              <w:spacing w:line="240" w:lineRule="auto"/>
              <w:ind w:firstLine="0" w:firstLineChars="0"/>
              <w:jc w:val="left"/>
              <w:textAlignment w:val="auto"/>
              <w:rPr>
                <w:rFonts w:ascii="Times New Roman" w:hAnsi="Times New Roman" w:eastAsia="宋体" w:cs="Times New Roman"/>
                <w:color w:val="000000"/>
                <w:sz w:val="21"/>
                <w:szCs w:val="21"/>
                <w:u w:val="none" w:color="auto"/>
              </w:rPr>
            </w:pPr>
            <w:r>
              <w:rPr>
                <w:rFonts w:ascii="Times New Roman" w:hAnsi="Times New Roman" w:eastAsia="宋体" w:cs="Times New Roman"/>
                <w:color w:val="000000"/>
                <w:kern w:val="0"/>
                <w:sz w:val="21"/>
                <w:szCs w:val="21"/>
                <w:u w:val="none" w:color="auto"/>
              </w:rPr>
              <w:t>4、</w:t>
            </w:r>
            <w:r>
              <w:rPr>
                <w:rFonts w:ascii="Times New Roman" w:hAnsi="Times New Roman" w:eastAsia="宋体" w:cs="Times New Roman"/>
                <w:color w:val="000000"/>
                <w:sz w:val="21"/>
                <w:szCs w:val="21"/>
                <w:u w:val="none" w:color="auto"/>
              </w:rPr>
              <w:t>防爆电机、防爆电器、双回路电源。</w:t>
            </w:r>
          </w:p>
          <w:p w14:paraId="76B093E1">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both"/>
              <w:textAlignment w:val="auto"/>
              <w:rPr>
                <w:rFonts w:hint="default" w:ascii="Times New Roman" w:hAnsi="Times New Roman" w:cs="Times New Roman"/>
                <w:spacing w:val="0"/>
                <w:w w:val="100"/>
                <w:kern w:val="21"/>
                <w:position w:val="0"/>
                <w:sz w:val="21"/>
                <w:szCs w:val="21"/>
                <w:u w:val="none" w:color="auto"/>
              </w:rPr>
            </w:pPr>
            <w:r>
              <w:rPr>
                <w:rFonts w:ascii="Times New Roman" w:hAnsi="Times New Roman" w:eastAsia="宋体" w:cs="Times New Roman"/>
                <w:color w:val="000000"/>
                <w:sz w:val="21"/>
                <w:szCs w:val="21"/>
                <w:u w:val="none" w:color="auto"/>
              </w:rPr>
              <w:t>5、配备应急救援器材，并进行安全教育培训、事故应急演练。</w:t>
            </w:r>
          </w:p>
        </w:tc>
      </w:tr>
      <w:tr w14:paraId="01905DC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8" w:type="dxa"/>
            <w:gridSpan w:val="2"/>
            <w:tcBorders>
              <w:tl2br w:val="nil"/>
              <w:tr2bl w:val="nil"/>
            </w:tcBorders>
            <w:noWrap w:val="0"/>
            <w:vAlign w:val="center"/>
          </w:tcPr>
          <w:p w14:paraId="40112E0F">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评价结论与建议</w:t>
            </w:r>
          </w:p>
        </w:tc>
        <w:tc>
          <w:tcPr>
            <w:tcW w:w="7695" w:type="dxa"/>
            <w:gridSpan w:val="12"/>
            <w:tcBorders>
              <w:tl2br w:val="nil"/>
              <w:tr2bl w:val="nil"/>
            </w:tcBorders>
            <w:noWrap w:val="0"/>
            <w:vAlign w:val="center"/>
          </w:tcPr>
          <w:p w14:paraId="243EDD52">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left"/>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通过对拟建项目危险因素、环境敏感性及环境风险事故影响、环境风险防范措施和应急预案等分析判断，拟建项目环境风险可以防控。</w:t>
            </w:r>
          </w:p>
          <w:p w14:paraId="723DCE08">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left"/>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根据拟建项目环境风险可能影响的范围与程度，建议建设单位应按规定配备应急物资，前端预警、中段应急、后段洗消截流等多效手段组合防控，建立健全事故应急预案并与周边企业联动、定期演练。</w:t>
            </w:r>
          </w:p>
        </w:tc>
      </w:tr>
      <w:tr w14:paraId="597483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243" w:type="dxa"/>
            <w:gridSpan w:val="14"/>
            <w:tcBorders>
              <w:tl2br w:val="nil"/>
              <w:tr2bl w:val="nil"/>
            </w:tcBorders>
            <w:noWrap w:val="0"/>
            <w:vAlign w:val="center"/>
          </w:tcPr>
          <w:p w14:paraId="3BBD25A9">
            <w:pPr>
              <w:pStyle w:val="115"/>
              <w:keepNext w:val="0"/>
              <w:keepLines w:val="0"/>
              <w:pageBreakBefore w:val="0"/>
              <w:widowControl/>
              <w:kinsoku/>
              <w:wordWrap/>
              <w:overflowPunct/>
              <w:topLinePunct/>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spacing w:val="0"/>
                <w:w w:val="100"/>
                <w:kern w:val="21"/>
                <w:position w:val="0"/>
                <w:sz w:val="21"/>
                <w:szCs w:val="21"/>
                <w:u w:val="none" w:color="auto"/>
              </w:rPr>
            </w:pPr>
            <w:r>
              <w:rPr>
                <w:rFonts w:hint="default" w:ascii="Times New Roman" w:hAnsi="Times New Roman" w:cs="Times New Roman"/>
                <w:spacing w:val="0"/>
                <w:w w:val="100"/>
                <w:kern w:val="21"/>
                <w:position w:val="0"/>
                <w:sz w:val="21"/>
                <w:szCs w:val="21"/>
                <w:u w:val="none" w:color="auto"/>
              </w:rPr>
              <w:t>注：</w:t>
            </w:r>
            <w:r>
              <w:rPr>
                <w:rFonts w:hint="default" w:ascii="Times New Roman" w:hAnsi="Times New Roman" w:eastAsia="Times New Roman" w:cs="Times New Roman"/>
                <w:spacing w:val="0"/>
                <w:w w:val="100"/>
                <w:kern w:val="21"/>
                <w:position w:val="0"/>
                <w:sz w:val="21"/>
                <w:szCs w:val="21"/>
                <w:u w:val="none" w:color="auto"/>
              </w:rPr>
              <w:t>“□”</w:t>
            </w:r>
            <w:r>
              <w:rPr>
                <w:rFonts w:hint="default" w:ascii="Times New Roman" w:hAnsi="Times New Roman" w:cs="Times New Roman"/>
                <w:spacing w:val="0"/>
                <w:w w:val="100"/>
                <w:kern w:val="21"/>
                <w:position w:val="0"/>
                <w:sz w:val="21"/>
                <w:szCs w:val="21"/>
                <w:u w:val="none" w:color="auto"/>
              </w:rPr>
              <w:t>为勾选项，</w:t>
            </w:r>
            <w:r>
              <w:rPr>
                <w:rFonts w:hint="default" w:ascii="Times New Roman" w:hAnsi="Times New Roman" w:eastAsia="Times New Roman" w:cs="Times New Roman"/>
                <w:spacing w:val="0"/>
                <w:w w:val="100"/>
                <w:kern w:val="21"/>
                <w:position w:val="0"/>
                <w:sz w:val="21"/>
                <w:szCs w:val="21"/>
                <w:u w:val="none" w:color="auto"/>
              </w:rPr>
              <w:t>“ ”</w:t>
            </w:r>
            <w:r>
              <w:rPr>
                <w:rFonts w:hint="default" w:ascii="Times New Roman" w:hAnsi="Times New Roman" w:cs="Times New Roman"/>
                <w:spacing w:val="0"/>
                <w:w w:val="100"/>
                <w:kern w:val="21"/>
                <w:position w:val="0"/>
                <w:sz w:val="21"/>
                <w:szCs w:val="21"/>
                <w:u w:val="none" w:color="auto"/>
              </w:rPr>
              <w:t>为填写项。</w:t>
            </w:r>
          </w:p>
        </w:tc>
      </w:tr>
    </w:tbl>
    <w:p w14:paraId="22A6A9BD">
      <w:pPr>
        <w:widowControl w:val="0"/>
        <w:numPr>
          <w:ilvl w:val="0"/>
          <w:numId w:val="0"/>
        </w:numPr>
        <w:tabs>
          <w:tab w:val="left" w:pos="420"/>
          <w:tab w:val="center" w:pos="4420"/>
        </w:tabs>
        <w:bidi w:val="0"/>
        <w:spacing w:line="460" w:lineRule="exact"/>
        <w:jc w:val="center"/>
        <w:rPr>
          <w:rFonts w:hint="eastAsia" w:ascii="Times New Roman" w:hAnsi="Times New Roman" w:eastAsia="黑体" w:cs="Times New Roman"/>
          <w:color w:val="auto"/>
          <w:spacing w:val="0"/>
          <w:w w:val="100"/>
          <w:kern w:val="21"/>
          <w:position w:val="0"/>
          <w:sz w:val="24"/>
          <w:szCs w:val="24"/>
          <w:u w:val="none" w:color="auto"/>
          <w:lang w:val="en-US" w:eastAsia="zh-CN"/>
        </w:rPr>
      </w:pPr>
    </w:p>
    <w:p w14:paraId="2C79322D">
      <w:pPr>
        <w:widowControl w:val="0"/>
        <w:numPr>
          <w:ilvl w:val="0"/>
          <w:numId w:val="0"/>
        </w:numPr>
        <w:tabs>
          <w:tab w:val="left" w:pos="420"/>
          <w:tab w:val="center" w:pos="4420"/>
        </w:tabs>
        <w:bidi w:val="0"/>
        <w:spacing w:line="460" w:lineRule="exact"/>
        <w:jc w:val="center"/>
        <w:rPr>
          <w:rFonts w:hint="eastAsia" w:ascii="Times New Roman" w:hAnsi="Times New Roman" w:eastAsia="黑体" w:cs="Times New Roman"/>
          <w:color w:val="auto"/>
          <w:spacing w:val="0"/>
          <w:w w:val="100"/>
          <w:kern w:val="21"/>
          <w:position w:val="0"/>
          <w:sz w:val="24"/>
          <w:szCs w:val="24"/>
          <w:u w:val="none" w:color="auto"/>
          <w:lang w:val="en-US" w:eastAsia="zh-CN"/>
        </w:rPr>
      </w:pPr>
    </w:p>
    <w:p w14:paraId="1ABAAFBB">
      <w:pPr>
        <w:widowControl w:val="0"/>
        <w:numPr>
          <w:ilvl w:val="0"/>
          <w:numId w:val="0"/>
        </w:numPr>
        <w:tabs>
          <w:tab w:val="left" w:pos="420"/>
          <w:tab w:val="center" w:pos="4420"/>
        </w:tabs>
        <w:bidi w:val="0"/>
        <w:spacing w:line="460" w:lineRule="exact"/>
        <w:jc w:val="center"/>
        <w:rPr>
          <w:rFonts w:hint="eastAsia" w:ascii="Times New Roman" w:hAnsi="Times New Roman" w:eastAsia="黑体" w:cs="Times New Roman"/>
          <w:color w:val="auto"/>
          <w:spacing w:val="0"/>
          <w:w w:val="100"/>
          <w:kern w:val="21"/>
          <w:position w:val="0"/>
          <w:sz w:val="24"/>
          <w:szCs w:val="24"/>
          <w:u w:val="none" w:color="auto"/>
          <w:lang w:val="en-US" w:eastAsia="zh-CN"/>
        </w:rPr>
      </w:pPr>
    </w:p>
    <w:p w14:paraId="2293999D">
      <w:pPr>
        <w:keepNext w:val="0"/>
        <w:keepLines w:val="0"/>
        <w:pageBreakBefore w:val="0"/>
        <w:widowControl/>
        <w:numPr>
          <w:ilvl w:val="0"/>
          <w:numId w:val="0"/>
        </w:numPr>
        <w:kinsoku/>
        <w:wordWrap/>
        <w:overflowPunct/>
        <w:topLinePunct/>
        <w:autoSpaceDE/>
        <w:autoSpaceDN/>
        <w:bidi w:val="0"/>
        <w:adjustRightInd w:val="0"/>
        <w:snapToGrid w:val="0"/>
        <w:spacing w:line="240" w:lineRule="auto"/>
        <w:ind w:right="0" w:rightChars="0" w:firstLine="0" w:firstLineChars="0"/>
        <w:jc w:val="both"/>
        <w:textAlignment w:val="auto"/>
        <w:rPr>
          <w:rFonts w:hint="default" w:ascii="Times New Roman" w:hAnsi="Times New Roman" w:eastAsia="宋体" w:cs="Times New Roman"/>
          <w:snapToGrid w:val="0"/>
          <w:color w:val="000000"/>
          <w:spacing w:val="0"/>
          <w:w w:val="100"/>
          <w:kern w:val="21"/>
          <w:position w:val="0"/>
          <w:sz w:val="21"/>
          <w:szCs w:val="21"/>
          <w:u w:val="none" w:color="auto"/>
          <w:lang w:val="en-US" w:eastAsia="zh-CN" w:bidi="ar-SA"/>
        </w:rPr>
      </w:pPr>
    </w:p>
    <w:p w14:paraId="7E70FBD6">
      <w:pPr>
        <w:rPr>
          <w:u w:val="none" w:color="auto"/>
        </w:rPr>
        <w:sectPr>
          <w:headerReference r:id="rId16" w:type="default"/>
          <w:footerReference r:id="rId17" w:type="default"/>
          <w:pgSz w:w="11906" w:h="16838"/>
          <w:pgMar w:top="1440" w:right="1440" w:bottom="1440"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4E00D397">
      <w:pPr>
        <w:rPr>
          <w:rFonts w:hint="default" w:ascii="Times New Roman" w:hAnsi="Times New Roman" w:eastAsia="宋体" w:cs="Times New Roman"/>
          <w:b/>
          <w:bCs/>
          <w:sz w:val="24"/>
          <w:szCs w:val="24"/>
        </w:rPr>
      </w:pPr>
      <w:r>
        <w:rPr>
          <w:sz w:val="21"/>
        </w:rPr>
        <mc:AlternateContent>
          <mc:Choice Requires="wps">
            <w:drawing>
              <wp:anchor distT="0" distB="0" distL="114300" distR="114300" simplePos="0" relativeHeight="251782144" behindDoc="0" locked="0" layoutInCell="1" allowOverlap="1">
                <wp:simplePos x="0" y="0"/>
                <wp:positionH relativeFrom="column">
                  <wp:posOffset>5297170</wp:posOffset>
                </wp:positionH>
                <wp:positionV relativeFrom="paragraph">
                  <wp:posOffset>3538220</wp:posOffset>
                </wp:positionV>
                <wp:extent cx="897255" cy="368935"/>
                <wp:effectExtent l="340995" t="6350" r="19050" b="177165"/>
                <wp:wrapNone/>
                <wp:docPr id="171" name="矩形标注 171"/>
                <wp:cNvGraphicFramePr/>
                <a:graphic xmlns:a="http://schemas.openxmlformats.org/drawingml/2006/main">
                  <a:graphicData uri="http://schemas.microsoft.com/office/word/2010/wordprocessingShape">
                    <wps:wsp>
                      <wps:cNvSpPr/>
                      <wps:spPr>
                        <a:xfrm>
                          <a:off x="6549390" y="3526155"/>
                          <a:ext cx="897255" cy="368935"/>
                        </a:xfrm>
                        <a:prstGeom prst="wedgeRectCallout">
                          <a:avLst>
                            <a:gd name="adj1" fmla="val -82430"/>
                            <a:gd name="adj2" fmla="val 92159"/>
                          </a:avLst>
                        </a:prstGeom>
                        <a:solidFill>
                          <a:srgbClr val="FFFFFF"/>
                        </a:solidFill>
                        <a:ln w="12700" cap="flat" cmpd="sng" algn="ctr">
                          <a:solidFill>
                            <a:srgbClr val="FF0000"/>
                          </a:solidFill>
                          <a:prstDash val="solid"/>
                          <a:miter lim="800000"/>
                        </a:ln>
                        <a:effectLst/>
                      </wps:spPr>
                      <wps:txbx>
                        <w:txbxContent>
                          <w:p w14:paraId="5A0F484F">
                            <w:pPr>
                              <w:jc w:val="center"/>
                              <w:rPr>
                                <w:rFonts w:hint="eastAsia" w:eastAsia="宋体"/>
                                <w:color w:val="000000"/>
                                <w:lang w:val="en-US" w:eastAsia="zh-CN"/>
                              </w:rPr>
                            </w:pPr>
                            <w:r>
                              <w:rPr>
                                <w:rFonts w:hint="eastAsia"/>
                                <w:color w:val="000000"/>
                                <w:lang w:val="en-US" w:eastAsia="zh-CN"/>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17.1pt;margin-top:278.6pt;height:29.05pt;width:70.65pt;z-index:251782144;v-text-anchor:middle;mso-width-relative:page;mso-height-relative:page;" fillcolor="#FFFFFF" filled="t" stroked="t" coordsize="21600,21600" o:gfxdata="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DiilrQ3AAAAAsBAAAP&#10;AAAAAAAAAAEAIAAAACIAAABkcnMvZG93bnJldi54bWxQSwECFAAUAAAACACHTuJAt3iVb78CAACA&#10;BQAADgAAAAAAAAABACAAAAArAQAAZHJzL2Uyb0RvYy54bWxQSwUGAAAAAAYABgBZAQAAXAYAAAAA&#10;" adj="-7005,30706">
                <v:fill on="t" focussize="0,0"/>
                <v:stroke weight="1pt" color="#FF0000" miterlimit="8" joinstyle="miter"/>
                <v:imagedata o:title=""/>
                <o:lock v:ext="edit" aspectratio="f"/>
                <v:textbox>
                  <w:txbxContent>
                    <w:p w14:paraId="5A0F484F">
                      <w:pPr>
                        <w:jc w:val="center"/>
                        <w:rPr>
                          <w:rFonts w:hint="eastAsia" w:eastAsia="宋体"/>
                          <w:color w:val="000000"/>
                          <w:lang w:val="en-US" w:eastAsia="zh-CN"/>
                        </w:rPr>
                      </w:pPr>
                      <w:r>
                        <w:rPr>
                          <w:rFonts w:hint="eastAsia"/>
                          <w:color w:val="000000"/>
                          <w:lang w:val="en-US" w:eastAsia="zh-CN"/>
                        </w:rPr>
                        <w:t>项目位置</w:t>
                      </w:r>
                    </w:p>
                  </w:txbxContent>
                </v:textbox>
              </v:shape>
            </w:pict>
          </mc:Fallback>
        </mc:AlternateContent>
      </w:r>
      <w:r>
        <w:rPr>
          <w:sz w:val="21"/>
        </w:rPr>
        <mc:AlternateContent>
          <mc:Choice Requires="wps">
            <w:drawing>
              <wp:anchor distT="0" distB="0" distL="114300" distR="114300" simplePos="0" relativeHeight="251781120" behindDoc="0" locked="0" layoutInCell="1" allowOverlap="1">
                <wp:simplePos x="0" y="0"/>
                <wp:positionH relativeFrom="column">
                  <wp:posOffset>4890135</wp:posOffset>
                </wp:positionH>
                <wp:positionV relativeFrom="paragraph">
                  <wp:posOffset>4023360</wp:posOffset>
                </wp:positionV>
                <wp:extent cx="127635" cy="135255"/>
                <wp:effectExtent l="17780" t="22860" r="26035" b="32385"/>
                <wp:wrapNone/>
                <wp:docPr id="191" name="五角星 191"/>
                <wp:cNvGraphicFramePr/>
                <a:graphic xmlns:a="http://schemas.openxmlformats.org/drawingml/2006/main">
                  <a:graphicData uri="http://schemas.microsoft.com/office/word/2010/wordprocessingShape">
                    <wps:wsp>
                      <wps:cNvSpPr/>
                      <wps:spPr>
                        <a:xfrm>
                          <a:off x="4601210" y="4911725"/>
                          <a:ext cx="127635" cy="135255"/>
                        </a:xfrm>
                        <a:prstGeom prst="star5">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85.05pt;margin-top:316.8pt;height:10.65pt;width:10.05pt;z-index:251781120;v-text-anchor:middle;mso-width-relative:page;mso-height-relative:page;" fillcolor="#FF0000" filled="t" stroked="t" coordsize="127635,135255" o:gfxdata="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NEKroPcAAAACwEAAA8A&#10;AAAAAAAAAQAgAAAAIgAAAGRycy9kb3ducmV2LnhtbFBLAQIUABQAAAAIAIdO4kADdyRVhQIAABUF&#10;AAAOAAAAAAAAAAEAIAAAACsBAABkcnMvZTJvRG9jLnhtbFBLBQYAAAAABgAGAFkBAAAiBgAAAAA=&#10;" path="m0,51662l48752,51663,63817,0,78882,51663,127634,51662,88193,83591,103258,135254,63817,103324,24376,135254,39441,83591xe">
                <v:path o:connectlocs="63817,0;0,51662;24376,135254;103258,135254;127634,51662" o:connectangles="247,164,82,82,0"/>
                <v:fill on="t" focussize="0,0"/>
                <v:stroke weight="1pt" color="#FF0000" miterlimit="8" joinstyle="miter"/>
                <v:imagedata o:title=""/>
                <o:lock v:ext="edit" aspectratio="f"/>
              </v:shape>
            </w:pict>
          </mc:Fallback>
        </mc:AlternateContent>
      </w:r>
      <w:r>
        <w:drawing>
          <wp:anchor distT="0" distB="0" distL="114300" distR="114300" simplePos="0" relativeHeight="251780096" behindDoc="0" locked="0" layoutInCell="1" allowOverlap="1">
            <wp:simplePos x="0" y="0"/>
            <wp:positionH relativeFrom="column">
              <wp:posOffset>7940040</wp:posOffset>
            </wp:positionH>
            <wp:positionV relativeFrom="paragraph">
              <wp:posOffset>76835</wp:posOffset>
            </wp:positionV>
            <wp:extent cx="923925" cy="838200"/>
            <wp:effectExtent l="0" t="0" r="9525" b="0"/>
            <wp:wrapNone/>
            <wp:docPr id="18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4"/>
                    <pic:cNvPicPr>
                      <a:picLocks noChangeAspect="1"/>
                    </pic:cNvPicPr>
                  </pic:nvPicPr>
                  <pic:blipFill>
                    <a:blip r:embed="rId54"/>
                    <a:stretch>
                      <a:fillRect/>
                    </a:stretch>
                  </pic:blipFill>
                  <pic:spPr>
                    <a:xfrm>
                      <a:off x="0" y="0"/>
                      <a:ext cx="923925" cy="838200"/>
                    </a:xfrm>
                    <a:prstGeom prst="rect">
                      <a:avLst/>
                    </a:prstGeom>
                    <a:noFill/>
                    <a:ln>
                      <a:noFill/>
                    </a:ln>
                  </pic:spPr>
                </pic:pic>
              </a:graphicData>
            </a:graphic>
          </wp:anchor>
        </w:drawing>
      </w:r>
      <w:r>
        <w:rPr>
          <w:rFonts w:hint="default" w:ascii="Times New Roman" w:hAnsi="Times New Roman" w:eastAsia="宋体" w:cs="Times New Roman"/>
          <w:b/>
          <w:bCs/>
          <w:sz w:val="24"/>
          <w:szCs w:val="24"/>
        </w:rPr>
        <w:drawing>
          <wp:inline distT="0" distB="0" distL="114300" distR="114300">
            <wp:extent cx="8862695" cy="5280660"/>
            <wp:effectExtent l="0" t="0" r="14605" b="15240"/>
            <wp:docPr id="18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8"/>
                    <pic:cNvPicPr>
                      <a:picLocks noChangeAspect="1"/>
                    </pic:cNvPicPr>
                  </pic:nvPicPr>
                  <pic:blipFill>
                    <a:blip r:embed="rId55"/>
                    <a:stretch>
                      <a:fillRect/>
                    </a:stretch>
                  </pic:blipFill>
                  <pic:spPr>
                    <a:xfrm>
                      <a:off x="0" y="0"/>
                      <a:ext cx="8862695" cy="5280660"/>
                    </a:xfrm>
                    <a:prstGeom prst="rect">
                      <a:avLst/>
                    </a:prstGeom>
                    <a:noFill/>
                    <a:ln>
                      <a:noFill/>
                    </a:ln>
                  </pic:spPr>
                </pic:pic>
              </a:graphicData>
            </a:graphic>
          </wp:inline>
        </w:drawing>
      </w:r>
    </w:p>
    <w:p w14:paraId="24260EE4">
      <w:pPr>
        <w:keepNext w:val="0"/>
        <w:keepLines w:val="0"/>
        <w:widowControl/>
        <w:suppressLineNumbers w:val="0"/>
        <w:jc w:val="center"/>
        <w:rPr>
          <w:rFonts w:hint="default" w:ascii="Times New Roman" w:hAnsi="Times New Roman" w:eastAsia="宋体" w:cs="Times New Roman"/>
          <w:b/>
          <w:bCs/>
          <w:color w:val="000000"/>
          <w:kern w:val="0"/>
          <w:sz w:val="24"/>
          <w:szCs w:val="24"/>
          <w:lang w:val="en-US" w:eastAsia="zh-CN" w:bidi="ar"/>
        </w:rPr>
        <w:sectPr>
          <w:pgSz w:w="16838" w:h="11906" w:orient="landscape"/>
          <w:pgMar w:top="1440" w:right="1440" w:bottom="1440"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r>
        <w:rPr>
          <w:rFonts w:hint="default" w:ascii="Times New Roman" w:hAnsi="Times New Roman" w:eastAsia="宋体" w:cs="Times New Roman"/>
          <w:b/>
          <w:bCs/>
          <w:color w:val="000000"/>
          <w:kern w:val="0"/>
          <w:sz w:val="24"/>
          <w:szCs w:val="24"/>
          <w:lang w:val="en-US" w:eastAsia="zh-CN" w:bidi="ar"/>
        </w:rPr>
        <w:t>附图1    项目地理位置图</w:t>
      </w:r>
    </w:p>
    <w:p w14:paraId="59EB479C">
      <w:pPr>
        <w:keepNext w:val="0"/>
        <w:keepLines w:val="0"/>
        <w:widowControl/>
        <w:suppressLineNumbers w:val="0"/>
        <w:jc w:val="center"/>
      </w:pPr>
      <w:r>
        <w:rPr>
          <w:sz w:val="21"/>
        </w:rPr>
        <mc:AlternateContent>
          <mc:Choice Requires="wps">
            <w:drawing>
              <wp:anchor distT="0" distB="0" distL="114300" distR="114300" simplePos="0" relativeHeight="251784192" behindDoc="0" locked="0" layoutInCell="1" allowOverlap="1">
                <wp:simplePos x="0" y="0"/>
                <wp:positionH relativeFrom="column">
                  <wp:posOffset>2715260</wp:posOffset>
                </wp:positionH>
                <wp:positionV relativeFrom="paragraph">
                  <wp:posOffset>4225925</wp:posOffset>
                </wp:positionV>
                <wp:extent cx="897255" cy="313690"/>
                <wp:effectExtent l="340995" t="6350" r="19050" b="156210"/>
                <wp:wrapNone/>
                <wp:docPr id="179" name="矩形标注 179"/>
                <wp:cNvGraphicFramePr/>
                <a:graphic xmlns:a="http://schemas.openxmlformats.org/drawingml/2006/main">
                  <a:graphicData uri="http://schemas.microsoft.com/office/word/2010/wordprocessingShape">
                    <wps:wsp>
                      <wps:cNvSpPr/>
                      <wps:spPr>
                        <a:xfrm>
                          <a:off x="0" y="0"/>
                          <a:ext cx="897255" cy="313690"/>
                        </a:xfrm>
                        <a:prstGeom prst="wedgeRectCallout">
                          <a:avLst>
                            <a:gd name="adj1" fmla="val -82430"/>
                            <a:gd name="adj2" fmla="val 92159"/>
                          </a:avLst>
                        </a:prstGeom>
                        <a:solidFill>
                          <a:srgbClr val="FFFFFF"/>
                        </a:solidFill>
                        <a:ln w="12700" cap="flat" cmpd="sng" algn="ctr">
                          <a:solidFill>
                            <a:srgbClr val="FF0000"/>
                          </a:solidFill>
                          <a:prstDash val="solid"/>
                          <a:miter lim="800000"/>
                        </a:ln>
                        <a:effectLst/>
                      </wps:spPr>
                      <wps:txbx>
                        <w:txbxContent>
                          <w:p w14:paraId="6A85539E">
                            <w:pPr>
                              <w:jc w:val="center"/>
                              <w:rPr>
                                <w:rFonts w:hint="eastAsia" w:eastAsia="宋体"/>
                                <w:color w:val="000000"/>
                                <w:lang w:val="en-US" w:eastAsia="zh-CN"/>
                              </w:rPr>
                            </w:pPr>
                            <w:r>
                              <w:rPr>
                                <w:rFonts w:hint="eastAsia"/>
                                <w:color w:val="000000"/>
                                <w:lang w:val="en-US" w:eastAsia="zh-CN"/>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13.8pt;margin-top:332.75pt;height:24.7pt;width:70.65pt;z-index:251784192;v-text-anchor:middle;mso-width-relative:page;mso-height-relative:page;" fillcolor="#FFFFFF" filled="t" stroked="t" coordsize="21600,21600" o:gfxdata="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NnQAWDcAAAACwEAAA8AAAAAAAAAAQAg&#10;AAAAIgAAAGRycy9kb3ducmV2LnhtbFBLAQIUABQAAAAIAIdO4kDjs5WmtQIAAHQFAAAOAAAAAAAA&#10;AAEAIAAAACsBAABkcnMvZTJvRG9jLnhtbFBLBQYAAAAABgAGAFkBAABSBgAAAAA=&#10;" adj="-7005,30706">
                <v:fill on="t" focussize="0,0"/>
                <v:stroke weight="1pt" color="#FF0000" miterlimit="8" joinstyle="miter"/>
                <v:imagedata o:title=""/>
                <o:lock v:ext="edit" aspectratio="f"/>
                <v:textbox>
                  <w:txbxContent>
                    <w:p w14:paraId="6A85539E">
                      <w:pPr>
                        <w:jc w:val="center"/>
                        <w:rPr>
                          <w:rFonts w:hint="eastAsia" w:eastAsia="宋体"/>
                          <w:color w:val="000000"/>
                          <w:lang w:val="en-US" w:eastAsia="zh-CN"/>
                        </w:rPr>
                      </w:pPr>
                      <w:r>
                        <w:rPr>
                          <w:rFonts w:hint="eastAsia"/>
                          <w:color w:val="000000"/>
                          <w:lang w:val="en-US" w:eastAsia="zh-CN"/>
                        </w:rPr>
                        <w:t>项目位置</w:t>
                      </w:r>
                    </w:p>
                  </w:txbxContent>
                </v:textbox>
              </v:shape>
            </w:pict>
          </mc:Fallback>
        </mc:AlternateContent>
      </w:r>
      <w:r>
        <w:rPr>
          <w:sz w:val="21"/>
        </w:rPr>
        <mc:AlternateContent>
          <mc:Choice Requires="wps">
            <w:drawing>
              <wp:anchor distT="0" distB="0" distL="114300" distR="114300" simplePos="0" relativeHeight="251783168" behindDoc="0" locked="0" layoutInCell="1" allowOverlap="1">
                <wp:simplePos x="0" y="0"/>
                <wp:positionH relativeFrom="column">
                  <wp:posOffset>2111375</wp:posOffset>
                </wp:positionH>
                <wp:positionV relativeFrom="paragraph">
                  <wp:posOffset>4678680</wp:posOffset>
                </wp:positionV>
                <wp:extent cx="269240" cy="365760"/>
                <wp:effectExtent l="6350" t="6350" r="10160" b="8890"/>
                <wp:wrapNone/>
                <wp:docPr id="197" name="矩形 197"/>
                <wp:cNvGraphicFramePr/>
                <a:graphic xmlns:a="http://schemas.openxmlformats.org/drawingml/2006/main">
                  <a:graphicData uri="http://schemas.microsoft.com/office/word/2010/wordprocessingShape">
                    <wps:wsp>
                      <wps:cNvSpPr/>
                      <wps:spPr>
                        <a:xfrm>
                          <a:off x="0" y="0"/>
                          <a:ext cx="269240" cy="365760"/>
                        </a:xfrm>
                        <a:prstGeom prst="rect">
                          <a:avLst/>
                        </a:prstGeom>
                        <a:noFill/>
                        <a:ln w="12700" cap="flat" cmpd="sng">
                          <a:solidFill>
                            <a:srgbClr val="000000"/>
                          </a:solidFill>
                          <a:prstDash val="solid"/>
                          <a:miter/>
                          <a:headEnd type="none" w="med" len="med"/>
                          <a:tailEnd type="none" w="med" len="med"/>
                        </a:ln>
                      </wps:spPr>
                      <wps:bodyPr anchor="ctr" anchorCtr="0" upright="1"/>
                    </wps:wsp>
                  </a:graphicData>
                </a:graphic>
              </wp:anchor>
            </w:drawing>
          </mc:Choice>
          <mc:Fallback>
            <w:pict>
              <v:rect id="_x0000_s1026" o:spid="_x0000_s1026" o:spt="1" style="position:absolute;left:0pt;margin-left:166.25pt;margin-top:368.4pt;height:28.8pt;width:21.2pt;z-index:251783168;v-text-anchor:middle;mso-width-relative:page;mso-height-relative:page;" filled="f" stroked="t" coordsize="21600,21600" o:gfxdata="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l5d+BtoAAAALAQAADwAAAAAAAAABACAAAAAiAAAA&#10;ZHJzL2Rvd25yZXYueG1sUEsBAhQAFAAAAAgAh07iQE7NP4oFAgAAFAQAAA4AAAAAAAAAAQAgAAAA&#10;KQEAAGRycy9lMm9Eb2MueG1sUEsFBgAAAAAGAAYAWQEAAKAFAAAAAA==&#10;">
                <v:fill on="f" focussize="0,0"/>
                <v:stroke weight="1pt" color="#000000" joinstyle="miter"/>
                <v:imagedata o:title=""/>
                <o:lock v:ext="edit" aspectratio="f"/>
              </v:rect>
            </w:pict>
          </mc:Fallback>
        </mc:AlternateContent>
      </w:r>
      <w:r>
        <w:drawing>
          <wp:inline distT="0" distB="0" distL="114300" distR="114300">
            <wp:extent cx="5726430" cy="8091805"/>
            <wp:effectExtent l="0" t="0" r="7620" b="4445"/>
            <wp:docPr id="19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9"/>
                    <pic:cNvPicPr>
                      <a:picLocks noChangeAspect="1"/>
                    </pic:cNvPicPr>
                  </pic:nvPicPr>
                  <pic:blipFill>
                    <a:blip r:embed="rId56"/>
                    <a:stretch>
                      <a:fillRect/>
                    </a:stretch>
                  </pic:blipFill>
                  <pic:spPr>
                    <a:xfrm>
                      <a:off x="0" y="0"/>
                      <a:ext cx="5726430" cy="8091805"/>
                    </a:xfrm>
                    <a:prstGeom prst="rect">
                      <a:avLst/>
                    </a:prstGeom>
                    <a:noFill/>
                    <a:ln>
                      <a:noFill/>
                    </a:ln>
                  </pic:spPr>
                </pic:pic>
              </a:graphicData>
            </a:graphic>
          </wp:inline>
        </w:drawing>
      </w:r>
    </w:p>
    <w:p w14:paraId="021B0ADD">
      <w:pPr>
        <w:keepNext w:val="0"/>
        <w:keepLines w:val="0"/>
        <w:widowControl/>
        <w:suppressLineNumbers w:val="0"/>
        <w:jc w:val="center"/>
        <w:rPr>
          <w:rFonts w:hint="eastAsia" w:ascii="Times New Roman" w:hAnsi="Times New Roman" w:eastAsia="宋体" w:cs="Times New Roman"/>
          <w:b/>
          <w:bCs/>
          <w:color w:val="000000"/>
          <w:kern w:val="0"/>
          <w:sz w:val="24"/>
          <w:szCs w:val="24"/>
          <w:lang w:val="en-US" w:eastAsia="zh-CN" w:bidi="ar"/>
        </w:rPr>
        <w:sectPr>
          <w:pgSz w:w="11906" w:h="16838"/>
          <w:pgMar w:top="1440" w:right="1440" w:bottom="1440"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r>
        <w:rPr>
          <w:rFonts w:hint="eastAsia" w:ascii="Times New Roman" w:hAnsi="Times New Roman" w:eastAsia="宋体" w:cs="Times New Roman"/>
          <w:b/>
          <w:bCs/>
          <w:color w:val="000000"/>
          <w:kern w:val="0"/>
          <w:sz w:val="24"/>
          <w:szCs w:val="24"/>
          <w:lang w:val="en-US" w:eastAsia="zh-CN" w:bidi="ar"/>
        </w:rPr>
        <w:t>附图2  项目用地规划图</w:t>
      </w:r>
    </w:p>
    <w:p w14:paraId="254D460B">
      <w:pPr>
        <w:keepNext w:val="0"/>
        <w:keepLines w:val="0"/>
        <w:widowControl/>
        <w:suppressLineNumbers w:val="0"/>
        <w:jc w:val="center"/>
      </w:pPr>
    </w:p>
    <w:p w14:paraId="52A5E584">
      <w:pPr>
        <w:keepNext w:val="0"/>
        <w:keepLines w:val="0"/>
        <w:widowControl/>
        <w:suppressLineNumbers w:val="0"/>
        <w:jc w:val="center"/>
      </w:pPr>
    </w:p>
    <w:p w14:paraId="69338D94">
      <w:pPr>
        <w:keepNext w:val="0"/>
        <w:keepLines w:val="0"/>
        <w:widowControl/>
        <w:suppressLineNumbers w:val="0"/>
        <w:jc w:val="center"/>
      </w:pPr>
      <w:r>
        <w:rPr>
          <w:sz w:val="21"/>
        </w:rPr>
        <mc:AlternateContent>
          <mc:Choice Requires="wps">
            <w:drawing>
              <wp:anchor distT="0" distB="0" distL="114300" distR="114300" simplePos="0" relativeHeight="251786240" behindDoc="0" locked="0" layoutInCell="1" allowOverlap="1">
                <wp:simplePos x="0" y="0"/>
                <wp:positionH relativeFrom="column">
                  <wp:posOffset>2859405</wp:posOffset>
                </wp:positionH>
                <wp:positionV relativeFrom="paragraph">
                  <wp:posOffset>3909695</wp:posOffset>
                </wp:positionV>
                <wp:extent cx="897255" cy="313690"/>
                <wp:effectExtent l="340995" t="6350" r="19050" b="156210"/>
                <wp:wrapNone/>
                <wp:docPr id="188" name="矩形标注 188"/>
                <wp:cNvGraphicFramePr/>
                <a:graphic xmlns:a="http://schemas.openxmlformats.org/drawingml/2006/main">
                  <a:graphicData uri="http://schemas.microsoft.com/office/word/2010/wordprocessingShape">
                    <wps:wsp>
                      <wps:cNvSpPr/>
                      <wps:spPr>
                        <a:xfrm>
                          <a:off x="0" y="0"/>
                          <a:ext cx="897255" cy="313690"/>
                        </a:xfrm>
                        <a:prstGeom prst="wedgeRectCallout">
                          <a:avLst>
                            <a:gd name="adj1" fmla="val -82430"/>
                            <a:gd name="adj2" fmla="val 92159"/>
                          </a:avLst>
                        </a:prstGeom>
                        <a:solidFill>
                          <a:srgbClr val="FFFFFF"/>
                        </a:solidFill>
                        <a:ln w="12700" cap="flat" cmpd="sng" algn="ctr">
                          <a:solidFill>
                            <a:srgbClr val="FF0000"/>
                          </a:solidFill>
                          <a:prstDash val="solid"/>
                          <a:miter lim="800000"/>
                        </a:ln>
                        <a:effectLst/>
                      </wps:spPr>
                      <wps:txbx>
                        <w:txbxContent>
                          <w:p w14:paraId="55BFE3F1">
                            <w:pPr>
                              <w:jc w:val="center"/>
                              <w:rPr>
                                <w:rFonts w:hint="eastAsia" w:eastAsia="宋体"/>
                                <w:color w:val="000000"/>
                                <w:lang w:val="en-US" w:eastAsia="zh-CN"/>
                              </w:rPr>
                            </w:pPr>
                            <w:r>
                              <w:rPr>
                                <w:rFonts w:hint="eastAsia"/>
                                <w:color w:val="000000"/>
                                <w:lang w:val="en-US" w:eastAsia="zh-CN"/>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25.15pt;margin-top:307.85pt;height:24.7pt;width:70.65pt;z-index:251786240;v-text-anchor:middle;mso-width-relative:page;mso-height-relative:page;" fillcolor="#FFFFFF" filled="t" stroked="t" coordsize="21600,21600" o:gfxdata="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Bf76/3aAAAACwEAAA8AAAAAAAAAAQAgAAAA&#10;IgAAAGRycy9kb3ducmV2LnhtbFBLAQIUABQAAAAIAIdO4kCFKnTgtAIAAHQFAAAOAAAAAAAAAAEA&#10;IAAAACkBAABkcnMvZTJvRG9jLnhtbFBLBQYAAAAABgAGAFkBAABPBgAAAAA=&#10;" adj="-7005,30706">
                <v:fill on="t" focussize="0,0"/>
                <v:stroke weight="1pt" color="#FF0000" miterlimit="8" joinstyle="miter"/>
                <v:imagedata o:title=""/>
                <o:lock v:ext="edit" aspectratio="f"/>
                <v:textbox>
                  <w:txbxContent>
                    <w:p w14:paraId="55BFE3F1">
                      <w:pPr>
                        <w:jc w:val="center"/>
                        <w:rPr>
                          <w:rFonts w:hint="eastAsia" w:eastAsia="宋体"/>
                          <w:color w:val="000000"/>
                          <w:lang w:val="en-US" w:eastAsia="zh-CN"/>
                        </w:rPr>
                      </w:pPr>
                      <w:r>
                        <w:rPr>
                          <w:rFonts w:hint="eastAsia"/>
                          <w:color w:val="000000"/>
                          <w:lang w:val="en-US" w:eastAsia="zh-CN"/>
                        </w:rPr>
                        <w:t>项目位置</w:t>
                      </w:r>
                    </w:p>
                  </w:txbxContent>
                </v:textbox>
              </v:shape>
            </w:pict>
          </mc:Fallback>
        </mc:AlternateContent>
      </w:r>
      <w:r>
        <w:rPr>
          <w:sz w:val="21"/>
        </w:rPr>
        <mc:AlternateContent>
          <mc:Choice Requires="wps">
            <w:drawing>
              <wp:anchor distT="0" distB="0" distL="114300" distR="114300" simplePos="0" relativeHeight="251785216" behindDoc="0" locked="0" layoutInCell="1" allowOverlap="1">
                <wp:simplePos x="0" y="0"/>
                <wp:positionH relativeFrom="column">
                  <wp:posOffset>2247265</wp:posOffset>
                </wp:positionH>
                <wp:positionV relativeFrom="paragraph">
                  <wp:posOffset>4326255</wp:posOffset>
                </wp:positionV>
                <wp:extent cx="269240" cy="365760"/>
                <wp:effectExtent l="6350" t="6350" r="10160" b="8890"/>
                <wp:wrapNone/>
                <wp:docPr id="184" name="矩形 184"/>
                <wp:cNvGraphicFramePr/>
                <a:graphic xmlns:a="http://schemas.openxmlformats.org/drawingml/2006/main">
                  <a:graphicData uri="http://schemas.microsoft.com/office/word/2010/wordprocessingShape">
                    <wps:wsp>
                      <wps:cNvSpPr/>
                      <wps:spPr>
                        <a:xfrm>
                          <a:off x="0" y="0"/>
                          <a:ext cx="269240" cy="365760"/>
                        </a:xfrm>
                        <a:prstGeom prst="rect">
                          <a:avLst/>
                        </a:prstGeom>
                        <a:solidFill>
                          <a:srgbClr val="00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6.95pt;margin-top:340.65pt;height:28.8pt;width:21.2pt;z-index:251785216;v-text-anchor:middle;mso-width-relative:page;mso-height-relative:page;" fillcolor="#000000" filled="t" stroked="t" coordsize="21600,21600" o:gfxdata="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8VkF3NoAAAALAQAADwAAAAAAAAABACAAAAAiAAAA&#10;ZHJzL2Rvd25yZXYueG1sUEsBAhQAFAAAAAgAh07iQP4cS6J3AgAABQUAAA4AAAAAAAAAAQAgAAAA&#10;KQEAAGRycy9lMm9Eb2MueG1sUEsFBgAAAAAGAAYAWQEAABIGAAAAAA==&#10;">
                <v:fill on="t" focussize="0,0"/>
                <v:stroke weight="1pt" color="#FF0000" miterlimit="8" joinstyle="miter"/>
                <v:imagedata o:title=""/>
                <o:lock v:ext="edit" aspectratio="f"/>
              </v:rect>
            </w:pict>
          </mc:Fallback>
        </mc:AlternateContent>
      </w:r>
      <w:r>
        <w:drawing>
          <wp:inline distT="0" distB="0" distL="114300" distR="114300">
            <wp:extent cx="6177915" cy="7569200"/>
            <wp:effectExtent l="0" t="0" r="13335" b="12700"/>
            <wp:docPr id="1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0"/>
                    <pic:cNvPicPr>
                      <a:picLocks noChangeAspect="1"/>
                    </pic:cNvPicPr>
                  </pic:nvPicPr>
                  <pic:blipFill>
                    <a:blip r:embed="rId57"/>
                    <a:stretch>
                      <a:fillRect/>
                    </a:stretch>
                  </pic:blipFill>
                  <pic:spPr>
                    <a:xfrm>
                      <a:off x="0" y="0"/>
                      <a:ext cx="6177915" cy="7569200"/>
                    </a:xfrm>
                    <a:prstGeom prst="rect">
                      <a:avLst/>
                    </a:prstGeom>
                    <a:noFill/>
                    <a:ln>
                      <a:noFill/>
                    </a:ln>
                  </pic:spPr>
                </pic:pic>
              </a:graphicData>
            </a:graphic>
          </wp:inline>
        </w:drawing>
      </w:r>
    </w:p>
    <w:p w14:paraId="135DF169">
      <w:pPr>
        <w:keepNext w:val="0"/>
        <w:keepLines w:val="0"/>
        <w:widowControl/>
        <w:suppressLineNumbers w:val="0"/>
        <w:jc w:val="center"/>
        <w:rPr>
          <w:rFonts w:hint="eastAsia" w:ascii="Times New Roman" w:hAnsi="Times New Roman" w:eastAsia="宋体" w:cs="Times New Roman"/>
          <w:b/>
          <w:bCs/>
          <w:color w:val="000000"/>
          <w:kern w:val="0"/>
          <w:sz w:val="24"/>
          <w:szCs w:val="24"/>
          <w:lang w:val="en-US" w:eastAsia="zh-CN" w:bidi="ar"/>
        </w:rPr>
        <w:sectPr>
          <w:pgSz w:w="11906" w:h="16838"/>
          <w:pgMar w:top="1440" w:right="1440" w:bottom="1440"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r>
        <w:rPr>
          <w:rFonts w:hint="eastAsia" w:ascii="Times New Roman" w:hAnsi="Times New Roman" w:eastAsia="宋体" w:cs="Times New Roman"/>
          <w:b/>
          <w:bCs/>
          <w:color w:val="000000"/>
          <w:kern w:val="0"/>
          <w:sz w:val="24"/>
          <w:szCs w:val="24"/>
          <w:lang w:val="en-US" w:eastAsia="zh-CN" w:bidi="ar"/>
        </w:rPr>
        <w:t>附图3  项目产业布局图</w:t>
      </w:r>
    </w:p>
    <w:p w14:paraId="6D5EB9D8">
      <w:pPr>
        <w:keepNext w:val="0"/>
        <w:keepLines w:val="0"/>
        <w:widowControl/>
        <w:suppressLineNumbers w:val="0"/>
        <w:jc w:val="center"/>
      </w:pPr>
      <w:r>
        <w:rPr>
          <w:sz w:val="21"/>
        </w:rPr>
        <mc:AlternateContent>
          <mc:Choice Requires="wps">
            <w:drawing>
              <wp:anchor distT="0" distB="0" distL="114300" distR="114300" simplePos="0" relativeHeight="251835392" behindDoc="0" locked="0" layoutInCell="1" allowOverlap="1">
                <wp:simplePos x="0" y="0"/>
                <wp:positionH relativeFrom="column">
                  <wp:posOffset>2722245</wp:posOffset>
                </wp:positionH>
                <wp:positionV relativeFrom="paragraph">
                  <wp:posOffset>2510790</wp:posOffset>
                </wp:positionV>
                <wp:extent cx="1317625" cy="278765"/>
                <wp:effectExtent l="0" t="0" r="0" b="0"/>
                <wp:wrapNone/>
                <wp:docPr id="174" name="文本框 174"/>
                <wp:cNvGraphicFramePr/>
                <a:graphic xmlns:a="http://schemas.openxmlformats.org/drawingml/2006/main">
                  <a:graphicData uri="http://schemas.microsoft.com/office/word/2010/wordprocessingShape">
                    <wps:wsp>
                      <wps:cNvSpPr txBox="1"/>
                      <wps:spPr>
                        <a:xfrm>
                          <a:off x="0" y="0"/>
                          <a:ext cx="966470" cy="278765"/>
                        </a:xfrm>
                        <a:prstGeom prst="rect">
                          <a:avLst/>
                        </a:prstGeom>
                        <a:noFill/>
                        <a:ln w="6350">
                          <a:noFill/>
                        </a:ln>
                        <a:effectLst/>
                      </wps:spPr>
                      <wps:txbx>
                        <w:txbxContent>
                          <w:p w14:paraId="705BE1D0">
                            <w:pPr>
                              <w:rPr>
                                <w:rFonts w:hint="default" w:eastAsia="宋体"/>
                                <w:b/>
                                <w:bCs/>
                                <w:color w:val="FFFF00"/>
                                <w:lang w:val="en-US" w:eastAsia="zh-CN"/>
                              </w:rPr>
                            </w:pPr>
                            <w:r>
                              <w:rPr>
                                <w:rFonts w:hint="eastAsia" w:eastAsia="宋体"/>
                                <w:b/>
                                <w:bCs/>
                                <w:color w:val="FFFF00"/>
                                <w:lang w:val="en-US" w:eastAsia="zh-CN"/>
                              </w:rPr>
                              <w:t>3#车间 本项目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35pt;margin-top:197.7pt;height:21.95pt;width:103.75pt;z-index:251835392;mso-width-relative:page;mso-height-relative:page;" filled="f" stroked="f" coordsize="21600,21600" o:gfxdata="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7jXaktwAAAALAQAADwAAAAAAAAABACAA&#10;AAAiAAAAZHJzL2Rvd25yZXYueG1sUEsBAhQAFAAAAAgAh07iQK8B3AZCAgAAdwQAAA4AAAAAAAAA&#10;AQAgAAAAKwEAAGRycy9lMm9Eb2MueG1sUEsFBgAAAAAGAAYAWQEAAN8FAAAAAA==&#10;">
                <v:fill on="f" focussize="0,0"/>
                <v:stroke on="f" weight="0.5pt"/>
                <v:imagedata o:title=""/>
                <o:lock v:ext="edit" aspectratio="f"/>
                <v:textbox>
                  <w:txbxContent>
                    <w:p w14:paraId="705BE1D0">
                      <w:pPr>
                        <w:rPr>
                          <w:rFonts w:hint="default" w:eastAsia="宋体"/>
                          <w:b/>
                          <w:bCs/>
                          <w:color w:val="FFFF00"/>
                          <w:lang w:val="en-US" w:eastAsia="zh-CN"/>
                        </w:rPr>
                      </w:pPr>
                      <w:r>
                        <w:rPr>
                          <w:rFonts w:hint="eastAsia" w:eastAsia="宋体"/>
                          <w:b/>
                          <w:bCs/>
                          <w:color w:val="FFFF00"/>
                          <w:lang w:val="en-US" w:eastAsia="zh-CN"/>
                        </w:rPr>
                        <w:t>3#车间 本项目</w:t>
                      </w:r>
                    </w:p>
                  </w:txbxContent>
                </v:textbox>
              </v:shape>
            </w:pict>
          </mc:Fallback>
        </mc:AlternateContent>
      </w:r>
      <w:r>
        <w:rPr>
          <w:sz w:val="21"/>
        </w:rPr>
        <mc:AlternateContent>
          <mc:Choice Requires="wps">
            <w:drawing>
              <wp:anchor distT="0" distB="0" distL="114300" distR="114300" simplePos="0" relativeHeight="251800576" behindDoc="0" locked="0" layoutInCell="1" allowOverlap="1">
                <wp:simplePos x="0" y="0"/>
                <wp:positionH relativeFrom="column">
                  <wp:posOffset>4301490</wp:posOffset>
                </wp:positionH>
                <wp:positionV relativeFrom="paragraph">
                  <wp:posOffset>3669665</wp:posOffset>
                </wp:positionV>
                <wp:extent cx="683895" cy="250825"/>
                <wp:effectExtent l="0" t="0" r="0" b="0"/>
                <wp:wrapNone/>
                <wp:docPr id="181" name="文本框 181"/>
                <wp:cNvGraphicFramePr/>
                <a:graphic xmlns:a="http://schemas.openxmlformats.org/drawingml/2006/main">
                  <a:graphicData uri="http://schemas.microsoft.com/office/word/2010/wordprocessingShape">
                    <wps:wsp>
                      <wps:cNvSpPr txBox="1"/>
                      <wps:spPr>
                        <a:xfrm rot="2340000">
                          <a:off x="0" y="0"/>
                          <a:ext cx="683895" cy="250825"/>
                        </a:xfrm>
                        <a:prstGeom prst="rect">
                          <a:avLst/>
                        </a:prstGeom>
                        <a:noFill/>
                        <a:ln>
                          <a:noFill/>
                        </a:ln>
                      </wps:spPr>
                      <wps:txbx>
                        <w:txbxContent>
                          <w:p w14:paraId="7BB3CD52">
                            <w:pPr>
                              <w:rPr>
                                <w:rFonts w:hint="default" w:ascii="Times New Roman" w:hAnsi="Times New Roman" w:eastAsia="宋体" w:cs="Times New Roman"/>
                                <w:b/>
                                <w:bCs/>
                                <w:color w:val="FFFF00"/>
                                <w:highlight w:val="none"/>
                                <w:lang w:val="en-US" w:eastAsia="zh-CN"/>
                              </w:rPr>
                            </w:pPr>
                            <w:r>
                              <w:rPr>
                                <w:rFonts w:hint="eastAsia" w:ascii="Times New Roman" w:hAnsi="Times New Roman" w:cs="Times New Roman"/>
                                <w:b/>
                                <w:bCs/>
                                <w:color w:val="FFFF00"/>
                                <w:highlight w:val="none"/>
                                <w:lang w:val="en-US" w:eastAsia="zh-CN"/>
                              </w:rPr>
                              <w:t>280</w:t>
                            </w:r>
                            <w:r>
                              <w:rPr>
                                <w:rFonts w:hint="default" w:ascii="Times New Roman" w:hAnsi="Times New Roman" w:eastAsia="宋体" w:cs="Times New Roman"/>
                                <w:b/>
                                <w:bCs/>
                                <w:color w:val="FFFF00"/>
                                <w:highlight w:val="none"/>
                                <w:lang w:val="en-US" w:eastAsia="zh-CN"/>
                              </w:rPr>
                              <w:t>m</w:t>
                            </w:r>
                          </w:p>
                        </w:txbxContent>
                      </wps:txbx>
                      <wps:bodyPr upright="1"/>
                    </wps:wsp>
                  </a:graphicData>
                </a:graphic>
              </wp:anchor>
            </w:drawing>
          </mc:Choice>
          <mc:Fallback>
            <w:pict>
              <v:shape id="_x0000_s1026" o:spid="_x0000_s1026" o:spt="202" type="#_x0000_t202" style="position:absolute;left:0pt;margin-left:338.7pt;margin-top:288.95pt;height:19.75pt;width:53.85pt;rotation:2555904f;z-index:251800576;mso-width-relative:page;mso-height-relative:page;" filled="f" stroked="f" coordsize="21600,21600" o:gfxdata="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kWTuztoAAAALAQAADwAAAAAAAAABACAAAAAiAAAAZHJzL2Rvd25yZXYueG1sUEsBAhQA&#10;FAAAAAgAh07iQBafjgu3AQAAXwMAAA4AAAAAAAAAAQAgAAAAKQEAAGRycy9lMm9Eb2MueG1sUEsF&#10;BgAAAAAGAAYAWQEAAFIFAAAAAA==&#10;">
                <v:fill on="f" focussize="0,0"/>
                <v:stroke on="f"/>
                <v:imagedata o:title=""/>
                <o:lock v:ext="edit" aspectratio="f"/>
                <v:textbox>
                  <w:txbxContent>
                    <w:p w14:paraId="7BB3CD52">
                      <w:pPr>
                        <w:rPr>
                          <w:rFonts w:hint="default" w:ascii="Times New Roman" w:hAnsi="Times New Roman" w:eastAsia="宋体" w:cs="Times New Roman"/>
                          <w:b/>
                          <w:bCs/>
                          <w:color w:val="FFFF00"/>
                          <w:highlight w:val="none"/>
                          <w:lang w:val="en-US" w:eastAsia="zh-CN"/>
                        </w:rPr>
                      </w:pPr>
                      <w:r>
                        <w:rPr>
                          <w:rFonts w:hint="eastAsia" w:ascii="Times New Roman" w:hAnsi="Times New Roman" w:cs="Times New Roman"/>
                          <w:b/>
                          <w:bCs/>
                          <w:color w:val="FFFF00"/>
                          <w:highlight w:val="none"/>
                          <w:lang w:val="en-US" w:eastAsia="zh-CN"/>
                        </w:rPr>
                        <w:t>280</w:t>
                      </w:r>
                      <w:r>
                        <w:rPr>
                          <w:rFonts w:hint="default" w:ascii="Times New Roman" w:hAnsi="Times New Roman" w:eastAsia="宋体" w:cs="Times New Roman"/>
                          <w:b/>
                          <w:bCs/>
                          <w:color w:val="FFFF00"/>
                          <w:highlight w:val="none"/>
                          <w:lang w:val="en-US" w:eastAsia="zh-CN"/>
                        </w:rPr>
                        <w:t>m</w:t>
                      </w:r>
                    </w:p>
                  </w:txbxContent>
                </v:textbox>
              </v:shape>
            </w:pict>
          </mc:Fallback>
        </mc:AlternateContent>
      </w:r>
      <w:r>
        <w:rPr>
          <w:sz w:val="21"/>
        </w:rPr>
        <mc:AlternateContent>
          <mc:Choice Requires="wps">
            <w:drawing>
              <wp:anchor distT="0" distB="0" distL="114300" distR="114300" simplePos="0" relativeHeight="251799552" behindDoc="0" locked="0" layoutInCell="1" allowOverlap="1">
                <wp:simplePos x="0" y="0"/>
                <wp:positionH relativeFrom="column">
                  <wp:posOffset>4106545</wp:posOffset>
                </wp:positionH>
                <wp:positionV relativeFrom="paragraph">
                  <wp:posOffset>3624580</wp:posOffset>
                </wp:positionV>
                <wp:extent cx="686435" cy="569595"/>
                <wp:effectExtent l="3175" t="3810" r="15240" b="17145"/>
                <wp:wrapNone/>
                <wp:docPr id="186" name="直接连接符 186"/>
                <wp:cNvGraphicFramePr/>
                <a:graphic xmlns:a="http://schemas.openxmlformats.org/drawingml/2006/main">
                  <a:graphicData uri="http://schemas.microsoft.com/office/word/2010/wordprocessingShape">
                    <wps:wsp>
                      <wps:cNvSpPr/>
                      <wps:spPr>
                        <a:xfrm>
                          <a:off x="0" y="0"/>
                          <a:ext cx="686435" cy="569595"/>
                        </a:xfrm>
                        <a:prstGeom prst="line">
                          <a:avLst/>
                        </a:prstGeom>
                        <a:ln w="9525" cap="flat" cmpd="sng">
                          <a:solidFill>
                            <a:srgbClr val="FFFF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23.35pt;margin-top:285.4pt;height:44.85pt;width:54.05pt;z-index:251799552;mso-width-relative:page;mso-height-relative:page;" filled="f" stroked="t" coordsize="21600,21600" o:gfxdata="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X3RNn2gAAAAsBAAAPAAAAAAAAAAEAIAAAACIAAABk&#10;cnMvZG93bnJldi54bWxQSwECFAAUAAAACACHTuJAwr0odgQCAADwAwAADgAAAAAAAAABACAAAAAp&#10;AQAAZHJzL2Uyb0RvYy54bWxQSwUGAAAAAAYABgBZAQAAnwUAAAAA&#10;">
                <v:fill on="f" focussize="0,0"/>
                <v:stroke color="#FFFF00" joinstyle="round" endarrow="block"/>
                <v:imagedata o:title=""/>
                <o:lock v:ext="edit" aspectratio="f"/>
              </v:line>
            </w:pict>
          </mc:Fallback>
        </mc:AlternateContent>
      </w:r>
      <w:r>
        <w:rPr>
          <w:sz w:val="21"/>
        </w:rPr>
        <mc:AlternateContent>
          <mc:Choice Requires="wps">
            <w:drawing>
              <wp:anchor distT="0" distB="0" distL="114300" distR="114300" simplePos="0" relativeHeight="251810816" behindDoc="0" locked="0" layoutInCell="1" allowOverlap="1">
                <wp:simplePos x="0" y="0"/>
                <wp:positionH relativeFrom="column">
                  <wp:posOffset>2693035</wp:posOffset>
                </wp:positionH>
                <wp:positionV relativeFrom="paragraph">
                  <wp:posOffset>2092325</wp:posOffset>
                </wp:positionV>
                <wp:extent cx="1216660" cy="278765"/>
                <wp:effectExtent l="0" t="0" r="0" b="0"/>
                <wp:wrapNone/>
                <wp:docPr id="173" name="文本框 173"/>
                <wp:cNvGraphicFramePr/>
                <a:graphic xmlns:a="http://schemas.openxmlformats.org/drawingml/2006/main">
                  <a:graphicData uri="http://schemas.microsoft.com/office/word/2010/wordprocessingShape">
                    <wps:wsp>
                      <wps:cNvSpPr txBox="1"/>
                      <wps:spPr>
                        <a:xfrm>
                          <a:off x="0" y="0"/>
                          <a:ext cx="966470" cy="278765"/>
                        </a:xfrm>
                        <a:prstGeom prst="rect">
                          <a:avLst/>
                        </a:prstGeom>
                        <a:noFill/>
                        <a:ln w="6350">
                          <a:noFill/>
                        </a:ln>
                        <a:effectLst/>
                      </wps:spPr>
                      <wps:txbx>
                        <w:txbxContent>
                          <w:p w14:paraId="30E5EA24">
                            <w:pPr>
                              <w:rPr>
                                <w:rFonts w:hint="default" w:eastAsia="宋体"/>
                                <w:b/>
                                <w:bCs/>
                                <w:color w:val="FFFF00"/>
                                <w:lang w:val="en-US" w:eastAsia="zh-CN"/>
                              </w:rPr>
                            </w:pPr>
                            <w:r>
                              <w:rPr>
                                <w:rFonts w:hint="eastAsia"/>
                                <w:b/>
                                <w:bCs/>
                                <w:color w:val="FFFF00"/>
                                <w:lang w:val="en-US" w:eastAsia="zh-CN"/>
                              </w:rPr>
                              <w:t>2#车间 预留厂房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05pt;margin-top:164.75pt;height:21.95pt;width:95.8pt;z-index:251810816;mso-width-relative:page;mso-height-relative:page;" filled="f" stroked="f" coordsize="21600,21600" o:gfxdata="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P4YNzdAAAACwEAAA8AAAAAAAAAAQAg&#10;AAAAIgAAAGRycy9kb3ducmV2LnhtbFBLAQIUABQAAAAIAIdO4kBbudBkQgIAAHcEAAAOAAAAAAAA&#10;AAEAIAAAACwBAABkcnMvZTJvRG9jLnhtbFBLBQYAAAAABgAGAFkBAADgBQAAAAA=&#10;">
                <v:fill on="f" focussize="0,0"/>
                <v:stroke on="f" weight="0.5pt"/>
                <v:imagedata o:title=""/>
                <o:lock v:ext="edit" aspectratio="f"/>
                <v:textbox>
                  <w:txbxContent>
                    <w:p w14:paraId="30E5EA24">
                      <w:pPr>
                        <w:rPr>
                          <w:rFonts w:hint="default" w:eastAsia="宋体"/>
                          <w:b/>
                          <w:bCs/>
                          <w:color w:val="FFFF00"/>
                          <w:lang w:val="en-US" w:eastAsia="zh-CN"/>
                        </w:rPr>
                      </w:pPr>
                      <w:r>
                        <w:rPr>
                          <w:rFonts w:hint="eastAsia"/>
                          <w:b/>
                          <w:bCs/>
                          <w:color w:val="FFFF00"/>
                          <w:lang w:val="en-US" w:eastAsia="zh-CN"/>
                        </w:rPr>
                        <w:t>2#车间 预留厂房</w:t>
                      </w:r>
                    </w:p>
                  </w:txbxContent>
                </v:textbox>
              </v:shape>
            </w:pict>
          </mc:Fallback>
        </mc:AlternateContent>
      </w:r>
      <w:r>
        <w:rPr>
          <w:sz w:val="21"/>
        </w:rPr>
        <mc:AlternateContent>
          <mc:Choice Requires="wps">
            <w:drawing>
              <wp:anchor distT="0" distB="0" distL="114300" distR="114300" simplePos="0" relativeHeight="251809792" behindDoc="0" locked="0" layoutInCell="1" allowOverlap="1">
                <wp:simplePos x="0" y="0"/>
                <wp:positionH relativeFrom="column">
                  <wp:posOffset>217805</wp:posOffset>
                </wp:positionH>
                <wp:positionV relativeFrom="paragraph">
                  <wp:posOffset>5153660</wp:posOffset>
                </wp:positionV>
                <wp:extent cx="2849245" cy="286385"/>
                <wp:effectExtent l="0" t="0" r="0" b="0"/>
                <wp:wrapNone/>
                <wp:docPr id="182" name="文本框 182"/>
                <wp:cNvGraphicFramePr/>
                <a:graphic xmlns:a="http://schemas.openxmlformats.org/drawingml/2006/main">
                  <a:graphicData uri="http://schemas.microsoft.com/office/word/2010/wordprocessingShape">
                    <wps:wsp>
                      <wps:cNvSpPr txBox="1"/>
                      <wps:spPr>
                        <a:xfrm>
                          <a:off x="1639570" y="1651000"/>
                          <a:ext cx="1142365" cy="278765"/>
                        </a:xfrm>
                        <a:prstGeom prst="rect">
                          <a:avLst/>
                        </a:prstGeom>
                        <a:noFill/>
                        <a:ln w="6350">
                          <a:noFill/>
                        </a:ln>
                        <a:effectLst/>
                      </wps:spPr>
                      <wps:txbx>
                        <w:txbxContent>
                          <w:p w14:paraId="12CA62AE">
                            <w:pPr>
                              <w:rPr>
                                <w:rFonts w:hint="default" w:ascii="Times New Roman" w:hAnsi="Times New Roman" w:cs="Times New Roman"/>
                                <w:sz w:val="21"/>
                                <w:szCs w:val="21"/>
                                <w:lang w:val="en-US" w:eastAsia="zh-CN"/>
                              </w:rPr>
                            </w:pPr>
                            <w:r>
                              <w:rPr>
                                <w:rFonts w:hint="eastAsia" w:ascii="Times New Roman" w:hAnsi="Times New Roman" w:eastAsia="宋体" w:cs="Times New Roman"/>
                                <w:b w:val="0"/>
                                <w:bCs w:val="0"/>
                                <w:color w:val="000000"/>
                                <w:kern w:val="0"/>
                                <w:sz w:val="21"/>
                                <w:szCs w:val="21"/>
                                <w:lang w:val="en-US" w:eastAsia="zh-CN" w:bidi="ar"/>
                              </w:rPr>
                              <w:t>图中比例尺 1:12300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5pt;margin-top:405.8pt;height:22.55pt;width:224.35pt;z-index:251809792;mso-width-relative:page;mso-height-relative:page;" filled="f" stroked="f" coordsize="21600,21600" o:gfxdata="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yYlZNsAAAAKAQAADwAA&#10;AAAAAAABACAAAAAiAAAAZHJzL2Rvd25yZXYueG1sUEsBAhQAFAAAAAgAh07iQOdOfTtMAgAAhAQA&#10;AA4AAAAAAAAAAQAgAAAAKgEAAGRycy9lMm9Eb2MueG1sUEsFBgAAAAAGAAYAWQEAAOgFAAAAAA==&#10;">
                <v:fill on="f" focussize="0,0"/>
                <v:stroke on="f" weight="0.5pt"/>
                <v:imagedata o:title=""/>
                <o:lock v:ext="edit" aspectratio="f"/>
                <v:textbox>
                  <w:txbxContent>
                    <w:p w14:paraId="12CA62AE">
                      <w:pPr>
                        <w:rPr>
                          <w:rFonts w:hint="default" w:ascii="Times New Roman" w:hAnsi="Times New Roman" w:cs="Times New Roman"/>
                          <w:sz w:val="21"/>
                          <w:szCs w:val="21"/>
                          <w:lang w:val="en-US" w:eastAsia="zh-CN"/>
                        </w:rPr>
                      </w:pPr>
                      <w:r>
                        <w:rPr>
                          <w:rFonts w:hint="eastAsia" w:ascii="Times New Roman" w:hAnsi="Times New Roman" w:eastAsia="宋体" w:cs="Times New Roman"/>
                          <w:b w:val="0"/>
                          <w:bCs w:val="0"/>
                          <w:color w:val="000000"/>
                          <w:kern w:val="0"/>
                          <w:sz w:val="21"/>
                          <w:szCs w:val="21"/>
                          <w:lang w:val="en-US" w:eastAsia="zh-CN" w:bidi="ar"/>
                        </w:rPr>
                        <w:t>图中比例尺 1:12300</w:t>
                      </w:r>
                    </w:p>
                  </w:txbxContent>
                </v:textbox>
              </v:shape>
            </w:pict>
          </mc:Fallback>
        </mc:AlternateContent>
      </w:r>
      <w:r>
        <w:rPr>
          <w:sz w:val="21"/>
        </w:rPr>
        <mc:AlternateContent>
          <mc:Choice Requires="wps">
            <w:drawing>
              <wp:anchor distT="0" distB="0" distL="114300" distR="114300" simplePos="0" relativeHeight="251798528" behindDoc="0" locked="0" layoutInCell="1" allowOverlap="1">
                <wp:simplePos x="0" y="0"/>
                <wp:positionH relativeFrom="column">
                  <wp:posOffset>4137025</wp:posOffset>
                </wp:positionH>
                <wp:positionV relativeFrom="paragraph">
                  <wp:posOffset>1987550</wp:posOffset>
                </wp:positionV>
                <wp:extent cx="2773680" cy="3460750"/>
                <wp:effectExtent l="4445" t="4445" r="22225" b="20955"/>
                <wp:wrapNone/>
                <wp:docPr id="196" name="任意多边形 196"/>
                <wp:cNvGraphicFramePr/>
                <a:graphic xmlns:a="http://schemas.openxmlformats.org/drawingml/2006/main">
                  <a:graphicData uri="http://schemas.microsoft.com/office/word/2010/wordprocessingShape">
                    <wps:wsp>
                      <wps:cNvSpPr/>
                      <wps:spPr>
                        <a:xfrm>
                          <a:off x="0" y="0"/>
                          <a:ext cx="2773680" cy="3460750"/>
                        </a:xfrm>
                        <a:custGeom>
                          <a:avLst/>
                          <a:gdLst/>
                          <a:ahLst/>
                          <a:cxnLst/>
                          <a:pathLst>
                            <a:path w="4404" h="5427">
                              <a:moveTo>
                                <a:pt x="0" y="5059"/>
                              </a:moveTo>
                              <a:lnTo>
                                <a:pt x="436" y="5263"/>
                              </a:lnTo>
                              <a:lnTo>
                                <a:pt x="736" y="5072"/>
                              </a:lnTo>
                              <a:lnTo>
                                <a:pt x="1350" y="5331"/>
                              </a:lnTo>
                              <a:lnTo>
                                <a:pt x="1664" y="5427"/>
                              </a:lnTo>
                              <a:lnTo>
                                <a:pt x="2059" y="5113"/>
                              </a:lnTo>
                              <a:lnTo>
                                <a:pt x="2591" y="4800"/>
                              </a:lnTo>
                              <a:lnTo>
                                <a:pt x="2768" y="4881"/>
                              </a:lnTo>
                              <a:lnTo>
                                <a:pt x="2932" y="4622"/>
                              </a:lnTo>
                              <a:lnTo>
                                <a:pt x="2768" y="4513"/>
                              </a:lnTo>
                              <a:lnTo>
                                <a:pt x="3273" y="3763"/>
                              </a:lnTo>
                              <a:lnTo>
                                <a:pt x="3832" y="4050"/>
                              </a:lnTo>
                              <a:lnTo>
                                <a:pt x="4091" y="3750"/>
                              </a:lnTo>
                              <a:lnTo>
                                <a:pt x="3245" y="3163"/>
                              </a:lnTo>
                              <a:lnTo>
                                <a:pt x="3532" y="2631"/>
                              </a:lnTo>
                              <a:lnTo>
                                <a:pt x="3764" y="2686"/>
                              </a:lnTo>
                              <a:lnTo>
                                <a:pt x="4091" y="2018"/>
                              </a:lnTo>
                              <a:lnTo>
                                <a:pt x="3477" y="1527"/>
                              </a:lnTo>
                              <a:lnTo>
                                <a:pt x="3859" y="804"/>
                              </a:lnTo>
                              <a:lnTo>
                                <a:pt x="4350" y="1050"/>
                              </a:lnTo>
                              <a:lnTo>
                                <a:pt x="4404" y="804"/>
                              </a:lnTo>
                              <a:lnTo>
                                <a:pt x="3314" y="0"/>
                              </a:lnTo>
                              <a:lnTo>
                                <a:pt x="2659" y="572"/>
                              </a:lnTo>
                              <a:lnTo>
                                <a:pt x="2659" y="1009"/>
                              </a:lnTo>
                              <a:lnTo>
                                <a:pt x="2373" y="1472"/>
                              </a:lnTo>
                              <a:lnTo>
                                <a:pt x="2100" y="1854"/>
                              </a:lnTo>
                              <a:lnTo>
                                <a:pt x="1895" y="1745"/>
                              </a:lnTo>
                              <a:lnTo>
                                <a:pt x="1814" y="1922"/>
                              </a:lnTo>
                              <a:lnTo>
                                <a:pt x="1950" y="2113"/>
                              </a:lnTo>
                              <a:lnTo>
                                <a:pt x="1200" y="3300"/>
                              </a:lnTo>
                              <a:lnTo>
                                <a:pt x="0" y="5059"/>
                              </a:lnTo>
                              <a:close/>
                            </a:path>
                          </a:pathLst>
                        </a:custGeom>
                        <a:noFill/>
                        <a:ln w="9525" cap="flat" cmpd="sng">
                          <a:solidFill>
                            <a:srgbClr val="FFFF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325.75pt;margin-top:156.5pt;height:272.5pt;width:218.4pt;z-index:251798528;mso-width-relative:page;mso-height-relative:page;" filled="f" stroked="t" coordsize="4404,5427" o:gfxdata="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&#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" path="m0,5059l436,5263,736,5072,1350,5331,1664,5427,2059,5113,2591,4800,2768,4881,2932,4622,2768,4513,3273,3763,3832,4050,4091,3750,3245,3163,3532,2631,3764,2686,4091,2018,3477,1527,3859,804,4350,1050,4404,804,3314,0,2659,572,2659,1009,2373,1472,2100,1854,1895,1745,1814,1922,1950,2113,1200,3300,0,5059xe">
                <v:fill on="f" focussize="0,0"/>
                <v:stroke color="#FFFF00" joinstyle="round"/>
                <v:imagedata o:title=""/>
                <o:lock v:ext="edit" aspectratio="f"/>
              </v:shape>
            </w:pict>
          </mc:Fallback>
        </mc:AlternateContent>
      </w:r>
      <w:r>
        <w:drawing>
          <wp:anchor distT="0" distB="0" distL="114300" distR="114300" simplePos="0" relativeHeight="251787264" behindDoc="0" locked="0" layoutInCell="1" allowOverlap="1">
            <wp:simplePos x="0" y="0"/>
            <wp:positionH relativeFrom="column">
              <wp:posOffset>7713980</wp:posOffset>
            </wp:positionH>
            <wp:positionV relativeFrom="paragraph">
              <wp:posOffset>-8255</wp:posOffset>
            </wp:positionV>
            <wp:extent cx="923925" cy="838200"/>
            <wp:effectExtent l="0" t="0" r="9525" b="0"/>
            <wp:wrapNone/>
            <wp:docPr id="17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5"/>
                    <pic:cNvPicPr>
                      <a:picLocks noChangeAspect="1"/>
                    </pic:cNvPicPr>
                  </pic:nvPicPr>
                  <pic:blipFill>
                    <a:blip r:embed="rId54"/>
                    <a:stretch>
                      <a:fillRect/>
                    </a:stretch>
                  </pic:blipFill>
                  <pic:spPr>
                    <a:xfrm>
                      <a:off x="0" y="0"/>
                      <a:ext cx="923925" cy="838200"/>
                    </a:xfrm>
                    <a:prstGeom prst="rect">
                      <a:avLst/>
                    </a:prstGeom>
                    <a:noFill/>
                    <a:ln>
                      <a:noFill/>
                    </a:ln>
                  </pic:spPr>
                </pic:pic>
              </a:graphicData>
            </a:graphic>
          </wp:anchor>
        </w:drawing>
      </w:r>
      <w:r>
        <w:rPr>
          <w:sz w:val="21"/>
        </w:rPr>
        <mc:AlternateContent>
          <mc:Choice Requires="wps">
            <w:drawing>
              <wp:anchor distT="0" distB="0" distL="114300" distR="114300" simplePos="0" relativeHeight="251790336" behindDoc="0" locked="0" layoutInCell="1" allowOverlap="1">
                <wp:simplePos x="0" y="0"/>
                <wp:positionH relativeFrom="column">
                  <wp:posOffset>238125</wp:posOffset>
                </wp:positionH>
                <wp:positionV relativeFrom="paragraph">
                  <wp:posOffset>3878580</wp:posOffset>
                </wp:positionV>
                <wp:extent cx="2418715" cy="1586230"/>
                <wp:effectExtent l="0" t="0" r="635" b="13970"/>
                <wp:wrapNone/>
                <wp:docPr id="187" name="矩形 187"/>
                <wp:cNvGraphicFramePr/>
                <a:graphic xmlns:a="http://schemas.openxmlformats.org/drawingml/2006/main">
                  <a:graphicData uri="http://schemas.microsoft.com/office/word/2010/wordprocessingShape">
                    <wps:wsp>
                      <wps:cNvSpPr/>
                      <wps:spPr>
                        <a:xfrm>
                          <a:off x="1016635" y="4786630"/>
                          <a:ext cx="1765935" cy="1732915"/>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75pt;margin-top:305.4pt;height:124.9pt;width:190.45pt;z-index:251790336;v-text-anchor:middle;mso-width-relative:page;mso-height-relative:page;" fillcolor="#FFFFFF" filled="t" stroked="f" coordsize="21600,21600" o:gfxdata="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e2d99oAAAAKAQAADwAAAAAAAAABACAA&#10;AAAiAAAAZHJzL2Rvd25yZXYueG1sUEsBAhQAFAAAAAgAh07iQEP7RCJ9AgAA6gQAAA4AAAAAAAAA&#10;AQAgAAAAKQEAAGRycy9lMm9Eb2MueG1sUEsFBgAAAAAGAAYAWQEAABg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791360" behindDoc="0" locked="0" layoutInCell="1" allowOverlap="1">
                <wp:simplePos x="0" y="0"/>
                <wp:positionH relativeFrom="column">
                  <wp:posOffset>307340</wp:posOffset>
                </wp:positionH>
                <wp:positionV relativeFrom="paragraph">
                  <wp:posOffset>3996690</wp:posOffset>
                </wp:positionV>
                <wp:extent cx="483870" cy="175895"/>
                <wp:effectExtent l="6350" t="6350" r="24130" b="8255"/>
                <wp:wrapNone/>
                <wp:docPr id="176" name="矩形 176"/>
                <wp:cNvGraphicFramePr/>
                <a:graphic xmlns:a="http://schemas.openxmlformats.org/drawingml/2006/main">
                  <a:graphicData uri="http://schemas.microsoft.com/office/word/2010/wordprocessingShape">
                    <wps:wsp>
                      <wps:cNvSpPr/>
                      <wps:spPr>
                        <a:xfrm>
                          <a:off x="1141095" y="4896485"/>
                          <a:ext cx="483870" cy="17589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2pt;margin-top:314.7pt;height:13.85pt;width:38.1pt;z-index:251791360;v-text-anchor:middle;mso-width-relative:page;mso-height-relative:page;" filled="f" stroked="t" coordsize="21600,21600" o:gfxdata="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IVNrUbXAAAACgEAAA8AAAAAAAAAAQAgAAAA&#10;IgAAAGRycy9kb3ducmV2LnhtbFBLAQIUABQAAAAIAIdO4kAPpavYfgIAAOgEAAAOAAAAAAAAAAEA&#10;IAAAACYBAABkcnMvZTJvRG9jLnhtbFBLBQYAAAAABgAGAFkBAAAWBgAAAAA=&#10;">
                <v:fill on="f" focussize="0,0"/>
                <v:stroke weight="1pt" color="#FF0000" miterlimit="8" joinstyle="miter"/>
                <v:imagedata o:title=""/>
                <o:lock v:ext="edit" aspectratio="f"/>
              </v:rect>
            </w:pict>
          </mc:Fallback>
        </mc:AlternateContent>
      </w:r>
      <w:r>
        <w:rPr>
          <w:sz w:val="21"/>
        </w:rPr>
        <mc:AlternateContent>
          <mc:Choice Requires="wps">
            <w:drawing>
              <wp:anchor distT="0" distB="0" distL="114300" distR="114300" simplePos="0" relativeHeight="251793408" behindDoc="0" locked="0" layoutInCell="1" allowOverlap="1">
                <wp:simplePos x="0" y="0"/>
                <wp:positionH relativeFrom="column">
                  <wp:posOffset>298450</wp:posOffset>
                </wp:positionH>
                <wp:positionV relativeFrom="paragraph">
                  <wp:posOffset>4274185</wp:posOffset>
                </wp:positionV>
                <wp:extent cx="483870" cy="175895"/>
                <wp:effectExtent l="6350" t="6350" r="24130" b="8255"/>
                <wp:wrapNone/>
                <wp:docPr id="189" name="矩形 189"/>
                <wp:cNvGraphicFramePr/>
                <a:graphic xmlns:a="http://schemas.openxmlformats.org/drawingml/2006/main">
                  <a:graphicData uri="http://schemas.microsoft.com/office/word/2010/wordprocessingShape">
                    <wps:wsp>
                      <wps:cNvSpPr/>
                      <wps:spPr>
                        <a:xfrm>
                          <a:off x="0" y="0"/>
                          <a:ext cx="483870" cy="175895"/>
                        </a:xfrm>
                        <a:prstGeom prst="rect">
                          <a:avLst/>
                        </a:prstGeom>
                        <a:noFill/>
                        <a:ln w="12700" cap="flat" cmpd="sng">
                          <a:solidFill>
                            <a:srgbClr val="00B0F0"/>
                          </a:solidFill>
                          <a:prstDash val="solid"/>
                          <a:miter/>
                          <a:headEnd type="none" w="med" len="med"/>
                          <a:tailEnd type="none" w="med" len="med"/>
                        </a:ln>
                      </wps:spPr>
                      <wps:bodyPr anchor="ctr" anchorCtr="0" upright="1"/>
                    </wps:wsp>
                  </a:graphicData>
                </a:graphic>
              </wp:anchor>
            </w:drawing>
          </mc:Choice>
          <mc:Fallback>
            <w:pict>
              <v:rect id="_x0000_s1026" o:spid="_x0000_s1026" o:spt="1" style="position:absolute;left:0pt;margin-left:23.5pt;margin-top:336.55pt;height:13.85pt;width:38.1pt;z-index:251793408;v-text-anchor:middle;mso-width-relative:page;mso-height-relative:page;" filled="f" stroked="t" coordsize="21600,21600" o:gfxdata="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8uE09cAAAAKAQAADwAAAAAAAAABACAAAAAiAAAA&#10;ZHJzL2Rvd25yZXYueG1sUEsBAhQAFAAAAAgAh07iQNVvLFUIAgAAFAQAAA4AAAAAAAAAAQAgAAAA&#10;JgEAAGRycy9lMm9Eb2MueG1sUEsFBgAAAAAGAAYAWQEAAKAFAAAAAA==&#10;">
                <v:fill on="f" focussize="0,0"/>
                <v:stroke weight="1pt" color="#00B0F0" joinstyle="miter"/>
                <v:imagedata o:title=""/>
                <o:lock v:ext="edit" aspectratio="f"/>
              </v:rect>
            </w:pict>
          </mc:Fallback>
        </mc:AlternateContent>
      </w:r>
      <w:r>
        <w:rPr>
          <w:sz w:val="21"/>
        </w:rPr>
        <mc:AlternateContent>
          <mc:Choice Requires="wps">
            <w:drawing>
              <wp:anchor distT="0" distB="0" distL="114300" distR="114300" simplePos="0" relativeHeight="251796480" behindDoc="0" locked="0" layoutInCell="1" allowOverlap="1">
                <wp:simplePos x="0" y="0"/>
                <wp:positionH relativeFrom="column">
                  <wp:posOffset>4143375</wp:posOffset>
                </wp:positionH>
                <wp:positionV relativeFrom="paragraph">
                  <wp:posOffset>1537335</wp:posOffset>
                </wp:positionV>
                <wp:extent cx="447040" cy="1992630"/>
                <wp:effectExtent l="0" t="0" r="0" b="0"/>
                <wp:wrapNone/>
                <wp:docPr id="183" name="文本框 183"/>
                <wp:cNvGraphicFramePr/>
                <a:graphic xmlns:a="http://schemas.openxmlformats.org/drawingml/2006/main">
                  <a:graphicData uri="http://schemas.microsoft.com/office/word/2010/wordprocessingShape">
                    <wps:wsp>
                      <wps:cNvSpPr txBox="1"/>
                      <wps:spPr>
                        <a:xfrm>
                          <a:off x="0" y="0"/>
                          <a:ext cx="966470" cy="278765"/>
                        </a:xfrm>
                        <a:prstGeom prst="rect">
                          <a:avLst/>
                        </a:prstGeom>
                        <a:noFill/>
                        <a:ln w="6350">
                          <a:noFill/>
                        </a:ln>
                        <a:effectLst/>
                      </wps:spPr>
                      <wps:txbx>
                        <w:txbxContent>
                          <w:p w14:paraId="2E280160">
                            <w:pPr>
                              <w:rPr>
                                <w:rFonts w:hint="eastAsia"/>
                                <w:color w:val="000000"/>
                                <w:highlight w:val="lightGray"/>
                                <w:lang w:val="en-US" w:eastAsia="zh-CN"/>
                              </w:rPr>
                            </w:pPr>
                          </w:p>
                          <w:p w14:paraId="3A1A8C4C">
                            <w:pPr>
                              <w:rPr>
                                <w:rFonts w:hint="eastAsia"/>
                                <w:b/>
                                <w:bCs/>
                                <w:color w:val="FFFF00"/>
                                <w:sz w:val="24"/>
                                <w:szCs w:val="24"/>
                                <w:highlight w:val="none"/>
                                <w:lang w:val="en-US" w:eastAsia="zh-CN"/>
                              </w:rPr>
                            </w:pPr>
                            <w:r>
                              <w:rPr>
                                <w:rFonts w:hint="eastAsia"/>
                                <w:b/>
                                <w:bCs/>
                                <w:color w:val="FFFF00"/>
                                <w:sz w:val="24"/>
                                <w:szCs w:val="24"/>
                                <w:highlight w:val="none"/>
                                <w:lang w:val="en-US" w:eastAsia="zh-CN"/>
                              </w:rPr>
                              <w:t>新</w:t>
                            </w:r>
                          </w:p>
                          <w:p w14:paraId="04457163">
                            <w:pPr>
                              <w:rPr>
                                <w:rFonts w:hint="eastAsia"/>
                                <w:b/>
                                <w:bCs/>
                                <w:color w:val="FFFF00"/>
                                <w:sz w:val="24"/>
                                <w:szCs w:val="24"/>
                                <w:highlight w:val="none"/>
                                <w:lang w:val="en-US" w:eastAsia="zh-CN"/>
                              </w:rPr>
                            </w:pPr>
                          </w:p>
                          <w:p w14:paraId="6B343B26">
                            <w:pPr>
                              <w:rPr>
                                <w:rFonts w:hint="eastAsia"/>
                                <w:b/>
                                <w:bCs/>
                                <w:color w:val="FFFF00"/>
                                <w:sz w:val="24"/>
                                <w:szCs w:val="24"/>
                                <w:highlight w:val="none"/>
                                <w:lang w:val="en-US" w:eastAsia="zh-CN"/>
                              </w:rPr>
                            </w:pPr>
                            <w:r>
                              <w:rPr>
                                <w:rFonts w:hint="eastAsia"/>
                                <w:b/>
                                <w:bCs/>
                                <w:color w:val="FFFF00"/>
                                <w:sz w:val="24"/>
                                <w:szCs w:val="24"/>
                                <w:highlight w:val="none"/>
                                <w:lang w:val="en-US" w:eastAsia="zh-CN"/>
                              </w:rPr>
                              <w:t>中</w:t>
                            </w:r>
                          </w:p>
                          <w:p w14:paraId="5A484F16">
                            <w:pPr>
                              <w:rPr>
                                <w:rFonts w:hint="eastAsia"/>
                                <w:b/>
                                <w:bCs/>
                                <w:color w:val="FFFF00"/>
                                <w:sz w:val="24"/>
                                <w:szCs w:val="24"/>
                                <w:highlight w:val="none"/>
                                <w:lang w:val="en-US" w:eastAsia="zh-CN"/>
                              </w:rPr>
                            </w:pPr>
                          </w:p>
                          <w:p w14:paraId="4750EF77">
                            <w:pPr>
                              <w:rPr>
                                <w:rFonts w:hint="eastAsia"/>
                                <w:b/>
                                <w:bCs/>
                                <w:color w:val="FFFF00"/>
                                <w:sz w:val="24"/>
                                <w:szCs w:val="24"/>
                                <w:highlight w:val="none"/>
                                <w:lang w:val="en-US" w:eastAsia="zh-CN"/>
                              </w:rPr>
                            </w:pPr>
                            <w:r>
                              <w:rPr>
                                <w:rFonts w:hint="eastAsia"/>
                                <w:b/>
                                <w:bCs/>
                                <w:color w:val="FFFF00"/>
                                <w:sz w:val="24"/>
                                <w:szCs w:val="24"/>
                                <w:highlight w:val="none"/>
                                <w:lang w:val="en-US" w:eastAsia="zh-CN"/>
                              </w:rPr>
                              <w:t>大</w:t>
                            </w:r>
                          </w:p>
                          <w:p w14:paraId="61AF8246">
                            <w:pPr>
                              <w:rPr>
                                <w:rFonts w:hint="eastAsia"/>
                                <w:b/>
                                <w:bCs/>
                                <w:color w:val="FFFF00"/>
                                <w:sz w:val="24"/>
                                <w:szCs w:val="24"/>
                                <w:highlight w:val="none"/>
                                <w:lang w:val="en-US" w:eastAsia="zh-CN"/>
                              </w:rPr>
                            </w:pPr>
                          </w:p>
                          <w:p w14:paraId="1B934209">
                            <w:pPr>
                              <w:rPr>
                                <w:rFonts w:hint="default" w:eastAsia="宋体"/>
                                <w:b/>
                                <w:bCs/>
                                <w:color w:val="FFFF00"/>
                                <w:sz w:val="24"/>
                                <w:szCs w:val="24"/>
                                <w:highlight w:val="none"/>
                                <w:lang w:val="en-US" w:eastAsia="zh-CN"/>
                              </w:rPr>
                            </w:pPr>
                            <w:r>
                              <w:rPr>
                                <w:rFonts w:hint="eastAsia"/>
                                <w:b/>
                                <w:bCs/>
                                <w:color w:val="FFFF00"/>
                                <w:sz w:val="24"/>
                                <w:szCs w:val="24"/>
                                <w:highlight w:val="none"/>
                                <w:lang w:val="en-US" w:eastAsia="zh-CN"/>
                              </w:rPr>
                              <w:t>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6.25pt;margin-top:121.05pt;height:156.9pt;width:35.2pt;z-index:251796480;mso-width-relative:page;mso-height-relative:page;" filled="f" stroked="f" coordsize="21600,21600" o:gfxdata="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iQZT89wAAAALAQAADwAAAAAAAAABACAA&#10;AAAiAAAAZHJzL2Rvd25yZXYueG1sUEsBAhQAFAAAAAgAh07iQHIayDtCAgAAdwQAAA4AAAAAAAAA&#10;AQAgAAAAKwEAAGRycy9lMm9Eb2MueG1sUEsFBgAAAAAGAAYAWQEAAN8FAAAAAA==&#10;">
                <v:fill on="f" focussize="0,0"/>
                <v:stroke on="f" weight="0.5pt"/>
                <v:imagedata o:title=""/>
                <o:lock v:ext="edit" aspectratio="f"/>
                <v:textbox>
                  <w:txbxContent>
                    <w:p w14:paraId="2E280160">
                      <w:pPr>
                        <w:rPr>
                          <w:rFonts w:hint="eastAsia"/>
                          <w:color w:val="000000"/>
                          <w:highlight w:val="lightGray"/>
                          <w:lang w:val="en-US" w:eastAsia="zh-CN"/>
                        </w:rPr>
                      </w:pPr>
                    </w:p>
                    <w:p w14:paraId="3A1A8C4C">
                      <w:pPr>
                        <w:rPr>
                          <w:rFonts w:hint="eastAsia"/>
                          <w:b/>
                          <w:bCs/>
                          <w:color w:val="FFFF00"/>
                          <w:sz w:val="24"/>
                          <w:szCs w:val="24"/>
                          <w:highlight w:val="none"/>
                          <w:lang w:val="en-US" w:eastAsia="zh-CN"/>
                        </w:rPr>
                      </w:pPr>
                      <w:r>
                        <w:rPr>
                          <w:rFonts w:hint="eastAsia"/>
                          <w:b/>
                          <w:bCs/>
                          <w:color w:val="FFFF00"/>
                          <w:sz w:val="24"/>
                          <w:szCs w:val="24"/>
                          <w:highlight w:val="none"/>
                          <w:lang w:val="en-US" w:eastAsia="zh-CN"/>
                        </w:rPr>
                        <w:t>新</w:t>
                      </w:r>
                    </w:p>
                    <w:p w14:paraId="04457163">
                      <w:pPr>
                        <w:rPr>
                          <w:rFonts w:hint="eastAsia"/>
                          <w:b/>
                          <w:bCs/>
                          <w:color w:val="FFFF00"/>
                          <w:sz w:val="24"/>
                          <w:szCs w:val="24"/>
                          <w:highlight w:val="none"/>
                          <w:lang w:val="en-US" w:eastAsia="zh-CN"/>
                        </w:rPr>
                      </w:pPr>
                    </w:p>
                    <w:p w14:paraId="6B343B26">
                      <w:pPr>
                        <w:rPr>
                          <w:rFonts w:hint="eastAsia"/>
                          <w:b/>
                          <w:bCs/>
                          <w:color w:val="FFFF00"/>
                          <w:sz w:val="24"/>
                          <w:szCs w:val="24"/>
                          <w:highlight w:val="none"/>
                          <w:lang w:val="en-US" w:eastAsia="zh-CN"/>
                        </w:rPr>
                      </w:pPr>
                      <w:r>
                        <w:rPr>
                          <w:rFonts w:hint="eastAsia"/>
                          <w:b/>
                          <w:bCs/>
                          <w:color w:val="FFFF00"/>
                          <w:sz w:val="24"/>
                          <w:szCs w:val="24"/>
                          <w:highlight w:val="none"/>
                          <w:lang w:val="en-US" w:eastAsia="zh-CN"/>
                        </w:rPr>
                        <w:t>中</w:t>
                      </w:r>
                    </w:p>
                    <w:p w14:paraId="5A484F16">
                      <w:pPr>
                        <w:rPr>
                          <w:rFonts w:hint="eastAsia"/>
                          <w:b/>
                          <w:bCs/>
                          <w:color w:val="FFFF00"/>
                          <w:sz w:val="24"/>
                          <w:szCs w:val="24"/>
                          <w:highlight w:val="none"/>
                          <w:lang w:val="en-US" w:eastAsia="zh-CN"/>
                        </w:rPr>
                      </w:pPr>
                    </w:p>
                    <w:p w14:paraId="4750EF77">
                      <w:pPr>
                        <w:rPr>
                          <w:rFonts w:hint="eastAsia"/>
                          <w:b/>
                          <w:bCs/>
                          <w:color w:val="FFFF00"/>
                          <w:sz w:val="24"/>
                          <w:szCs w:val="24"/>
                          <w:highlight w:val="none"/>
                          <w:lang w:val="en-US" w:eastAsia="zh-CN"/>
                        </w:rPr>
                      </w:pPr>
                      <w:r>
                        <w:rPr>
                          <w:rFonts w:hint="eastAsia"/>
                          <w:b/>
                          <w:bCs/>
                          <w:color w:val="FFFF00"/>
                          <w:sz w:val="24"/>
                          <w:szCs w:val="24"/>
                          <w:highlight w:val="none"/>
                          <w:lang w:val="en-US" w:eastAsia="zh-CN"/>
                        </w:rPr>
                        <w:t>大</w:t>
                      </w:r>
                    </w:p>
                    <w:p w14:paraId="61AF8246">
                      <w:pPr>
                        <w:rPr>
                          <w:rFonts w:hint="eastAsia"/>
                          <w:b/>
                          <w:bCs/>
                          <w:color w:val="FFFF00"/>
                          <w:sz w:val="24"/>
                          <w:szCs w:val="24"/>
                          <w:highlight w:val="none"/>
                          <w:lang w:val="en-US" w:eastAsia="zh-CN"/>
                        </w:rPr>
                      </w:pPr>
                    </w:p>
                    <w:p w14:paraId="1B934209">
                      <w:pPr>
                        <w:rPr>
                          <w:rFonts w:hint="default" w:eastAsia="宋体"/>
                          <w:b/>
                          <w:bCs/>
                          <w:color w:val="FFFF00"/>
                          <w:sz w:val="24"/>
                          <w:szCs w:val="24"/>
                          <w:highlight w:val="none"/>
                          <w:lang w:val="en-US" w:eastAsia="zh-CN"/>
                        </w:rPr>
                      </w:pPr>
                      <w:r>
                        <w:rPr>
                          <w:rFonts w:hint="eastAsia"/>
                          <w:b/>
                          <w:bCs/>
                          <w:color w:val="FFFF00"/>
                          <w:sz w:val="24"/>
                          <w:szCs w:val="24"/>
                          <w:highlight w:val="none"/>
                          <w:lang w:val="en-US" w:eastAsia="zh-CN"/>
                        </w:rPr>
                        <w:t>道</w:t>
                      </w:r>
                    </w:p>
                  </w:txbxContent>
                </v:textbox>
              </v:shape>
            </w:pict>
          </mc:Fallback>
        </mc:AlternateContent>
      </w:r>
      <w:r>
        <w:rPr>
          <w:sz w:val="21"/>
        </w:rPr>
        <mc:AlternateContent>
          <mc:Choice Requires="wps">
            <w:drawing>
              <wp:anchor distT="0" distB="0" distL="114300" distR="114300" simplePos="0" relativeHeight="251808768" behindDoc="0" locked="0" layoutInCell="1" allowOverlap="1">
                <wp:simplePos x="0" y="0"/>
                <wp:positionH relativeFrom="column">
                  <wp:posOffset>196215</wp:posOffset>
                </wp:positionH>
                <wp:positionV relativeFrom="paragraph">
                  <wp:posOffset>4810760</wp:posOffset>
                </wp:positionV>
                <wp:extent cx="2849245" cy="286385"/>
                <wp:effectExtent l="0" t="0" r="0" b="0"/>
                <wp:wrapNone/>
                <wp:docPr id="177" name="文本框 177"/>
                <wp:cNvGraphicFramePr/>
                <a:graphic xmlns:a="http://schemas.openxmlformats.org/drawingml/2006/main">
                  <a:graphicData uri="http://schemas.microsoft.com/office/word/2010/wordprocessingShape">
                    <wps:wsp>
                      <wps:cNvSpPr txBox="1"/>
                      <wps:spPr>
                        <a:xfrm>
                          <a:off x="1639570" y="1651000"/>
                          <a:ext cx="1142365" cy="278765"/>
                        </a:xfrm>
                        <a:prstGeom prst="rect">
                          <a:avLst/>
                        </a:prstGeom>
                        <a:noFill/>
                        <a:ln w="6350">
                          <a:noFill/>
                        </a:ln>
                        <a:effectLst/>
                      </wps:spPr>
                      <wps:txbx>
                        <w:txbxContent>
                          <w:p w14:paraId="1B8D09F7">
                            <w:pPr>
                              <w:rPr>
                                <w:rFonts w:hint="default" w:ascii="Times New Roman" w:hAnsi="Times New Roman" w:cs="Times New Roman"/>
                                <w:sz w:val="24"/>
                                <w:szCs w:val="24"/>
                                <w:lang w:val="en-US" w:eastAsia="zh-CN"/>
                              </w:rPr>
                            </w:pPr>
                            <w:r>
                              <w:rPr>
                                <w:rFonts w:hint="default" w:ascii="Times New Roman" w:hAnsi="Times New Roman" w:eastAsia="宋体" w:cs="Times New Roman"/>
                                <w:b w:val="0"/>
                                <w:bCs w:val="0"/>
                                <w:color w:val="000000"/>
                                <w:kern w:val="0"/>
                                <w:sz w:val="24"/>
                                <w:szCs w:val="24"/>
                                <w:lang w:val="en-US" w:eastAsia="zh-CN" w:bidi="ar"/>
                              </w:rPr>
                              <w:t>②</w:t>
                            </w:r>
                            <w:r>
                              <w:rPr>
                                <w:rFonts w:hint="default" w:ascii="Times New Roman" w:hAnsi="Times New Roman" w:eastAsia="宋体" w:cs="Times New Roman"/>
                                <w:b/>
                                <w:bCs/>
                                <w:color w:val="000000"/>
                                <w:kern w:val="0"/>
                                <w:sz w:val="24"/>
                                <w:szCs w:val="24"/>
                                <w:lang w:val="en-US" w:eastAsia="zh-CN" w:bidi="ar"/>
                              </w:rPr>
                              <w:t xml:space="preserve"> </w:t>
                            </w:r>
                            <w:r>
                              <w:rPr>
                                <w:rFonts w:hint="default" w:ascii="Times New Roman" w:hAnsi="Times New Roman" w:eastAsia="宋体" w:cs="Times New Roman"/>
                                <w:b w:val="0"/>
                                <w:bCs w:val="0"/>
                                <w:color w:val="000000"/>
                                <w:kern w:val="0"/>
                                <w:sz w:val="21"/>
                                <w:szCs w:val="21"/>
                                <w:lang w:val="en-US" w:eastAsia="zh-CN" w:bidi="ar"/>
                              </w:rPr>
                              <w:t>新乡市富益精密机械有限公司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45pt;margin-top:378.8pt;height:22.55pt;width:224.35pt;z-index:251808768;mso-width-relative:page;mso-height-relative:page;" filled="f" stroked="f" coordsize="21600,21600" o:gfxdata="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MErN03AAAAAoBAAAP&#10;AAAAAAAAAAEAIAAAACIAAABkcnMvZG93bnJldi54bWxQSwECFAAUAAAACACHTuJA70J3xk0CAACE&#10;BAAADgAAAAAAAAABACAAAAArAQAAZHJzL2Uyb0RvYy54bWxQSwUGAAAAAAYABgBZAQAA6gUAAAAA&#10;">
                <v:fill on="f" focussize="0,0"/>
                <v:stroke on="f" weight="0.5pt"/>
                <v:imagedata o:title=""/>
                <o:lock v:ext="edit" aspectratio="f"/>
                <v:textbox>
                  <w:txbxContent>
                    <w:p w14:paraId="1B8D09F7">
                      <w:pPr>
                        <w:rPr>
                          <w:rFonts w:hint="default" w:ascii="Times New Roman" w:hAnsi="Times New Roman" w:cs="Times New Roman"/>
                          <w:sz w:val="24"/>
                          <w:szCs w:val="24"/>
                          <w:lang w:val="en-US" w:eastAsia="zh-CN"/>
                        </w:rPr>
                      </w:pPr>
                      <w:r>
                        <w:rPr>
                          <w:rFonts w:hint="default" w:ascii="Times New Roman" w:hAnsi="Times New Roman" w:eastAsia="宋体" w:cs="Times New Roman"/>
                          <w:b w:val="0"/>
                          <w:bCs w:val="0"/>
                          <w:color w:val="000000"/>
                          <w:kern w:val="0"/>
                          <w:sz w:val="24"/>
                          <w:szCs w:val="24"/>
                          <w:lang w:val="en-US" w:eastAsia="zh-CN" w:bidi="ar"/>
                        </w:rPr>
                        <w:t>②</w:t>
                      </w:r>
                      <w:r>
                        <w:rPr>
                          <w:rFonts w:hint="default" w:ascii="Times New Roman" w:hAnsi="Times New Roman" w:eastAsia="宋体" w:cs="Times New Roman"/>
                          <w:b/>
                          <w:bCs/>
                          <w:color w:val="000000"/>
                          <w:kern w:val="0"/>
                          <w:sz w:val="24"/>
                          <w:szCs w:val="24"/>
                          <w:lang w:val="en-US" w:eastAsia="zh-CN" w:bidi="ar"/>
                        </w:rPr>
                        <w:t xml:space="preserve"> </w:t>
                      </w:r>
                      <w:r>
                        <w:rPr>
                          <w:rFonts w:hint="default" w:ascii="Times New Roman" w:hAnsi="Times New Roman" w:eastAsia="宋体" w:cs="Times New Roman"/>
                          <w:b w:val="0"/>
                          <w:bCs w:val="0"/>
                          <w:color w:val="000000"/>
                          <w:kern w:val="0"/>
                          <w:sz w:val="21"/>
                          <w:szCs w:val="21"/>
                          <w:lang w:val="en-US" w:eastAsia="zh-CN" w:bidi="ar"/>
                        </w:rPr>
                        <w:t>新乡市富益精密机械有限公司</w:t>
                      </w:r>
                    </w:p>
                  </w:txbxContent>
                </v:textbox>
              </v:shape>
            </w:pict>
          </mc:Fallback>
        </mc:AlternateContent>
      </w:r>
      <w:r>
        <w:rPr>
          <w:sz w:val="21"/>
        </w:rPr>
        <mc:AlternateContent>
          <mc:Choice Requires="wps">
            <w:drawing>
              <wp:anchor distT="0" distB="0" distL="114300" distR="114300" simplePos="0" relativeHeight="251807744" behindDoc="0" locked="0" layoutInCell="1" allowOverlap="1">
                <wp:simplePos x="0" y="0"/>
                <wp:positionH relativeFrom="column">
                  <wp:posOffset>219710</wp:posOffset>
                </wp:positionH>
                <wp:positionV relativeFrom="paragraph">
                  <wp:posOffset>4504690</wp:posOffset>
                </wp:positionV>
                <wp:extent cx="2849245" cy="286385"/>
                <wp:effectExtent l="0" t="0" r="0" b="0"/>
                <wp:wrapNone/>
                <wp:docPr id="190" name="文本框 190"/>
                <wp:cNvGraphicFramePr/>
                <a:graphic xmlns:a="http://schemas.openxmlformats.org/drawingml/2006/main">
                  <a:graphicData uri="http://schemas.microsoft.com/office/word/2010/wordprocessingShape">
                    <wps:wsp>
                      <wps:cNvSpPr txBox="1"/>
                      <wps:spPr>
                        <a:xfrm>
                          <a:off x="1639570" y="1651000"/>
                          <a:ext cx="1142365" cy="278765"/>
                        </a:xfrm>
                        <a:prstGeom prst="rect">
                          <a:avLst/>
                        </a:prstGeom>
                        <a:noFill/>
                        <a:ln w="6350">
                          <a:noFill/>
                        </a:ln>
                        <a:effectLst/>
                      </wps:spPr>
                      <wps:txbx>
                        <w:txbxContent>
                          <w:p w14:paraId="5FD9375F">
                            <w:pPr>
                              <w:rPr>
                                <w:rFonts w:hint="default" w:ascii="Times New Roman" w:hAnsi="Times New Roman" w:cs="Times New Roman"/>
                                <w:sz w:val="24"/>
                                <w:szCs w:val="24"/>
                                <w:lang w:val="en-US" w:eastAsia="zh-CN"/>
                              </w:rPr>
                            </w:pPr>
                            <w:r>
                              <w:rPr>
                                <w:rFonts w:hint="default" w:ascii="Times New Roman" w:hAnsi="Times New Roman" w:eastAsia="宋体" w:cs="Times New Roman"/>
                                <w:b w:val="0"/>
                                <w:bCs w:val="0"/>
                                <w:color w:val="000000"/>
                                <w:kern w:val="0"/>
                                <w:sz w:val="24"/>
                                <w:szCs w:val="24"/>
                                <w:lang w:val="en-US" w:eastAsia="zh-CN" w:bidi="ar"/>
                              </w:rPr>
                              <w:t>①</w:t>
                            </w:r>
                            <w:r>
                              <w:rPr>
                                <w:rFonts w:hint="default" w:ascii="Times New Roman" w:hAnsi="Times New Roman" w:eastAsia="宋体" w:cs="Times New Roman"/>
                                <w:b/>
                                <w:bCs/>
                                <w:color w:val="000000"/>
                                <w:kern w:val="0"/>
                                <w:sz w:val="24"/>
                                <w:szCs w:val="24"/>
                                <w:lang w:val="en-US" w:eastAsia="zh-CN" w:bidi="ar"/>
                              </w:rPr>
                              <w:t xml:space="preserve"> </w:t>
                            </w:r>
                            <w:r>
                              <w:rPr>
                                <w:rFonts w:hint="default" w:ascii="Times New Roman" w:hAnsi="Times New Roman" w:eastAsia="宋体" w:cs="Times New Roman"/>
                                <w:b w:val="0"/>
                                <w:bCs w:val="0"/>
                                <w:color w:val="000000"/>
                                <w:kern w:val="0"/>
                                <w:sz w:val="21"/>
                                <w:szCs w:val="21"/>
                                <w:lang w:val="en-US" w:eastAsia="zh-CN" w:bidi="ar"/>
                              </w:rPr>
                              <w:t>新乡市天诚航空净化设备有限公司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pt;margin-top:354.7pt;height:22.55pt;width:224.35pt;z-index:251807744;mso-width-relative:page;mso-height-relative:page;" filled="f" stroked="f" coordsize="21600,21600" o:gfxdata="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xGy/NwAAAAKAQAADwAA&#10;AAAAAAABACAAAAAiAAAAZHJzL2Rvd25yZXYueG1sUEsBAhQAFAAAAAgAh07iQBlL7mpLAgAAhAQA&#10;AA4AAAAAAAAAAQAgAAAAKwEAAGRycy9lMm9Eb2MueG1sUEsFBgAAAAAGAAYAWQEAAOgFAAAAAA==&#10;">
                <v:fill on="f" focussize="0,0"/>
                <v:stroke on="f" weight="0.5pt"/>
                <v:imagedata o:title=""/>
                <o:lock v:ext="edit" aspectratio="f"/>
                <v:textbox>
                  <w:txbxContent>
                    <w:p w14:paraId="5FD9375F">
                      <w:pPr>
                        <w:rPr>
                          <w:rFonts w:hint="default" w:ascii="Times New Roman" w:hAnsi="Times New Roman" w:cs="Times New Roman"/>
                          <w:sz w:val="24"/>
                          <w:szCs w:val="24"/>
                          <w:lang w:val="en-US" w:eastAsia="zh-CN"/>
                        </w:rPr>
                      </w:pPr>
                      <w:r>
                        <w:rPr>
                          <w:rFonts w:hint="default" w:ascii="Times New Roman" w:hAnsi="Times New Roman" w:eastAsia="宋体" w:cs="Times New Roman"/>
                          <w:b w:val="0"/>
                          <w:bCs w:val="0"/>
                          <w:color w:val="000000"/>
                          <w:kern w:val="0"/>
                          <w:sz w:val="24"/>
                          <w:szCs w:val="24"/>
                          <w:lang w:val="en-US" w:eastAsia="zh-CN" w:bidi="ar"/>
                        </w:rPr>
                        <w:t>①</w:t>
                      </w:r>
                      <w:r>
                        <w:rPr>
                          <w:rFonts w:hint="default" w:ascii="Times New Roman" w:hAnsi="Times New Roman" w:eastAsia="宋体" w:cs="Times New Roman"/>
                          <w:b/>
                          <w:bCs/>
                          <w:color w:val="000000"/>
                          <w:kern w:val="0"/>
                          <w:sz w:val="24"/>
                          <w:szCs w:val="24"/>
                          <w:lang w:val="en-US" w:eastAsia="zh-CN" w:bidi="ar"/>
                        </w:rPr>
                        <w:t xml:space="preserve"> </w:t>
                      </w:r>
                      <w:r>
                        <w:rPr>
                          <w:rFonts w:hint="default" w:ascii="Times New Roman" w:hAnsi="Times New Roman" w:eastAsia="宋体" w:cs="Times New Roman"/>
                          <w:b w:val="0"/>
                          <w:bCs w:val="0"/>
                          <w:color w:val="000000"/>
                          <w:kern w:val="0"/>
                          <w:sz w:val="21"/>
                          <w:szCs w:val="21"/>
                          <w:lang w:val="en-US" w:eastAsia="zh-CN" w:bidi="ar"/>
                        </w:rPr>
                        <w:t>新乡市天诚航空净化设备有限公司</w:t>
                      </w:r>
                    </w:p>
                  </w:txbxContent>
                </v:textbox>
              </v:shape>
            </w:pict>
          </mc:Fallback>
        </mc:AlternateContent>
      </w:r>
      <w:r>
        <w:rPr>
          <w:sz w:val="21"/>
        </w:rPr>
        <mc:AlternateContent>
          <mc:Choice Requires="wps">
            <w:drawing>
              <wp:anchor distT="0" distB="0" distL="114300" distR="114300" simplePos="0" relativeHeight="251806720" behindDoc="0" locked="0" layoutInCell="1" allowOverlap="1">
                <wp:simplePos x="0" y="0"/>
                <wp:positionH relativeFrom="column">
                  <wp:posOffset>2720340</wp:posOffset>
                </wp:positionH>
                <wp:positionV relativeFrom="paragraph">
                  <wp:posOffset>1581150</wp:posOffset>
                </wp:positionV>
                <wp:extent cx="1358900" cy="278765"/>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966470" cy="278765"/>
                        </a:xfrm>
                        <a:prstGeom prst="rect">
                          <a:avLst/>
                        </a:prstGeom>
                        <a:noFill/>
                        <a:ln w="6350">
                          <a:noFill/>
                        </a:ln>
                        <a:effectLst/>
                      </wps:spPr>
                      <wps:txbx>
                        <w:txbxContent>
                          <w:p w14:paraId="69F5E47E">
                            <w:pPr>
                              <w:rPr>
                                <w:rFonts w:hint="default" w:eastAsia="宋体"/>
                                <w:b/>
                                <w:bCs/>
                                <w:color w:val="FFFF00"/>
                                <w:lang w:val="en-US" w:eastAsia="zh-CN"/>
                              </w:rPr>
                            </w:pPr>
                            <w:r>
                              <w:rPr>
                                <w:rFonts w:hint="eastAsia"/>
                                <w:b/>
                                <w:bCs/>
                                <w:color w:val="FFFF00"/>
                                <w:lang w:val="en-US" w:eastAsia="zh-CN"/>
                              </w:rPr>
                              <w:t>1#车间 预留厂房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2pt;margin-top:124.5pt;height:21.95pt;width:107pt;z-index:251806720;mso-width-relative:page;mso-height-relative:page;" filled="f" stroked="f" coordsize="21600,21600" o:gfxdata="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k5EZLaAAAACwEAAA8AAAAAAAAAAQAgAAAA&#10;IgAAAGRycy9kb3ducmV2LnhtbFBLAQIUABQAAAAIAIdO4kCxmvcTQgIAAHcEAAAOAAAAAAAAAAEA&#10;IAAAACkBAABkcnMvZTJvRG9jLnhtbFBLBQYAAAAABgAGAFkBAADdBQAAAAA=&#10;">
                <v:fill on="f" focussize="0,0"/>
                <v:stroke on="f" weight="0.5pt"/>
                <v:imagedata o:title=""/>
                <o:lock v:ext="edit" aspectratio="f"/>
                <v:textbox>
                  <w:txbxContent>
                    <w:p w14:paraId="69F5E47E">
                      <w:pPr>
                        <w:rPr>
                          <w:rFonts w:hint="default" w:eastAsia="宋体"/>
                          <w:b/>
                          <w:bCs/>
                          <w:color w:val="FFFF00"/>
                          <w:lang w:val="en-US" w:eastAsia="zh-CN"/>
                        </w:rPr>
                      </w:pPr>
                      <w:r>
                        <w:rPr>
                          <w:rFonts w:hint="eastAsia"/>
                          <w:b/>
                          <w:bCs/>
                          <w:color w:val="FFFF00"/>
                          <w:lang w:val="en-US" w:eastAsia="zh-CN"/>
                        </w:rPr>
                        <w:t>1#车间 预留厂房</w:t>
                      </w:r>
                    </w:p>
                  </w:txbxContent>
                </v:textbox>
              </v:shape>
            </w:pict>
          </mc:Fallback>
        </mc:AlternateContent>
      </w:r>
      <w:r>
        <w:rPr>
          <w:sz w:val="21"/>
        </w:rPr>
        <mc:AlternateContent>
          <mc:Choice Requires="wps">
            <w:drawing>
              <wp:anchor distT="0" distB="0" distL="114300" distR="114300" simplePos="0" relativeHeight="251797504" behindDoc="0" locked="0" layoutInCell="1" allowOverlap="1">
                <wp:simplePos x="0" y="0"/>
                <wp:positionH relativeFrom="column">
                  <wp:posOffset>2589530</wp:posOffset>
                </wp:positionH>
                <wp:positionV relativeFrom="paragraph">
                  <wp:posOffset>3077845</wp:posOffset>
                </wp:positionV>
                <wp:extent cx="1341755" cy="278765"/>
                <wp:effectExtent l="0" t="0" r="0" b="0"/>
                <wp:wrapNone/>
                <wp:docPr id="195" name="文本框 195"/>
                <wp:cNvGraphicFramePr/>
                <a:graphic xmlns:a="http://schemas.openxmlformats.org/drawingml/2006/main">
                  <a:graphicData uri="http://schemas.microsoft.com/office/word/2010/wordprocessingShape">
                    <wps:wsp>
                      <wps:cNvSpPr txBox="1"/>
                      <wps:spPr>
                        <a:xfrm>
                          <a:off x="0" y="0"/>
                          <a:ext cx="966470" cy="278765"/>
                        </a:xfrm>
                        <a:prstGeom prst="rect">
                          <a:avLst/>
                        </a:prstGeom>
                        <a:noFill/>
                        <a:ln w="6350">
                          <a:noFill/>
                        </a:ln>
                        <a:effectLst/>
                      </wps:spPr>
                      <wps:txbx>
                        <w:txbxContent>
                          <w:p w14:paraId="17E0DFDD">
                            <w:pPr>
                              <w:rPr>
                                <w:rFonts w:hint="default" w:eastAsia="宋体"/>
                                <w:b/>
                                <w:bCs/>
                                <w:color w:val="FFFF00"/>
                                <w:lang w:val="en-US" w:eastAsia="zh-CN"/>
                              </w:rPr>
                            </w:pPr>
                            <w:r>
                              <w:rPr>
                                <w:rFonts w:hint="eastAsia"/>
                                <w:b/>
                                <w:bCs/>
                                <w:color w:val="FFFF00"/>
                                <w:lang w:val="en-US" w:eastAsia="zh-CN"/>
                              </w:rPr>
                              <w:t>4#车间 预留厂房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3.9pt;margin-top:242.35pt;height:21.95pt;width:105.65pt;z-index:251797504;mso-width-relative:page;mso-height-relative:page;" filled="f" stroked="f" coordsize="21600,21600" o:gfxdata="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0v/Jq90AAAALAQAADwAAAAAAAAAB&#10;ACAAAAAiAAAAZHJzL2Rvd25yZXYueG1sUEsBAhQAFAAAAAgAh07iQEUi+3FEAgAAdwQAAA4AAAAA&#10;AAAAAQAgAAAALAEAAGRycy9lMm9Eb2MueG1sUEsFBgAAAAAGAAYAWQEAAOIFAAAAAA==&#10;">
                <v:fill on="f" focussize="0,0"/>
                <v:stroke on="f" weight="0.5pt"/>
                <v:imagedata o:title=""/>
                <o:lock v:ext="edit" aspectratio="f"/>
                <v:textbox>
                  <w:txbxContent>
                    <w:p w14:paraId="17E0DFDD">
                      <w:pPr>
                        <w:rPr>
                          <w:rFonts w:hint="default" w:eastAsia="宋体"/>
                          <w:b/>
                          <w:bCs/>
                          <w:color w:val="FFFF00"/>
                          <w:lang w:val="en-US" w:eastAsia="zh-CN"/>
                        </w:rPr>
                      </w:pPr>
                      <w:r>
                        <w:rPr>
                          <w:rFonts w:hint="eastAsia"/>
                          <w:b/>
                          <w:bCs/>
                          <w:color w:val="FFFF00"/>
                          <w:lang w:val="en-US" w:eastAsia="zh-CN"/>
                        </w:rPr>
                        <w:t>4#车间 预留厂房</w:t>
                      </w:r>
                    </w:p>
                  </w:txbxContent>
                </v:textbox>
              </v:shape>
            </w:pict>
          </mc:Fallback>
        </mc:AlternateContent>
      </w:r>
      <w:r>
        <w:rPr>
          <w:sz w:val="21"/>
        </w:rPr>
        <mc:AlternateContent>
          <mc:Choice Requires="wps">
            <w:drawing>
              <wp:anchor distT="0" distB="0" distL="114300" distR="114300" simplePos="0" relativeHeight="251789312" behindDoc="0" locked="0" layoutInCell="1" allowOverlap="1">
                <wp:simplePos x="0" y="0"/>
                <wp:positionH relativeFrom="column">
                  <wp:posOffset>2620010</wp:posOffset>
                </wp:positionH>
                <wp:positionV relativeFrom="paragraph">
                  <wp:posOffset>2440305</wp:posOffset>
                </wp:positionV>
                <wp:extent cx="1334770" cy="446405"/>
                <wp:effectExtent l="6350" t="6350" r="11430" b="23495"/>
                <wp:wrapNone/>
                <wp:docPr id="193" name="任意多边形 193"/>
                <wp:cNvGraphicFramePr/>
                <a:graphic xmlns:a="http://schemas.openxmlformats.org/drawingml/2006/main">
                  <a:graphicData uri="http://schemas.microsoft.com/office/word/2010/wordprocessingShape">
                    <wps:wsp>
                      <wps:cNvSpPr/>
                      <wps:spPr>
                        <a:xfrm>
                          <a:off x="0" y="0"/>
                          <a:ext cx="1334770" cy="446405"/>
                        </a:xfrm>
                        <a:custGeom>
                          <a:avLst/>
                          <a:gdLst/>
                          <a:ahLst/>
                          <a:cxnLst>
                            <a:cxn ang="0">
                              <a:pos x="0" y="0"/>
                            </a:cxn>
                            <a:cxn ang="0">
                              <a:pos x="12873" y="432151"/>
                            </a:cxn>
                            <a:cxn ang="0">
                              <a:pos x="1334770" y="446405"/>
                            </a:cxn>
                            <a:cxn ang="0">
                              <a:pos x="1334770" y="132838"/>
                            </a:cxn>
                            <a:cxn ang="0">
                              <a:pos x="901175" y="142530"/>
                            </a:cxn>
                            <a:cxn ang="0">
                              <a:pos x="897056" y="9692"/>
                            </a:cxn>
                            <a:cxn ang="0">
                              <a:pos x="0" y="0"/>
                            </a:cxn>
                          </a:cxnLst>
                          <a:pathLst>
                            <a:path w="1645920" h="497205">
                              <a:moveTo>
                                <a:pt x="0" y="0"/>
                              </a:moveTo>
                              <a:lnTo>
                                <a:pt x="15875" y="481330"/>
                              </a:lnTo>
                              <a:lnTo>
                                <a:pt x="1645920" y="497205"/>
                              </a:lnTo>
                              <a:lnTo>
                                <a:pt x="1645920" y="147955"/>
                              </a:lnTo>
                              <a:lnTo>
                                <a:pt x="1111250" y="158750"/>
                              </a:lnTo>
                              <a:lnTo>
                                <a:pt x="1106170" y="10795"/>
                              </a:lnTo>
                              <a:lnTo>
                                <a:pt x="0" y="0"/>
                              </a:lnTo>
                              <a:close/>
                            </a:path>
                          </a:pathLst>
                        </a:custGeom>
                        <a:noFill/>
                        <a:ln w="12700" cap="flat" cmpd="sng">
                          <a:solidFill>
                            <a:srgbClr val="00B0F0"/>
                          </a:solidFill>
                          <a:prstDash val="solid"/>
                          <a:miter/>
                          <a:headEnd type="none" w="med" len="med"/>
                          <a:tailEnd type="none" w="med" len="med"/>
                        </a:ln>
                      </wps:spPr>
                      <wps:bodyPr upright="1"/>
                    </wps:wsp>
                  </a:graphicData>
                </a:graphic>
              </wp:anchor>
            </w:drawing>
          </mc:Choice>
          <mc:Fallback>
            <w:pict>
              <v:shape id="_x0000_s1026" o:spid="_x0000_s1026" o:spt="100" style="position:absolute;left:0pt;margin-left:206.3pt;margin-top:192.15pt;height:35.15pt;width:105.1pt;z-index:251789312;mso-width-relative:page;mso-height-relative:page;" filled="f" stroked="t" coordsize="1645920,497205" o:gfxdata="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CUNbVbYAAAACwEAAA8AAAAAAAAAAQAgAAAAIgAAAGRycy9kb3du&#10;cmV2LnhtbFBLAQIUABQAAAAIAIdO4kDHn36k4wIAAPsGAAAOAAAAAAAAAAEAIAAAACcBAABkcnMv&#10;ZTJvRG9jLnhtbFBLBQYAAAAABgAGAFkBAAB8BgAAAAA=&#10;" path="m0,0l15875,481330,1645920,497205,1645920,147955,1111250,158750,1106170,10795,0,0xe">
                <v:path o:connectlocs="0,0;12873,432151;1334770,446405;1334770,132838;901175,142530;897056,9692;0,0" o:connectangles="0,0,0,0,0,0,0"/>
                <v:fill on="f" focussize="0,0"/>
                <v:stroke weight="1pt" color="#00B0F0" joinstyle="miter"/>
                <v:imagedata o:title=""/>
                <o:lock v:ext="edit" aspectratio="f"/>
              </v:shape>
            </w:pict>
          </mc:Fallback>
        </mc:AlternateContent>
      </w:r>
      <w:r>
        <w:rPr>
          <w:sz w:val="21"/>
        </w:rPr>
        <mc:AlternateContent>
          <mc:Choice Requires="wps">
            <w:drawing>
              <wp:anchor distT="0" distB="0" distL="114300" distR="114300" simplePos="0" relativeHeight="251805696" behindDoc="0" locked="0" layoutInCell="1" allowOverlap="1">
                <wp:simplePos x="0" y="0"/>
                <wp:positionH relativeFrom="column">
                  <wp:posOffset>2268220</wp:posOffset>
                </wp:positionH>
                <wp:positionV relativeFrom="paragraph">
                  <wp:posOffset>2676525</wp:posOffset>
                </wp:positionV>
                <wp:extent cx="901065" cy="271145"/>
                <wp:effectExtent l="0" t="0" r="0" b="0"/>
                <wp:wrapNone/>
                <wp:docPr id="178" name="文本框 178"/>
                <wp:cNvGraphicFramePr/>
                <a:graphic xmlns:a="http://schemas.openxmlformats.org/drawingml/2006/main">
                  <a:graphicData uri="http://schemas.microsoft.com/office/word/2010/wordprocessingShape">
                    <wps:wsp>
                      <wps:cNvSpPr txBox="1"/>
                      <wps:spPr>
                        <a:xfrm>
                          <a:off x="1639570" y="1651000"/>
                          <a:ext cx="1142365" cy="278765"/>
                        </a:xfrm>
                        <a:prstGeom prst="rect">
                          <a:avLst/>
                        </a:prstGeom>
                        <a:noFill/>
                        <a:ln w="6350">
                          <a:noFill/>
                        </a:ln>
                        <a:effectLst/>
                      </wps:spPr>
                      <wps:txbx>
                        <w:txbxContent>
                          <w:p w14:paraId="0C9F2C03">
                            <w:pPr>
                              <w:rPr>
                                <w:rFonts w:hint="default"/>
                                <w:sz w:val="24"/>
                                <w:szCs w:val="24"/>
                                <w:lang w:val="en-US" w:eastAsia="zh-CN"/>
                              </w:rPr>
                            </w:pPr>
                            <w:r>
                              <w:rPr>
                                <w:rFonts w:hint="default" w:ascii="Calibri" w:hAnsi="Calibri" w:eastAsia="宋体" w:cs="Calibri"/>
                                <w:b/>
                                <w:bCs/>
                                <w:color w:val="000000"/>
                                <w:kern w:val="0"/>
                                <w:sz w:val="24"/>
                                <w:szCs w:val="24"/>
                                <w:lang w:val="en-US" w:eastAsia="zh-CN" w:bidi="ar"/>
                              </w:rPr>
                              <w:t>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8.6pt;margin-top:210.75pt;height:21.35pt;width:70.95pt;z-index:251805696;mso-width-relative:page;mso-height-relative:page;" filled="f" stroked="f" coordsize="21600,21600" o:gfxdata="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dxvl/cAAAACwEAAA8A&#10;AAAAAAAAAQAgAAAAIgAAAGRycy9kb3ducmV2LnhtbFBLAQIUABQAAAAIAIdO4kB0MOKyTAIAAIQE&#10;AAAOAAAAAAAAAAEAIAAAACsBAABkcnMvZTJvRG9jLnhtbFBLBQYAAAAABgAGAFkBAADpBQAAAAA=&#10;">
                <v:fill on="f" focussize="0,0"/>
                <v:stroke on="f" weight="0.5pt"/>
                <v:imagedata o:title=""/>
                <o:lock v:ext="edit" aspectratio="f"/>
                <v:textbox>
                  <w:txbxContent>
                    <w:p w14:paraId="0C9F2C03">
                      <w:pPr>
                        <w:rPr>
                          <w:rFonts w:hint="default"/>
                          <w:sz w:val="24"/>
                          <w:szCs w:val="24"/>
                          <w:lang w:val="en-US" w:eastAsia="zh-CN"/>
                        </w:rPr>
                      </w:pPr>
                      <w:r>
                        <w:rPr>
                          <w:rFonts w:hint="default" w:ascii="Calibri" w:hAnsi="Calibri" w:eastAsia="宋体" w:cs="Calibri"/>
                          <w:b/>
                          <w:bCs/>
                          <w:color w:val="000000"/>
                          <w:kern w:val="0"/>
                          <w:sz w:val="24"/>
                          <w:szCs w:val="24"/>
                          <w:lang w:val="en-US" w:eastAsia="zh-CN" w:bidi="ar"/>
                        </w:rPr>
                        <w:t>②</w:t>
                      </w:r>
                    </w:p>
                  </w:txbxContent>
                </v:textbox>
              </v:shape>
            </w:pict>
          </mc:Fallback>
        </mc:AlternateContent>
      </w:r>
      <w:r>
        <w:rPr>
          <w:sz w:val="21"/>
        </w:rPr>
        <mc:AlternateContent>
          <mc:Choice Requires="wps">
            <w:drawing>
              <wp:anchor distT="0" distB="0" distL="114300" distR="114300" simplePos="0" relativeHeight="251804672" behindDoc="0" locked="0" layoutInCell="1" allowOverlap="1">
                <wp:simplePos x="0" y="0"/>
                <wp:positionH relativeFrom="column">
                  <wp:posOffset>2258060</wp:posOffset>
                </wp:positionH>
                <wp:positionV relativeFrom="paragraph">
                  <wp:posOffset>2388870</wp:posOffset>
                </wp:positionV>
                <wp:extent cx="901065" cy="271780"/>
                <wp:effectExtent l="0" t="0" r="0" b="0"/>
                <wp:wrapNone/>
                <wp:docPr id="203" name="文本框 203"/>
                <wp:cNvGraphicFramePr/>
                <a:graphic xmlns:a="http://schemas.openxmlformats.org/drawingml/2006/main">
                  <a:graphicData uri="http://schemas.microsoft.com/office/word/2010/wordprocessingShape">
                    <wps:wsp>
                      <wps:cNvSpPr txBox="1"/>
                      <wps:spPr>
                        <a:xfrm>
                          <a:off x="1639570" y="1651000"/>
                          <a:ext cx="1142365" cy="278765"/>
                        </a:xfrm>
                        <a:prstGeom prst="rect">
                          <a:avLst/>
                        </a:prstGeom>
                        <a:noFill/>
                        <a:ln w="6350">
                          <a:noFill/>
                        </a:ln>
                        <a:effectLst/>
                      </wps:spPr>
                      <wps:txbx>
                        <w:txbxContent>
                          <w:p w14:paraId="667225A1">
                            <w:pPr>
                              <w:rPr>
                                <w:rFonts w:hint="default"/>
                                <w:sz w:val="24"/>
                                <w:szCs w:val="24"/>
                                <w:lang w:val="en-US" w:eastAsia="zh-CN"/>
                              </w:rPr>
                            </w:pPr>
                            <w:r>
                              <w:rPr>
                                <w:rFonts w:hint="default" w:ascii="Calibri" w:hAnsi="Calibri" w:eastAsia="宋体" w:cs="Calibri"/>
                                <w:b/>
                                <w:bCs/>
                                <w:color w:val="000000"/>
                                <w:kern w:val="0"/>
                                <w:sz w:val="24"/>
                                <w:szCs w:val="24"/>
                                <w:lang w:val="en-US" w:eastAsia="zh-CN" w:bidi="ar"/>
                              </w:rPr>
                              <w:t>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7.8pt;margin-top:188.1pt;height:21.4pt;width:70.95pt;z-index:251804672;mso-width-relative:page;mso-height-relative:page;" filled="f" stroked="f" coordsize="21600,21600" o:gfxdata="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DLPhM3AAAAAsBAAAP&#10;AAAAAAAAAAEAIAAAACIAAABkcnMvZG93bnJldi54bWxQSwECFAAUAAAACACHTuJAFw7alU0CAACE&#10;BAAADgAAAAAAAAABACAAAAArAQAAZHJzL2Uyb0RvYy54bWxQSwUGAAAAAAYABgBZAQAA6gUAAAAA&#10;">
                <v:fill on="f" focussize="0,0"/>
                <v:stroke on="f" weight="0.5pt"/>
                <v:imagedata o:title=""/>
                <o:lock v:ext="edit" aspectratio="f"/>
                <v:textbox>
                  <w:txbxContent>
                    <w:p w14:paraId="667225A1">
                      <w:pPr>
                        <w:rPr>
                          <w:rFonts w:hint="default"/>
                          <w:sz w:val="24"/>
                          <w:szCs w:val="24"/>
                          <w:lang w:val="en-US" w:eastAsia="zh-CN"/>
                        </w:rPr>
                      </w:pPr>
                      <w:r>
                        <w:rPr>
                          <w:rFonts w:hint="default" w:ascii="Calibri" w:hAnsi="Calibri" w:eastAsia="宋体" w:cs="Calibri"/>
                          <w:b/>
                          <w:bCs/>
                          <w:color w:val="000000"/>
                          <w:kern w:val="0"/>
                          <w:sz w:val="24"/>
                          <w:szCs w:val="24"/>
                          <w:lang w:val="en-US" w:eastAsia="zh-CN" w:bidi="ar"/>
                        </w:rPr>
                        <w:t>①</w:t>
                      </w:r>
                    </w:p>
                  </w:txbxContent>
                </v:textbox>
              </v:shape>
            </w:pict>
          </mc:Fallback>
        </mc:AlternateContent>
      </w:r>
      <w:r>
        <w:drawing>
          <wp:inline distT="0" distB="0" distL="114300" distR="114300">
            <wp:extent cx="8364220" cy="5467350"/>
            <wp:effectExtent l="0" t="0" r="17780" b="0"/>
            <wp:docPr id="19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1"/>
                    <pic:cNvPicPr>
                      <a:picLocks noChangeAspect="1"/>
                    </pic:cNvPicPr>
                  </pic:nvPicPr>
                  <pic:blipFill>
                    <a:blip r:embed="rId58"/>
                    <a:stretch>
                      <a:fillRect/>
                    </a:stretch>
                  </pic:blipFill>
                  <pic:spPr>
                    <a:xfrm>
                      <a:off x="0" y="0"/>
                      <a:ext cx="8364220" cy="5467350"/>
                    </a:xfrm>
                    <a:prstGeom prst="rect">
                      <a:avLst/>
                    </a:prstGeom>
                    <a:noFill/>
                    <a:ln>
                      <a:noFill/>
                    </a:ln>
                  </pic:spPr>
                </pic:pic>
              </a:graphicData>
            </a:graphic>
          </wp:inline>
        </w:drawing>
      </w:r>
      <w:r>
        <w:rPr>
          <w:sz w:val="21"/>
        </w:rPr>
        <mc:AlternateContent>
          <mc:Choice Requires="wps">
            <w:drawing>
              <wp:anchor distT="0" distB="0" distL="114300" distR="114300" simplePos="0" relativeHeight="251803648" behindDoc="0" locked="0" layoutInCell="1" allowOverlap="1">
                <wp:simplePos x="0" y="0"/>
                <wp:positionH relativeFrom="column">
                  <wp:posOffset>2300605</wp:posOffset>
                </wp:positionH>
                <wp:positionV relativeFrom="paragraph">
                  <wp:posOffset>2674620</wp:posOffset>
                </wp:positionV>
                <wp:extent cx="238125" cy="254000"/>
                <wp:effectExtent l="4445" t="4445" r="5080" b="8255"/>
                <wp:wrapNone/>
                <wp:docPr id="200" name="任意多边形 200"/>
                <wp:cNvGraphicFramePr/>
                <a:graphic xmlns:a="http://schemas.openxmlformats.org/drawingml/2006/main">
                  <a:graphicData uri="http://schemas.microsoft.com/office/word/2010/wordprocessingShape">
                    <wps:wsp>
                      <wps:cNvSpPr/>
                      <wps:spPr>
                        <a:xfrm>
                          <a:off x="0" y="0"/>
                          <a:ext cx="238125" cy="254000"/>
                        </a:xfrm>
                        <a:custGeom>
                          <a:avLst/>
                          <a:gdLst/>
                          <a:ahLst/>
                          <a:cxnLst/>
                          <a:pathLst>
                            <a:path w="375" h="400">
                              <a:moveTo>
                                <a:pt x="7" y="88"/>
                              </a:moveTo>
                              <a:lnTo>
                                <a:pt x="0" y="6"/>
                              </a:lnTo>
                              <a:lnTo>
                                <a:pt x="375" y="0"/>
                              </a:lnTo>
                              <a:lnTo>
                                <a:pt x="369" y="400"/>
                              </a:lnTo>
                              <a:lnTo>
                                <a:pt x="188" y="394"/>
                              </a:lnTo>
                              <a:lnTo>
                                <a:pt x="182" y="88"/>
                              </a:lnTo>
                              <a:lnTo>
                                <a:pt x="7" y="88"/>
                              </a:lnTo>
                              <a:close/>
                            </a:path>
                          </a:pathLst>
                        </a:custGeom>
                        <a:noFill/>
                        <a:ln w="9525" cap="flat" cmpd="sng">
                          <a:solidFill>
                            <a:srgbClr val="FFFF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81.15pt;margin-top:210.6pt;height:20pt;width:18.75pt;z-index:251803648;mso-width-relative:page;mso-height-relative:page;" filled="f" stroked="t" coordsize="375,400" o:gfxdata="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MaCeWvZAAAACwEAAA8AAAAAAAAAAQAgAAAAIgAAAGRycy9k&#10;b3ducmV2LnhtbFBLAQIUABQAAAAIAIdO4kA7qXg7cwIAAFsFAAAOAAAAAAAAAAEAIAAAACgBAABk&#10;cnMvZTJvRG9jLnhtbFBLBQYAAAAABgAGAFkBAAANBgAAAAA=&#10;" path="m7,88l0,6,375,0,369,400,188,394,182,88,7,88xe">
                <v:fill on="f" focussize="0,0"/>
                <v:stroke color="#FFFF00" joinstyle="round"/>
                <v:imagedata o:title=""/>
                <o:lock v:ext="edit" aspectratio="f"/>
              </v:shape>
            </w:pict>
          </mc:Fallback>
        </mc:AlternateContent>
      </w:r>
      <w:r>
        <w:rPr>
          <w:sz w:val="21"/>
        </w:rPr>
        <mc:AlternateContent>
          <mc:Choice Requires="wps">
            <w:drawing>
              <wp:anchor distT="0" distB="0" distL="114300" distR="114300" simplePos="0" relativeHeight="251802624" behindDoc="0" locked="0" layoutInCell="1" allowOverlap="1">
                <wp:simplePos x="0" y="0"/>
                <wp:positionH relativeFrom="column">
                  <wp:posOffset>2306955</wp:posOffset>
                </wp:positionH>
                <wp:positionV relativeFrom="paragraph">
                  <wp:posOffset>2393950</wp:posOffset>
                </wp:positionV>
                <wp:extent cx="238125" cy="254000"/>
                <wp:effectExtent l="4445" t="4445" r="5080" b="8255"/>
                <wp:wrapNone/>
                <wp:docPr id="205" name="任意多边形 205"/>
                <wp:cNvGraphicFramePr/>
                <a:graphic xmlns:a="http://schemas.openxmlformats.org/drawingml/2006/main">
                  <a:graphicData uri="http://schemas.microsoft.com/office/word/2010/wordprocessingShape">
                    <wps:wsp>
                      <wps:cNvSpPr/>
                      <wps:spPr>
                        <a:xfrm>
                          <a:off x="0" y="0"/>
                          <a:ext cx="238125" cy="254000"/>
                        </a:xfrm>
                        <a:custGeom>
                          <a:avLst/>
                          <a:gdLst/>
                          <a:ahLst/>
                          <a:cxnLst/>
                          <a:pathLst>
                            <a:path w="375" h="400">
                              <a:moveTo>
                                <a:pt x="7" y="88"/>
                              </a:moveTo>
                              <a:lnTo>
                                <a:pt x="0" y="6"/>
                              </a:lnTo>
                              <a:lnTo>
                                <a:pt x="375" y="0"/>
                              </a:lnTo>
                              <a:lnTo>
                                <a:pt x="369" y="400"/>
                              </a:lnTo>
                              <a:lnTo>
                                <a:pt x="188" y="394"/>
                              </a:lnTo>
                              <a:lnTo>
                                <a:pt x="182" y="88"/>
                              </a:lnTo>
                              <a:lnTo>
                                <a:pt x="7" y="88"/>
                              </a:lnTo>
                              <a:close/>
                            </a:path>
                          </a:pathLst>
                        </a:custGeom>
                        <a:noFill/>
                        <a:ln w="9525" cap="flat" cmpd="sng">
                          <a:solidFill>
                            <a:srgbClr val="FFFF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81.65pt;margin-top:188.5pt;height:20pt;width:18.75pt;z-index:251802624;mso-width-relative:page;mso-height-relative:page;" filled="f" stroked="t" coordsize="375,400" o:gfxdata="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NF6pu2QAAAAsBAAAPAAAAAAAAAAEAIAAAACIAAABkcnMv&#10;ZG93bnJldi54bWxQSwECFAAUAAAACACHTuJA3fSiKnQCAABbBQAADgAAAAAAAAABACAAAAAoAQAA&#10;ZHJzL2Uyb0RvYy54bWxQSwUGAAAAAAYABgBZAQAADgYAAAAA&#10;" path="m7,88l0,6,375,0,369,400,188,394,182,88,7,88xe">
                <v:fill on="f" focussize="0,0"/>
                <v:stroke color="#FFFF00" joinstyle="round"/>
                <v:imagedata o:title=""/>
                <o:lock v:ext="edit" aspectratio="f"/>
              </v:shape>
            </w:pict>
          </mc:Fallback>
        </mc:AlternateContent>
      </w:r>
      <w:r>
        <w:rPr>
          <w:sz w:val="21"/>
        </w:rPr>
        <mc:AlternateContent>
          <mc:Choice Requires="wps">
            <w:drawing>
              <wp:anchor distT="0" distB="0" distL="114300" distR="114300" simplePos="0" relativeHeight="251788288" behindDoc="0" locked="0" layoutInCell="1" allowOverlap="1">
                <wp:simplePos x="0" y="0"/>
                <wp:positionH relativeFrom="column">
                  <wp:posOffset>2284730</wp:posOffset>
                </wp:positionH>
                <wp:positionV relativeFrom="paragraph">
                  <wp:posOffset>1182370</wp:posOffset>
                </wp:positionV>
                <wp:extent cx="1873885" cy="2479675"/>
                <wp:effectExtent l="6350" t="6350" r="24765" b="9525"/>
                <wp:wrapNone/>
                <wp:docPr id="209" name="任意多边形 209"/>
                <wp:cNvGraphicFramePr/>
                <a:graphic xmlns:a="http://schemas.openxmlformats.org/drawingml/2006/main">
                  <a:graphicData uri="http://schemas.microsoft.com/office/word/2010/wordprocessingShape">
                    <wps:wsp>
                      <wps:cNvSpPr/>
                      <wps:spPr>
                        <a:xfrm>
                          <a:off x="3256915" y="1084580"/>
                          <a:ext cx="1907540" cy="2535555"/>
                        </a:xfrm>
                        <a:custGeom>
                          <a:avLst/>
                          <a:gdLst>
                            <a:gd name="connisteX0" fmla="*/ 0 w 2230755"/>
                            <a:gd name="connsiteY0" fmla="*/ 0 h 3067685"/>
                            <a:gd name="connisteX1" fmla="*/ 0 w 2230755"/>
                            <a:gd name="connsiteY1" fmla="*/ 365760 h 3067685"/>
                            <a:gd name="connisteX2" fmla="*/ 335915 w 2230755"/>
                            <a:gd name="connsiteY2" fmla="*/ 360680 h 3067685"/>
                            <a:gd name="connisteX3" fmla="*/ 315595 w 2230755"/>
                            <a:gd name="connsiteY3" fmla="*/ 3067685 h 3067685"/>
                            <a:gd name="connisteX4" fmla="*/ 2195830 w 2230755"/>
                            <a:gd name="connsiteY4" fmla="*/ 3037840 h 3067685"/>
                            <a:gd name="connisteX5" fmla="*/ 2230755 w 2230755"/>
                            <a:gd name="connsiteY5" fmla="*/ 45085 h 3067685"/>
                            <a:gd name="connisteX6" fmla="*/ 0 w 2230755"/>
                            <a:gd name="connsiteY6" fmla="*/ 0 h 306768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2230755" h="3067685">
                              <a:moveTo>
                                <a:pt x="0" y="0"/>
                              </a:moveTo>
                              <a:lnTo>
                                <a:pt x="0" y="365760"/>
                              </a:lnTo>
                              <a:lnTo>
                                <a:pt x="335915" y="360680"/>
                              </a:lnTo>
                              <a:lnTo>
                                <a:pt x="315595" y="3067685"/>
                              </a:lnTo>
                              <a:lnTo>
                                <a:pt x="2195830" y="3037840"/>
                              </a:lnTo>
                              <a:lnTo>
                                <a:pt x="2230755" y="45085"/>
                              </a:lnTo>
                              <a:lnTo>
                                <a:pt x="0" y="0"/>
                              </a:lnTo>
                              <a:close/>
                            </a:path>
                          </a:pathLst>
                        </a:custGeom>
                        <a:noFill/>
                        <a:ln w="12700" cap="flat" cmpd="sng" algn="ctr">
                          <a:solidFill>
                            <a:srgbClr val="FF0000"/>
                          </a:solidFill>
                          <a:prstDash val="solid"/>
                          <a:miter lim="800000"/>
                        </a:ln>
                        <a:effectLst/>
                      </wps:spPr>
                      <wps:txbx>
                        <w:txbxContent>
                          <w:p w14:paraId="5BE2566E">
                            <w:pPr>
                              <w:jc w:val="center"/>
                            </w:pPr>
                          </w:p>
                          <w:p w14:paraId="149FD457">
                            <w:pPr>
                              <w:jc w:val="center"/>
                            </w:pPr>
                          </w:p>
                          <w:p w14:paraId="1E13A740">
                            <w:pPr>
                              <w:jc w:val="center"/>
                            </w:pPr>
                          </w:p>
                          <w:p w14:paraId="39CED392">
                            <w:pPr>
                              <w:jc w:val="center"/>
                            </w:pPr>
                          </w:p>
                        </w:txbxContent>
                      </wps:txbx>
                      <wps:bodyPr/>
                    </wps:wsp>
                  </a:graphicData>
                </a:graphic>
              </wp:anchor>
            </w:drawing>
          </mc:Choice>
          <mc:Fallback>
            <w:pict>
              <v:shape id="_x0000_s1026" o:spid="_x0000_s1026" o:spt="100" style="position:absolute;left:0pt;margin-left:179.9pt;margin-top:93.1pt;height:195.25pt;width:147.55pt;z-index:251788288;mso-width-relative:page;mso-height-relative:page;" filled="f" stroked="t" coordsize="2230755,3067685" o:gfxdata="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" path="m0,0l0,365760,335915,360680,315595,3067685,2195830,3037840,2230755,45085,0,0xe">
                <v:path textboxrect="0,0,2230755,3067685" o:connectlocs="0,0;0,302314;287244,298115;269868,2535555;1877675,2510887;1907540,37264;0,0" o:connectangles="0,0,0,0,0,0,0"/>
                <v:fill on="f" focussize="0,0"/>
                <v:stroke weight="1pt" color="#FF0000" miterlimit="8" joinstyle="miter"/>
                <v:imagedata o:title=""/>
                <o:lock v:ext="edit" aspectratio="f"/>
                <v:textbox>
                  <w:txbxContent>
                    <w:p w14:paraId="5BE2566E">
                      <w:pPr>
                        <w:jc w:val="center"/>
                      </w:pPr>
                    </w:p>
                    <w:p w14:paraId="149FD457">
                      <w:pPr>
                        <w:jc w:val="center"/>
                      </w:pPr>
                    </w:p>
                    <w:p w14:paraId="1E13A740">
                      <w:pPr>
                        <w:jc w:val="center"/>
                      </w:pPr>
                    </w:p>
                    <w:p w14:paraId="39CED392">
                      <w:pPr>
                        <w:jc w:val="center"/>
                      </w:pPr>
                    </w:p>
                  </w:txbxContent>
                </v:textbox>
              </v:shape>
            </w:pict>
          </mc:Fallback>
        </mc:AlternateContent>
      </w:r>
      <w:r>
        <w:rPr>
          <w:sz w:val="21"/>
        </w:rPr>
        <mc:AlternateContent>
          <mc:Choice Requires="wps">
            <w:drawing>
              <wp:anchor distT="0" distB="0" distL="114300" distR="114300" simplePos="0" relativeHeight="251801600" behindDoc="0" locked="0" layoutInCell="1" allowOverlap="1">
                <wp:simplePos x="0" y="0"/>
                <wp:positionH relativeFrom="column">
                  <wp:posOffset>5084445</wp:posOffset>
                </wp:positionH>
                <wp:positionV relativeFrom="paragraph">
                  <wp:posOffset>4019550</wp:posOffset>
                </wp:positionV>
                <wp:extent cx="966470" cy="278765"/>
                <wp:effectExtent l="0" t="0" r="0" b="0"/>
                <wp:wrapNone/>
                <wp:docPr id="206" name="文本框 206"/>
                <wp:cNvGraphicFramePr/>
                <a:graphic xmlns:a="http://schemas.openxmlformats.org/drawingml/2006/main">
                  <a:graphicData uri="http://schemas.microsoft.com/office/word/2010/wordprocessingShape">
                    <wps:wsp>
                      <wps:cNvSpPr txBox="1"/>
                      <wps:spPr>
                        <a:xfrm>
                          <a:off x="0" y="0"/>
                          <a:ext cx="966470" cy="278765"/>
                        </a:xfrm>
                        <a:prstGeom prst="rect">
                          <a:avLst/>
                        </a:prstGeom>
                        <a:noFill/>
                        <a:ln w="6350">
                          <a:noFill/>
                        </a:ln>
                        <a:effectLst/>
                      </wps:spPr>
                      <wps:txbx>
                        <w:txbxContent>
                          <w:p w14:paraId="63620EE3">
                            <w:pPr>
                              <w:rPr>
                                <w:rFonts w:hint="default" w:eastAsia="宋体"/>
                                <w:b/>
                                <w:bCs/>
                                <w:color w:val="FFFF00"/>
                                <w:sz w:val="24"/>
                                <w:szCs w:val="24"/>
                                <w:lang w:val="en-US" w:eastAsia="zh-CN"/>
                              </w:rPr>
                            </w:pPr>
                            <w:r>
                              <w:rPr>
                                <w:rFonts w:hint="eastAsia" w:eastAsia="宋体"/>
                                <w:b/>
                                <w:bCs/>
                                <w:color w:val="FFFF00"/>
                                <w:sz w:val="24"/>
                                <w:szCs w:val="24"/>
                                <w:lang w:val="en-US" w:eastAsia="zh-CN"/>
                              </w:rPr>
                              <w:t>刘堤村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0.35pt;margin-top:316.5pt;height:21.95pt;width:76.1pt;z-index:251801600;mso-width-relative:page;mso-height-relative:page;" filled="f" stroked="f" coordsize="21600,21600" o:gfxdata="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Ia/ljcAAAACwEAAA8AAAAAAAAAAQAg&#10;AAAAIgAAAGRycy9kb3ducmV2LnhtbFBLAQIUABQAAAAIAIdO4kAYH9IbQwIAAHcEAAAOAAAAAAAA&#10;AAEAIAAAACsBAABkcnMvZTJvRG9jLnhtbFBLBQYAAAAABgAGAFkBAADgBQAAAAA=&#10;">
                <v:fill on="f" focussize="0,0"/>
                <v:stroke on="f" weight="0.5pt"/>
                <v:imagedata o:title=""/>
                <o:lock v:ext="edit" aspectratio="f"/>
                <v:textbox>
                  <w:txbxContent>
                    <w:p w14:paraId="63620EE3">
                      <w:pPr>
                        <w:rPr>
                          <w:rFonts w:hint="default" w:eastAsia="宋体"/>
                          <w:b/>
                          <w:bCs/>
                          <w:color w:val="FFFF00"/>
                          <w:sz w:val="24"/>
                          <w:szCs w:val="24"/>
                          <w:lang w:val="en-US" w:eastAsia="zh-CN"/>
                        </w:rPr>
                      </w:pPr>
                      <w:r>
                        <w:rPr>
                          <w:rFonts w:hint="eastAsia" w:eastAsia="宋体"/>
                          <w:b/>
                          <w:bCs/>
                          <w:color w:val="FFFF00"/>
                          <w:sz w:val="24"/>
                          <w:szCs w:val="24"/>
                          <w:lang w:val="en-US" w:eastAsia="zh-CN"/>
                        </w:rPr>
                        <w:t>刘堤村</w:t>
                      </w:r>
                    </w:p>
                  </w:txbxContent>
                </v:textbox>
              </v:shape>
            </w:pict>
          </mc:Fallback>
        </mc:AlternateContent>
      </w:r>
      <w:r>
        <w:rPr>
          <w:sz w:val="21"/>
        </w:rPr>
        <mc:AlternateContent>
          <mc:Choice Requires="wps">
            <w:drawing>
              <wp:anchor distT="0" distB="0" distL="114300" distR="114300" simplePos="0" relativeHeight="251795456" behindDoc="0" locked="0" layoutInCell="1" allowOverlap="1">
                <wp:simplePos x="0" y="0"/>
                <wp:positionH relativeFrom="column">
                  <wp:posOffset>3227070</wp:posOffset>
                </wp:positionH>
                <wp:positionV relativeFrom="paragraph">
                  <wp:posOffset>974725</wp:posOffset>
                </wp:positionV>
                <wp:extent cx="1650365" cy="278765"/>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966470" cy="278765"/>
                        </a:xfrm>
                        <a:prstGeom prst="rect">
                          <a:avLst/>
                        </a:prstGeom>
                        <a:noFill/>
                        <a:ln w="6350">
                          <a:noFill/>
                        </a:ln>
                        <a:effectLst/>
                      </wps:spPr>
                      <wps:txbx>
                        <w:txbxContent>
                          <w:p w14:paraId="63079180">
                            <w:pPr>
                              <w:rPr>
                                <w:rFonts w:hint="default" w:eastAsia="宋体"/>
                                <w:b/>
                                <w:bCs/>
                                <w:color w:val="FFFF00"/>
                                <w:sz w:val="24"/>
                                <w:szCs w:val="24"/>
                                <w:highlight w:val="none"/>
                                <w:lang w:val="en-US" w:eastAsia="zh-CN"/>
                              </w:rPr>
                            </w:pPr>
                            <w:r>
                              <w:rPr>
                                <w:rFonts w:hint="eastAsia"/>
                                <w:b/>
                                <w:bCs/>
                                <w:color w:val="FFFF00"/>
                                <w:sz w:val="24"/>
                                <w:szCs w:val="24"/>
                                <w:highlight w:val="none"/>
                                <w:lang w:val="en-US" w:eastAsia="zh-CN"/>
                              </w:rPr>
                              <w:t>德  源    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4.1pt;margin-top:76.75pt;height:21.95pt;width:129.95pt;z-index:251795456;mso-width-relative:page;mso-height-relative:page;" filled="f" stroked="f" coordsize="21600,21600" o:gfxdata="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nQN3zcAAAACwEAAA8AAAAAAAAAAQAg&#10;AAAAIgAAAGRycy9kb3ducmV2LnhtbFBLAQIUABQAAAAIAIdO4kD7uMdyQwIAAHcEAAAOAAAAAAAA&#10;AAEAIAAAACsBAABkcnMvZTJvRG9jLnhtbFBLBQYAAAAABgAGAFkBAADgBQAAAAA=&#10;">
                <v:fill on="f" focussize="0,0"/>
                <v:stroke on="f" weight="0.5pt"/>
                <v:imagedata o:title=""/>
                <o:lock v:ext="edit" aspectratio="f"/>
                <v:textbox>
                  <w:txbxContent>
                    <w:p w14:paraId="63079180">
                      <w:pPr>
                        <w:rPr>
                          <w:rFonts w:hint="default" w:eastAsia="宋体"/>
                          <w:b/>
                          <w:bCs/>
                          <w:color w:val="FFFF00"/>
                          <w:sz w:val="24"/>
                          <w:szCs w:val="24"/>
                          <w:highlight w:val="none"/>
                          <w:lang w:val="en-US" w:eastAsia="zh-CN"/>
                        </w:rPr>
                      </w:pPr>
                      <w:r>
                        <w:rPr>
                          <w:rFonts w:hint="eastAsia"/>
                          <w:b/>
                          <w:bCs/>
                          <w:color w:val="FFFF00"/>
                          <w:sz w:val="24"/>
                          <w:szCs w:val="24"/>
                          <w:highlight w:val="none"/>
                          <w:lang w:val="en-US" w:eastAsia="zh-CN"/>
                        </w:rPr>
                        <w:t>德  源    路</w:t>
                      </w:r>
                    </w:p>
                  </w:txbxContent>
                </v:textbox>
              </v:shape>
            </w:pict>
          </mc:Fallback>
        </mc:AlternateContent>
      </w:r>
      <w:r>
        <w:rPr>
          <w:sz w:val="21"/>
        </w:rPr>
        <mc:AlternateContent>
          <mc:Choice Requires="wps">
            <w:drawing>
              <wp:anchor distT="0" distB="0" distL="114300" distR="114300" simplePos="0" relativeHeight="251794432" behindDoc="0" locked="0" layoutInCell="1" allowOverlap="1">
                <wp:simplePos x="0" y="0"/>
                <wp:positionH relativeFrom="column">
                  <wp:posOffset>753745</wp:posOffset>
                </wp:positionH>
                <wp:positionV relativeFrom="paragraph">
                  <wp:posOffset>4216400</wp:posOffset>
                </wp:positionV>
                <wp:extent cx="966470" cy="278765"/>
                <wp:effectExtent l="0" t="0" r="0" b="0"/>
                <wp:wrapNone/>
                <wp:docPr id="208" name="文本框 208"/>
                <wp:cNvGraphicFramePr/>
                <a:graphic xmlns:a="http://schemas.openxmlformats.org/drawingml/2006/main">
                  <a:graphicData uri="http://schemas.microsoft.com/office/word/2010/wordprocessingShape">
                    <wps:wsp>
                      <wps:cNvSpPr txBox="1"/>
                      <wps:spPr>
                        <a:xfrm>
                          <a:off x="0" y="0"/>
                          <a:ext cx="966470" cy="278765"/>
                        </a:xfrm>
                        <a:prstGeom prst="rect">
                          <a:avLst/>
                        </a:prstGeom>
                        <a:noFill/>
                        <a:ln w="6350">
                          <a:noFill/>
                        </a:ln>
                        <a:effectLst/>
                      </wps:spPr>
                      <wps:txbx>
                        <w:txbxContent>
                          <w:p w14:paraId="2E6043AE">
                            <w:pPr>
                              <w:rPr>
                                <w:rFonts w:hint="default" w:eastAsia="宋体"/>
                                <w:lang w:val="en-US" w:eastAsia="zh-CN"/>
                              </w:rPr>
                            </w:pPr>
                            <w:r>
                              <w:rPr>
                                <w:rFonts w:hint="eastAsia"/>
                                <w:lang w:val="en-US" w:eastAsia="zh-CN"/>
                              </w:rPr>
                              <w:t>本项目厂房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35pt;margin-top:332pt;height:21.95pt;width:76.1pt;z-index:251794432;mso-width-relative:page;mso-height-relative:page;" filled="f" stroked="f" coordsize="21600,21600" o:gfxdata="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xO8vztsAAAALAQAADwAAAAAAAAABACAA&#10;AAAiAAAAZHJzL2Rvd25yZXYueG1sUEsBAhQAFAAAAAgAh07iQPBuy99DAgAAdwQAAA4AAAAAAAAA&#10;AQAgAAAAKgEAAGRycy9lMm9Eb2MueG1sUEsFBgAAAAAGAAYAWQEAAN8FAAAAAA==&#10;">
                <v:fill on="f" focussize="0,0"/>
                <v:stroke on="f" weight="0.5pt"/>
                <v:imagedata o:title=""/>
                <o:lock v:ext="edit" aspectratio="f"/>
                <v:textbox>
                  <w:txbxContent>
                    <w:p w14:paraId="2E6043AE">
                      <w:pPr>
                        <w:rPr>
                          <w:rFonts w:hint="default" w:eastAsia="宋体"/>
                          <w:lang w:val="en-US" w:eastAsia="zh-CN"/>
                        </w:rPr>
                      </w:pPr>
                      <w:r>
                        <w:rPr>
                          <w:rFonts w:hint="eastAsia"/>
                          <w:lang w:val="en-US" w:eastAsia="zh-CN"/>
                        </w:rPr>
                        <w:t>本项目厂房</w:t>
                      </w:r>
                    </w:p>
                  </w:txbxContent>
                </v:textbox>
              </v:shape>
            </w:pict>
          </mc:Fallback>
        </mc:AlternateContent>
      </w:r>
      <w:r>
        <w:rPr>
          <w:sz w:val="21"/>
        </w:rPr>
        <mc:AlternateContent>
          <mc:Choice Requires="wps">
            <w:drawing>
              <wp:anchor distT="0" distB="0" distL="114300" distR="114300" simplePos="0" relativeHeight="251792384" behindDoc="0" locked="0" layoutInCell="1" allowOverlap="1">
                <wp:simplePos x="0" y="0"/>
                <wp:positionH relativeFrom="column">
                  <wp:posOffset>740410</wp:posOffset>
                </wp:positionH>
                <wp:positionV relativeFrom="paragraph">
                  <wp:posOffset>3924300</wp:posOffset>
                </wp:positionV>
                <wp:extent cx="1142365" cy="278765"/>
                <wp:effectExtent l="0" t="0" r="0" b="0"/>
                <wp:wrapNone/>
                <wp:docPr id="207" name="文本框 207"/>
                <wp:cNvGraphicFramePr/>
                <a:graphic xmlns:a="http://schemas.openxmlformats.org/drawingml/2006/main">
                  <a:graphicData uri="http://schemas.microsoft.com/office/word/2010/wordprocessingShape">
                    <wps:wsp>
                      <wps:cNvSpPr txBox="1"/>
                      <wps:spPr>
                        <a:xfrm>
                          <a:off x="1639570" y="1651000"/>
                          <a:ext cx="1142365" cy="278765"/>
                        </a:xfrm>
                        <a:prstGeom prst="rect">
                          <a:avLst/>
                        </a:prstGeom>
                        <a:noFill/>
                        <a:ln w="6350">
                          <a:noFill/>
                        </a:ln>
                        <a:effectLst/>
                      </wps:spPr>
                      <wps:txbx>
                        <w:txbxContent>
                          <w:p w14:paraId="3FD42150">
                            <w:pPr>
                              <w:rPr>
                                <w:rFonts w:hint="default" w:eastAsia="宋体"/>
                                <w:lang w:val="en-US" w:eastAsia="zh-CN"/>
                              </w:rPr>
                            </w:pPr>
                            <w:r>
                              <w:rPr>
                                <w:rFonts w:hint="eastAsia"/>
                                <w:lang w:val="en-US" w:eastAsia="zh-CN"/>
                              </w:rPr>
                              <w:t>本项目所在厂区厂区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3pt;margin-top:309pt;height:21.95pt;width:89.95pt;z-index:251792384;mso-width-relative:page;mso-height-relative:page;" filled="f" stroked="f" coordsize="21600,21600" o:gfxdata="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GSa9w2gAAAAsBAAAPAAAA&#10;AAAAAAEAIAAAACIAAABkcnMvZG93bnJldi54bWxQSwECFAAUAAAACACHTuJAEBp2lEwCAACEBAAA&#10;DgAAAAAAAAABACAAAAApAQAAZHJzL2Uyb0RvYy54bWxQSwUGAAAAAAYABgBZAQAA5wUAAAAA&#10;">
                <v:fill on="f" focussize="0,0"/>
                <v:stroke on="f" weight="0.5pt"/>
                <v:imagedata o:title=""/>
                <o:lock v:ext="edit" aspectratio="f"/>
                <v:textbox>
                  <w:txbxContent>
                    <w:p w14:paraId="3FD42150">
                      <w:pPr>
                        <w:rPr>
                          <w:rFonts w:hint="default" w:eastAsia="宋体"/>
                          <w:lang w:val="en-US" w:eastAsia="zh-CN"/>
                        </w:rPr>
                      </w:pPr>
                      <w:r>
                        <w:rPr>
                          <w:rFonts w:hint="eastAsia"/>
                          <w:lang w:val="en-US" w:eastAsia="zh-CN"/>
                        </w:rPr>
                        <w:t>本项目所在厂区厂区</w:t>
                      </w:r>
                    </w:p>
                  </w:txbxContent>
                </v:textbox>
              </v:shape>
            </w:pict>
          </mc:Fallback>
        </mc:AlternateContent>
      </w:r>
    </w:p>
    <w:p w14:paraId="3AE2509C">
      <w:pPr>
        <w:keepNext w:val="0"/>
        <w:keepLines w:val="0"/>
        <w:widowControl/>
        <w:suppressLineNumbers w:val="0"/>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附图4  项目周边环境示意图</w:t>
      </w:r>
    </w:p>
    <w:p w14:paraId="722612D4">
      <w:pPr>
        <w:keepNext w:val="0"/>
        <w:keepLines w:val="0"/>
        <w:widowControl/>
        <w:suppressLineNumbers w:val="0"/>
        <w:jc w:val="center"/>
        <w:rPr>
          <w:rFonts w:hint="default" w:ascii="Times New Roman" w:hAnsi="Times New Roman" w:eastAsia="宋体" w:cs="Times New Roman"/>
          <w:b/>
          <w:bCs/>
          <w:sz w:val="24"/>
          <w:szCs w:val="24"/>
          <w:lang w:val="en-US" w:eastAsia="zh-CN"/>
        </w:rPr>
        <w:sectPr>
          <w:pgSz w:w="16838" w:h="11906" w:orient="landscape"/>
          <w:pgMar w:top="1440" w:right="1440" w:bottom="1440"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42F5F29B">
      <w:pPr>
        <w:keepNext w:val="0"/>
        <w:keepLines w:val="0"/>
        <w:widowControl/>
        <w:suppressLineNumbers w:val="0"/>
        <w:jc w:val="center"/>
        <w:rPr>
          <w:rFonts w:hint="default"/>
          <w:lang w:val="en-US" w:eastAsia="zh-CN"/>
        </w:rPr>
      </w:pPr>
      <w:r>
        <w:rPr>
          <w:sz w:val="21"/>
        </w:rPr>
        <mc:AlternateContent>
          <mc:Choice Requires="wps">
            <w:drawing>
              <wp:anchor distT="0" distB="0" distL="114300" distR="114300" simplePos="0" relativeHeight="251850752" behindDoc="0" locked="0" layoutInCell="1" allowOverlap="1">
                <wp:simplePos x="0" y="0"/>
                <wp:positionH relativeFrom="column">
                  <wp:posOffset>5299075</wp:posOffset>
                </wp:positionH>
                <wp:positionV relativeFrom="paragraph">
                  <wp:posOffset>68580</wp:posOffset>
                </wp:positionV>
                <wp:extent cx="637540" cy="542290"/>
                <wp:effectExtent l="23495" t="5080" r="24765" b="5080"/>
                <wp:wrapNone/>
                <wp:docPr id="201" name="上箭头 201"/>
                <wp:cNvGraphicFramePr/>
                <a:graphic xmlns:a="http://schemas.openxmlformats.org/drawingml/2006/main">
                  <a:graphicData uri="http://schemas.microsoft.com/office/word/2010/wordprocessingShape">
                    <wps:wsp>
                      <wps:cNvSpPr/>
                      <wps:spPr>
                        <a:xfrm>
                          <a:off x="0" y="0"/>
                          <a:ext cx="637540" cy="542290"/>
                        </a:xfrm>
                        <a:prstGeom prst="up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txbx>
                        <w:txbxContent>
                          <w:p w14:paraId="596DE62B">
                            <w:pPr>
                              <w:jc w:val="center"/>
                              <w:rPr>
                                <w:rFonts w:hint="eastAsia" w:eastAsia="宋体"/>
                                <w:lang w:val="en-US" w:eastAsia="zh-CN"/>
                              </w:rPr>
                            </w:pPr>
                            <w:r>
                              <w:rPr>
                                <w:rFonts w:hint="eastAsia"/>
                                <w:lang w:val="en-US" w:eastAsia="zh-CN"/>
                              </w:rPr>
                              <w:t>北</w:t>
                            </w:r>
                          </w:p>
                        </w:txbxContent>
                      </wps:txbx>
                      <wps:bodyPr upright="1"/>
                    </wps:wsp>
                  </a:graphicData>
                </a:graphic>
              </wp:anchor>
            </w:drawing>
          </mc:Choice>
          <mc:Fallback>
            <w:pict>
              <v:shape id="_x0000_s1026" o:spid="_x0000_s1026" o:spt="68" type="#_x0000_t68" style="position:absolute;left:0pt;margin-left:417.25pt;margin-top:5.4pt;height:42.7pt;width:50.2pt;z-index:251850752;mso-width-relative:page;mso-height-relative:page;" fillcolor="#FFFFFF" filled="t" stroked="t" coordsize="21600,21600" o:gfxdata="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SVuavXAAAACQEAAA8AAAAAAAAAAQAgAAAAIgAAAGRycy9kb3ducmV2LnhtbFBLAQIUABQA&#10;AAAIAIdO4kDXoW1uKgIAAIMEAAAOAAAAAAAAAAEAIAAAACYBAABkcnMvZTJvRG9jLnhtbFBLBQYA&#10;AAAABgAGAFkBAADCBQAAAAA=&#10;" adj="5400,5400">
                <v:fill on="t" focussize="0,0"/>
                <v:stroke color="#000000" joinstyle="miter"/>
                <v:imagedata o:title=""/>
                <o:lock v:ext="edit" aspectratio="f"/>
                <v:textbox>
                  <w:txbxContent>
                    <w:p w14:paraId="596DE62B">
                      <w:pPr>
                        <w:jc w:val="center"/>
                        <w:rPr>
                          <w:rFonts w:hint="eastAsia" w:eastAsia="宋体"/>
                          <w:lang w:val="en-US" w:eastAsia="zh-CN"/>
                        </w:rPr>
                      </w:pPr>
                      <w:r>
                        <w:rPr>
                          <w:rFonts w:hint="eastAsia"/>
                          <w:lang w:val="en-US" w:eastAsia="zh-CN"/>
                        </w:rPr>
                        <w:t>北</w:t>
                      </w:r>
                    </w:p>
                  </w:txbxContent>
                </v:textbox>
              </v:shape>
            </w:pict>
          </mc:Fallback>
        </mc:AlternateContent>
      </w:r>
      <w:r>
        <w:rPr>
          <w:sz w:val="21"/>
        </w:rPr>
        <mc:AlternateContent>
          <mc:Choice Requires="wps">
            <w:drawing>
              <wp:anchor distT="0" distB="0" distL="114300" distR="114300" simplePos="0" relativeHeight="251844608" behindDoc="0" locked="0" layoutInCell="1" allowOverlap="1">
                <wp:simplePos x="0" y="0"/>
                <wp:positionH relativeFrom="column">
                  <wp:posOffset>1187450</wp:posOffset>
                </wp:positionH>
                <wp:positionV relativeFrom="paragraph">
                  <wp:posOffset>123825</wp:posOffset>
                </wp:positionV>
                <wp:extent cx="2694940" cy="275590"/>
                <wp:effectExtent l="0" t="0" r="0" b="0"/>
                <wp:wrapNone/>
                <wp:docPr id="210" name="文本框 210"/>
                <wp:cNvGraphicFramePr/>
                <a:graphic xmlns:a="http://schemas.openxmlformats.org/drawingml/2006/main">
                  <a:graphicData uri="http://schemas.microsoft.com/office/word/2010/wordprocessingShape">
                    <wps:wsp>
                      <wps:cNvSpPr txBox="1"/>
                      <wps:spPr>
                        <a:xfrm>
                          <a:off x="0" y="0"/>
                          <a:ext cx="2694940" cy="275590"/>
                        </a:xfrm>
                        <a:prstGeom prst="rect">
                          <a:avLst/>
                        </a:prstGeom>
                        <a:noFill/>
                        <a:ln>
                          <a:noFill/>
                        </a:ln>
                      </wps:spPr>
                      <wps:txbx>
                        <w:txbxContent>
                          <w:p w14:paraId="1F04FE3A">
                            <w:pPr>
                              <w:ind w:firstLine="1920" w:firstLineChars="800"/>
                              <w:rPr>
                                <w:rFonts w:hint="eastAsia" w:eastAsia="宋体"/>
                                <w:sz w:val="24"/>
                                <w:szCs w:val="24"/>
                                <w:lang w:val="en-US" w:eastAsia="zh-CN"/>
                              </w:rPr>
                            </w:pPr>
                            <w:r>
                              <w:rPr>
                                <w:rFonts w:hint="eastAsia"/>
                                <w:sz w:val="24"/>
                                <w:szCs w:val="24"/>
                                <w:lang w:val="en-US" w:eastAsia="zh-CN"/>
                              </w:rPr>
                              <w:t>德    源    路</w:t>
                            </w:r>
                          </w:p>
                        </w:txbxContent>
                      </wps:txbx>
                      <wps:bodyPr upright="1"/>
                    </wps:wsp>
                  </a:graphicData>
                </a:graphic>
              </wp:anchor>
            </w:drawing>
          </mc:Choice>
          <mc:Fallback>
            <w:pict>
              <v:shape id="_x0000_s1026" o:spid="_x0000_s1026" o:spt="202" type="#_x0000_t202" style="position:absolute;left:0pt;margin-left:93.5pt;margin-top:9.75pt;height:21.7pt;width:212.2pt;z-index:251844608;mso-width-relative:page;mso-height-relative:page;" filled="f" stroked="f" coordsize="21600,21600" o:gfxdata="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DuzN0nW&#10;AAAACQEAAA8AAAAAAAAAAQAgAAAAIgAAAGRycy9kb3ducmV2LnhtbFBLAQIUABQAAAAIAIdO4kCj&#10;m0VVsAEAAFIDAAAOAAAAAAAAAAEAIAAAACUBAABkcnMvZTJvRG9jLnhtbFBLBQYAAAAABgAGAFkB&#10;AABHBQAAAAA=&#10;">
                <v:fill on="f" focussize="0,0"/>
                <v:stroke on="f"/>
                <v:imagedata o:title=""/>
                <o:lock v:ext="edit" aspectratio="f"/>
                <v:textbox>
                  <w:txbxContent>
                    <w:p w14:paraId="1F04FE3A">
                      <w:pPr>
                        <w:ind w:firstLine="1920" w:firstLineChars="800"/>
                        <w:rPr>
                          <w:rFonts w:hint="eastAsia" w:eastAsia="宋体"/>
                          <w:sz w:val="24"/>
                          <w:szCs w:val="24"/>
                          <w:lang w:val="en-US" w:eastAsia="zh-CN"/>
                        </w:rPr>
                      </w:pPr>
                      <w:r>
                        <w:rPr>
                          <w:rFonts w:hint="eastAsia"/>
                          <w:sz w:val="24"/>
                          <w:szCs w:val="24"/>
                          <w:lang w:val="en-US" w:eastAsia="zh-CN"/>
                        </w:rPr>
                        <w:t>德    源    路</w:t>
                      </w:r>
                    </w:p>
                  </w:txbxContent>
                </v:textbox>
              </v:shape>
            </w:pict>
          </mc:Fallback>
        </mc:AlternateContent>
      </w:r>
    </w:p>
    <w:p w14:paraId="6513CC92">
      <w:pPr>
        <w:keepNext w:val="0"/>
        <w:keepLines w:val="0"/>
        <w:widowControl/>
        <w:suppressLineNumbers w:val="0"/>
        <w:jc w:val="center"/>
        <w:rPr>
          <w:rFonts w:hint="default"/>
          <w:lang w:val="en-US" w:eastAsia="zh-CN"/>
        </w:rPr>
      </w:pPr>
      <w:r>
        <w:rPr>
          <w:sz w:val="21"/>
        </w:rPr>
        <mc:AlternateContent>
          <mc:Choice Requires="wps">
            <w:drawing>
              <wp:anchor distT="0" distB="0" distL="114300" distR="114300" simplePos="0" relativeHeight="251843584" behindDoc="0" locked="0" layoutInCell="1" allowOverlap="1">
                <wp:simplePos x="0" y="0"/>
                <wp:positionH relativeFrom="column">
                  <wp:posOffset>41275</wp:posOffset>
                </wp:positionH>
                <wp:positionV relativeFrom="paragraph">
                  <wp:posOffset>34290</wp:posOffset>
                </wp:positionV>
                <wp:extent cx="5164455" cy="21590"/>
                <wp:effectExtent l="0" t="4445" r="17145" b="12065"/>
                <wp:wrapNone/>
                <wp:docPr id="198" name="直接连接符 198"/>
                <wp:cNvGraphicFramePr/>
                <a:graphic xmlns:a="http://schemas.openxmlformats.org/drawingml/2006/main">
                  <a:graphicData uri="http://schemas.microsoft.com/office/word/2010/wordprocessingShape">
                    <wps:wsp>
                      <wps:cNvSpPr/>
                      <wps:spPr>
                        <a:xfrm>
                          <a:off x="0" y="0"/>
                          <a:ext cx="5164455" cy="2159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25pt;margin-top:2.7pt;height:1.7pt;width:406.65pt;z-index:251843584;mso-width-relative:page;mso-height-relative:page;" filled="f" stroked="t" coordsize="21600,21600" o:gfxdata="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Zpls1AAAAAUBAAAPAAAAAAAAAAEAIAAAACIAAABkcnMvZG93bnJldi54bWxQ&#10;SwECFAAUAAAACACHTuJARDWHL/sBAADsAwAADgAAAAAAAAABACAAAAAjAQAAZHJzL2Uyb0RvYy54&#10;bWxQSwUGAAAAAAYABgBZAQAAkAUAAAAA&#10;">
                <v:fill on="f" focussize="0,0"/>
                <v:stroke color="#000000" joinstyle="round"/>
                <v:imagedata o:title=""/>
                <o:lock v:ext="edit" aspectratio="f"/>
              </v:line>
            </w:pict>
          </mc:Fallback>
        </mc:AlternateContent>
      </w:r>
    </w:p>
    <w:p w14:paraId="3935F399">
      <w:pPr>
        <w:keepNext w:val="0"/>
        <w:keepLines w:val="0"/>
        <w:widowControl/>
        <w:suppressLineNumbers w:val="0"/>
        <w:jc w:val="center"/>
        <w:rPr>
          <w:rFonts w:hint="default"/>
          <w:lang w:val="en-US" w:eastAsia="zh-CN"/>
        </w:rPr>
      </w:pPr>
      <w:r>
        <w:rPr>
          <w:sz w:val="24"/>
        </w:rPr>
        <mc:AlternateContent>
          <mc:Choice Requires="wps">
            <w:drawing>
              <wp:anchor distT="0" distB="0" distL="114300" distR="114300" simplePos="0" relativeHeight="251779072" behindDoc="1" locked="0" layoutInCell="1" allowOverlap="1">
                <wp:simplePos x="0" y="0"/>
                <wp:positionH relativeFrom="column">
                  <wp:posOffset>1727200</wp:posOffset>
                </wp:positionH>
                <wp:positionV relativeFrom="paragraph">
                  <wp:posOffset>101600</wp:posOffset>
                </wp:positionV>
                <wp:extent cx="1120775" cy="327025"/>
                <wp:effectExtent l="0" t="0" r="0" b="0"/>
                <wp:wrapNone/>
                <wp:docPr id="202" name="文本框 202"/>
                <wp:cNvGraphicFramePr/>
                <a:graphic xmlns:a="http://schemas.openxmlformats.org/drawingml/2006/main">
                  <a:graphicData uri="http://schemas.microsoft.com/office/word/2010/wordprocessingShape">
                    <wps:wsp>
                      <wps:cNvSpPr txBox="1"/>
                      <wps:spPr>
                        <a:xfrm>
                          <a:off x="0" y="0"/>
                          <a:ext cx="1120775" cy="327025"/>
                        </a:xfrm>
                        <a:prstGeom prst="rect">
                          <a:avLst/>
                        </a:prstGeom>
                        <a:noFill/>
                        <a:ln>
                          <a:noFill/>
                        </a:ln>
                      </wps:spPr>
                      <wps:txbx>
                        <w:txbxContent>
                          <w:p w14:paraId="3D9E35C2">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D</w:t>
                            </w:r>
                            <w:r>
                              <w:rPr>
                                <w:rFonts w:hint="eastAsia" w:ascii="Times New Roman" w:hAnsi="Times New Roman" w:eastAsia="宋体" w:cs="Times New Roman"/>
                                <w:lang w:val="en-US" w:eastAsia="zh-CN"/>
                              </w:rPr>
                              <w:t>W</w:t>
                            </w:r>
                            <w:r>
                              <w:rPr>
                                <w:rFonts w:hint="default" w:ascii="Times New Roman" w:hAnsi="Times New Roman" w:eastAsia="宋体" w:cs="Times New Roman"/>
                                <w:lang w:val="en-US" w:eastAsia="zh-CN"/>
                              </w:rPr>
                              <w:t>00</w:t>
                            </w:r>
                            <w:r>
                              <w:rPr>
                                <w:rFonts w:hint="eastAsia" w:ascii="Times New Roman" w:hAnsi="Times New Roman" w:eastAsia="宋体" w:cs="Times New Roman"/>
                                <w:lang w:val="en-US" w:eastAsia="zh-CN"/>
                              </w:rPr>
                              <w:t>1</w:t>
                            </w:r>
                          </w:p>
                        </w:txbxContent>
                      </wps:txbx>
                      <wps:bodyPr upright="1"/>
                    </wps:wsp>
                  </a:graphicData>
                </a:graphic>
              </wp:anchor>
            </w:drawing>
          </mc:Choice>
          <mc:Fallback>
            <w:pict>
              <v:shape id="_x0000_s1026" o:spid="_x0000_s1026" o:spt="202" type="#_x0000_t202" style="position:absolute;left:0pt;margin-left:136pt;margin-top:8pt;height:25.75pt;width:88.25pt;z-index:-251537408;mso-width-relative:page;mso-height-relative:page;" filled="f" stroked="f" coordsize="21600,21600" o:gfxdata="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A8KL/tcA&#10;AAAJAQAADwAAAAAAAAABACAAAAAiAAAAZHJzL2Rvd25yZXYueG1sUEsBAhQAFAAAAAgAh07iQF1C&#10;jYeuAQAAUgMAAA4AAAAAAAAAAQAgAAAAJgEAAGRycy9lMm9Eb2MueG1sUEsFBgAAAAAGAAYAWQEA&#10;AEYFAAAAAA==&#10;">
                <v:fill on="f" focussize="0,0"/>
                <v:stroke on="f"/>
                <v:imagedata o:title=""/>
                <o:lock v:ext="edit" aspectratio="f"/>
                <v:textbox>
                  <w:txbxContent>
                    <w:p w14:paraId="3D9E35C2">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D</w:t>
                      </w:r>
                      <w:r>
                        <w:rPr>
                          <w:rFonts w:hint="eastAsia" w:ascii="Times New Roman" w:hAnsi="Times New Roman" w:eastAsia="宋体" w:cs="Times New Roman"/>
                          <w:lang w:val="en-US" w:eastAsia="zh-CN"/>
                        </w:rPr>
                        <w:t>W</w:t>
                      </w:r>
                      <w:r>
                        <w:rPr>
                          <w:rFonts w:hint="default" w:ascii="Times New Roman" w:hAnsi="Times New Roman" w:eastAsia="宋体" w:cs="Times New Roman"/>
                          <w:lang w:val="en-US" w:eastAsia="zh-CN"/>
                        </w:rPr>
                        <w:t>00</w:t>
                      </w:r>
                      <w:r>
                        <w:rPr>
                          <w:rFonts w:hint="eastAsia" w:ascii="Times New Roman" w:hAnsi="Times New Roman" w:eastAsia="宋体" w:cs="Times New Roman"/>
                          <w:lang w:val="en-US" w:eastAsia="zh-CN"/>
                        </w:rPr>
                        <w:t>1</w:t>
                      </w:r>
                    </w:p>
                  </w:txbxContent>
                </v:textbox>
              </v:shape>
            </w:pict>
          </mc:Fallback>
        </mc:AlternateContent>
      </w:r>
      <w:r>
        <w:rPr>
          <w:sz w:val="24"/>
        </w:rPr>
        <mc:AlternateContent>
          <mc:Choice Requires="wps">
            <w:drawing>
              <wp:anchor distT="0" distB="0" distL="114300" distR="114300" simplePos="0" relativeHeight="251854848" behindDoc="0" locked="0" layoutInCell="1" allowOverlap="1">
                <wp:simplePos x="0" y="0"/>
                <wp:positionH relativeFrom="column">
                  <wp:posOffset>2548890</wp:posOffset>
                </wp:positionH>
                <wp:positionV relativeFrom="paragraph">
                  <wp:posOffset>130810</wp:posOffset>
                </wp:positionV>
                <wp:extent cx="576580" cy="356235"/>
                <wp:effectExtent l="0" t="0" r="13970" b="5715"/>
                <wp:wrapNone/>
                <wp:docPr id="119" name="矩形 119"/>
                <wp:cNvGraphicFramePr/>
                <a:graphic xmlns:a="http://schemas.openxmlformats.org/drawingml/2006/main">
                  <a:graphicData uri="http://schemas.microsoft.com/office/word/2010/wordprocessingShape">
                    <wps:wsp>
                      <wps:cNvSpPr/>
                      <wps:spPr>
                        <a:xfrm>
                          <a:off x="0" y="0"/>
                          <a:ext cx="576580" cy="356235"/>
                        </a:xfrm>
                        <a:prstGeom prst="rect">
                          <a:avLst/>
                        </a:prstGeom>
                        <a:solidFill>
                          <a:srgbClr val="FFFFFF"/>
                        </a:solidFill>
                        <a:ln>
                          <a:noFill/>
                        </a:ln>
                      </wps:spPr>
                      <wps:txbx>
                        <w:txbxContent>
                          <w:p w14:paraId="7E39E5DC">
                            <w:pPr>
                              <w:rPr>
                                <w:rFonts w:hint="default" w:eastAsia="宋体"/>
                                <w:lang w:val="en-US" w:eastAsia="zh-CN"/>
                              </w:rPr>
                            </w:pPr>
                            <w:r>
                              <w:rPr>
                                <w:rFonts w:hint="eastAsia"/>
                                <w:lang w:val="en-US" w:eastAsia="zh-CN"/>
                              </w:rPr>
                              <w:t>大门</w:t>
                            </w:r>
                          </w:p>
                        </w:txbxContent>
                      </wps:txbx>
                      <wps:bodyPr upright="1"/>
                    </wps:wsp>
                  </a:graphicData>
                </a:graphic>
              </wp:anchor>
            </w:drawing>
          </mc:Choice>
          <mc:Fallback>
            <w:pict>
              <v:rect id="_x0000_s1026" o:spid="_x0000_s1026" o:spt="1" style="position:absolute;left:0pt;margin-left:200.7pt;margin-top:10.3pt;height:28.05pt;width:45.4pt;z-index:251854848;mso-width-relative:page;mso-height-relative:page;" fillcolor="#FFFFFF" filled="t" stroked="f" coordsize="21600,21600" o:gfxdata="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tC71LXAAAACQEAAA8AAAAAAAAAAQAgAAAAIgAAAGRycy9kb3ducmV2LnhtbFBLAQIUABQA&#10;AAAIAIdO4kAmDDlTuAEAAG0DAAAOAAAAAAAAAAEAIAAAACYBAABkcnMvZTJvRG9jLnhtbFBLBQYA&#10;AAAABgAGAFkBAABQBQAAAAA=&#10;">
                <v:fill on="t" focussize="0,0"/>
                <v:stroke on="f"/>
                <v:imagedata o:title=""/>
                <o:lock v:ext="edit" aspectratio="f"/>
                <v:textbox>
                  <w:txbxContent>
                    <w:p w14:paraId="7E39E5DC">
                      <w:pPr>
                        <w:rPr>
                          <w:rFonts w:hint="default" w:eastAsia="宋体"/>
                          <w:lang w:val="en-US" w:eastAsia="zh-CN"/>
                        </w:rPr>
                      </w:pPr>
                      <w:r>
                        <w:rPr>
                          <w:rFonts w:hint="eastAsia"/>
                          <w:lang w:val="en-US" w:eastAsia="zh-CN"/>
                        </w:rPr>
                        <w:t>大门</w:t>
                      </w:r>
                    </w:p>
                  </w:txbxContent>
                </v:textbox>
              </v:rect>
            </w:pict>
          </mc:Fallback>
        </mc:AlternateContent>
      </w:r>
      <w:r>
        <w:rPr>
          <w:sz w:val="21"/>
        </w:rPr>
        <mc:AlternateContent>
          <mc:Choice Requires="wps">
            <w:drawing>
              <wp:anchor distT="0" distB="0" distL="114300" distR="114300" simplePos="0" relativeHeight="251842560" behindDoc="0" locked="0" layoutInCell="1" allowOverlap="1">
                <wp:simplePos x="0" y="0"/>
                <wp:positionH relativeFrom="column">
                  <wp:posOffset>40005</wp:posOffset>
                </wp:positionH>
                <wp:positionV relativeFrom="paragraph">
                  <wp:posOffset>132080</wp:posOffset>
                </wp:positionV>
                <wp:extent cx="5128260" cy="14605"/>
                <wp:effectExtent l="0" t="4445" r="15240" b="9525"/>
                <wp:wrapNone/>
                <wp:docPr id="121" name="直接连接符 121"/>
                <wp:cNvGraphicFramePr/>
                <a:graphic xmlns:a="http://schemas.openxmlformats.org/drawingml/2006/main">
                  <a:graphicData uri="http://schemas.microsoft.com/office/word/2010/wordprocessingShape">
                    <wps:wsp>
                      <wps:cNvSpPr/>
                      <wps:spPr>
                        <a:xfrm>
                          <a:off x="0" y="0"/>
                          <a:ext cx="5128260" cy="146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15pt;margin-top:10.4pt;height:1.15pt;width:403.8pt;z-index:251842560;mso-width-relative:page;mso-height-relative:page;" filled="f" stroked="t" coordsize="21600,21600" o:gfxdata="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EmYd9UAAAAHAQAADwAAAAAAAAABACAAAAAiAAAAZHJzL2Rvd25yZXYueG1sUEsB&#10;AhQAFAAAAAgAh07iQDQ0pNj4AQAA7AMAAA4AAAAAAAAAAQAgAAAAJAEAAGRycy9lMm9Eb2MueG1s&#10;UEsFBgAAAAAGAAYAWQEAAI4FAAAAAA==&#10;">
                <v:fill on="f" focussize="0,0"/>
                <v:stroke color="#000000" joinstyle="round"/>
                <v:imagedata o:title=""/>
                <o:lock v:ext="edit" aspectratio="f"/>
              </v:line>
            </w:pict>
          </mc:Fallback>
        </mc:AlternateContent>
      </w:r>
    </w:p>
    <w:p w14:paraId="518EA4B3">
      <w:pPr>
        <w:keepNext w:val="0"/>
        <w:keepLines w:val="0"/>
        <w:widowControl/>
        <w:suppressLineNumbers w:val="0"/>
        <w:jc w:val="center"/>
        <w:rPr>
          <w:rFonts w:hint="default"/>
          <w:lang w:val="en-US" w:eastAsia="zh-CN"/>
        </w:rPr>
      </w:pPr>
      <w:r>
        <w:rPr>
          <w:sz w:val="24"/>
        </w:rPr>
        <mc:AlternateContent>
          <mc:Choice Requires="wps">
            <w:drawing>
              <wp:anchor distT="0" distB="0" distL="114300" distR="114300" simplePos="0" relativeHeight="251858944" behindDoc="0" locked="0" layoutInCell="1" allowOverlap="1">
                <wp:simplePos x="0" y="0"/>
                <wp:positionH relativeFrom="column">
                  <wp:posOffset>2348230</wp:posOffset>
                </wp:positionH>
                <wp:positionV relativeFrom="paragraph">
                  <wp:posOffset>62865</wp:posOffset>
                </wp:positionV>
                <wp:extent cx="104140" cy="105410"/>
                <wp:effectExtent l="4445" t="4445" r="5715" b="23495"/>
                <wp:wrapNone/>
                <wp:docPr id="120" name="流程图: 汇总连接 120"/>
                <wp:cNvGraphicFramePr/>
                <a:graphic xmlns:a="http://schemas.openxmlformats.org/drawingml/2006/main">
                  <a:graphicData uri="http://schemas.microsoft.com/office/word/2010/wordprocessingShape">
                    <wps:wsp>
                      <wps:cNvSpPr/>
                      <wps:spPr>
                        <a:xfrm>
                          <a:off x="0" y="0"/>
                          <a:ext cx="104140" cy="105410"/>
                        </a:xfrm>
                        <a:prstGeom prst="flowChartSummingJunction">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23" type="#_x0000_t123" style="position:absolute;left:0pt;margin-left:184.9pt;margin-top:4.95pt;height:8.3pt;width:8.2pt;z-index:251858944;mso-width-relative:page;mso-height-relative:page;" fillcolor="#FFFFFF" filled="t" stroked="t" coordsize="21600,21600" o:gfxdata="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tUHY&#10;TdcAAAAIAQAADwAAAAAAAAABACAAAAAiAAAAZHJzL2Rvd25yZXYueG1sUEsBAhQAFAAAAAgAh07i&#10;QMSbIM8jAgAAPAQAAA4AAAAAAAAAAQAgAAAAJgEAAGRycy9lMm9Eb2MueG1sUEsFBgAAAAAGAAYA&#10;WQEAALsFAAAAAA==&#10;">
                <v:fill on="t"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251836416" behindDoc="0" locked="0" layoutInCell="1" allowOverlap="1">
                <wp:simplePos x="0" y="0"/>
                <wp:positionH relativeFrom="column">
                  <wp:posOffset>29210</wp:posOffset>
                </wp:positionH>
                <wp:positionV relativeFrom="paragraph">
                  <wp:posOffset>189230</wp:posOffset>
                </wp:positionV>
                <wp:extent cx="5198745" cy="6975475"/>
                <wp:effectExtent l="4445" t="4445" r="16510" b="11430"/>
                <wp:wrapNone/>
                <wp:docPr id="113" name="任意多边形 113"/>
                <wp:cNvGraphicFramePr/>
                <a:graphic xmlns:a="http://schemas.openxmlformats.org/drawingml/2006/main">
                  <a:graphicData uri="http://schemas.microsoft.com/office/word/2010/wordprocessingShape">
                    <wps:wsp>
                      <wps:cNvSpPr/>
                      <wps:spPr>
                        <a:xfrm>
                          <a:off x="0" y="0"/>
                          <a:ext cx="5198745" cy="6975475"/>
                        </a:xfrm>
                        <a:custGeom>
                          <a:avLst/>
                          <a:gdLst/>
                          <a:ahLst/>
                          <a:cxnLst/>
                          <a:pathLst>
                            <a:path w="8187" h="10985">
                              <a:moveTo>
                                <a:pt x="0" y="14"/>
                              </a:moveTo>
                              <a:lnTo>
                                <a:pt x="12" y="1239"/>
                              </a:lnTo>
                              <a:lnTo>
                                <a:pt x="1325" y="1251"/>
                              </a:lnTo>
                              <a:lnTo>
                                <a:pt x="1312" y="10972"/>
                              </a:lnTo>
                              <a:lnTo>
                                <a:pt x="8187" y="10985"/>
                              </a:lnTo>
                              <a:lnTo>
                                <a:pt x="8175" y="0"/>
                              </a:lnTo>
                              <a:lnTo>
                                <a:pt x="0" y="14"/>
                              </a:lnTo>
                              <a:close/>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3pt;margin-top:14.9pt;height:549.25pt;width:409.35pt;z-index:251836416;mso-width-relative:page;mso-height-relative:page;" filled="f" stroked="t" coordsize="8187,10985" o:gfxdata="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eCjMdkAAAAJAQAADwAAAAAAAAABACAA&#10;AAAiAAAAZHJzL2Rvd25yZXYueG1sUEsBAhQAFAAAAAgAh07iQLhdEyp+AgAAbgUAAA4AAAAAAAAA&#10;AQAgAAAAKAEAAGRycy9lMm9Eb2MueG1sUEsFBgAAAAAGAAYAWQEAABgGAAAAAA==&#10;" path="m0,14l12,1239,1325,1251,1312,10972,8187,10985,8175,0,0,14xe">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251845632" behindDoc="0" locked="0" layoutInCell="1" allowOverlap="1">
                <wp:simplePos x="0" y="0"/>
                <wp:positionH relativeFrom="column">
                  <wp:posOffset>5436870</wp:posOffset>
                </wp:positionH>
                <wp:positionV relativeFrom="paragraph">
                  <wp:posOffset>93980</wp:posOffset>
                </wp:positionV>
                <wp:extent cx="20320" cy="7017385"/>
                <wp:effectExtent l="4445" t="0" r="13335" b="12065"/>
                <wp:wrapNone/>
                <wp:docPr id="118" name="直接连接符 118"/>
                <wp:cNvGraphicFramePr/>
                <a:graphic xmlns:a="http://schemas.openxmlformats.org/drawingml/2006/main">
                  <a:graphicData uri="http://schemas.microsoft.com/office/word/2010/wordprocessingShape">
                    <wps:wsp>
                      <wps:cNvSpPr/>
                      <wps:spPr>
                        <a:xfrm flipH="1">
                          <a:off x="0" y="0"/>
                          <a:ext cx="20320" cy="701738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428.1pt;margin-top:7.4pt;height:552.55pt;width:1.6pt;z-index:251845632;mso-width-relative:page;mso-height-relative:page;" filled="f" stroked="t" coordsize="21600,21600" o:gfxdata="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zEdak2AAAAAsBAAAPAAAAAAAAAAEAIAAAACIAAABkcnMvZG93&#10;bnJldi54bWxQSwECFAAUAAAACACHTuJAL61e+AACAAD2AwAADgAAAAAAAAABACAAAAAnAQAAZHJz&#10;L2Uyb0RvYy54bWxQSwUGAAAAAAYABgBZAQAAmQUAAAAA&#10;">
                <v:fill on="f" focussize="0,0"/>
                <v:stroke color="#000000" joinstyle="round"/>
                <v:imagedata o:title=""/>
                <o:lock v:ext="edit" aspectratio="f"/>
              </v:line>
            </w:pict>
          </mc:Fallback>
        </mc:AlternateContent>
      </w:r>
      <w:r>
        <w:rPr>
          <w:sz w:val="21"/>
        </w:rPr>
        <mc:AlternateContent>
          <mc:Choice Requires="wps">
            <w:drawing>
              <wp:anchor distT="0" distB="0" distL="114300" distR="114300" simplePos="0" relativeHeight="251852800" behindDoc="0" locked="0" layoutInCell="1" allowOverlap="1">
                <wp:simplePos x="0" y="0"/>
                <wp:positionH relativeFrom="column">
                  <wp:posOffset>4888865</wp:posOffset>
                </wp:positionH>
                <wp:positionV relativeFrom="paragraph">
                  <wp:posOffset>3409950</wp:posOffset>
                </wp:positionV>
                <wp:extent cx="320675" cy="167005"/>
                <wp:effectExtent l="4445" t="4445" r="17780" b="19050"/>
                <wp:wrapNone/>
                <wp:docPr id="126" name="矩形 126"/>
                <wp:cNvGraphicFramePr/>
                <a:graphic xmlns:a="http://schemas.openxmlformats.org/drawingml/2006/main">
                  <a:graphicData uri="http://schemas.microsoft.com/office/word/2010/wordprocessingShape">
                    <wps:wsp>
                      <wps:cNvSpPr/>
                      <wps:spPr>
                        <a:xfrm>
                          <a:off x="0" y="0"/>
                          <a:ext cx="320675" cy="16700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84.95pt;margin-top:268.5pt;height:13.15pt;width:25.25pt;z-index:251852800;mso-width-relative:page;mso-height-relative:page;" fillcolor="#FFFFFF" filled="t" stroked="t" coordsize="21600,21600" o:gfxdata="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Y794PZAAAACwEAAA8AAAAAAAAAAQAgAAAAIgAAAGRycy9kb3ducmV2&#10;LnhtbFBLAQIUABQAAAAIAIdO4kB9jZko+wEAACEEAAAOAAAAAAAAAAEAIAAAACgBAABkcnMvZTJv&#10;RG9jLnhtbFBLBQYAAAAABgAGAFkBAACVBQAAAAA=&#10;">
                <v:fill on="t" focussize="0,0"/>
                <v:stroke color="#000000" joinstyle="miter"/>
                <v:imagedata o:title=""/>
                <o:lock v:ext="edit" aspectratio="f"/>
              </v:rect>
            </w:pict>
          </mc:Fallback>
        </mc:AlternateContent>
      </w:r>
      <w:r>
        <w:rPr>
          <w:sz w:val="24"/>
        </w:rPr>
        <mc:AlternateContent>
          <mc:Choice Requires="wps">
            <w:drawing>
              <wp:anchor distT="0" distB="0" distL="114300" distR="114300" simplePos="0" relativeHeight="251851776" behindDoc="0" locked="0" layoutInCell="1" allowOverlap="1">
                <wp:simplePos x="0" y="0"/>
                <wp:positionH relativeFrom="column">
                  <wp:posOffset>4877435</wp:posOffset>
                </wp:positionH>
                <wp:positionV relativeFrom="paragraph">
                  <wp:posOffset>2850515</wp:posOffset>
                </wp:positionV>
                <wp:extent cx="328295" cy="529590"/>
                <wp:effectExtent l="4445" t="4445" r="10160" b="18415"/>
                <wp:wrapNone/>
                <wp:docPr id="127" name="矩形 127"/>
                <wp:cNvGraphicFramePr/>
                <a:graphic xmlns:a="http://schemas.openxmlformats.org/drawingml/2006/main">
                  <a:graphicData uri="http://schemas.microsoft.com/office/word/2010/wordprocessingShape">
                    <wps:wsp>
                      <wps:cNvSpPr/>
                      <wps:spPr>
                        <a:xfrm>
                          <a:off x="0" y="0"/>
                          <a:ext cx="328295" cy="52959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84.05pt;margin-top:224.45pt;height:41.7pt;width:25.85pt;z-index:251851776;mso-width-relative:page;mso-height-relative:page;" fillcolor="#FFFFFF" filled="t" stroked="t" coordsize="21600,21600" o:gfxdata="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pig6jaAAAACwEAAA8AAAAAAAAAAQAgAAAAIgAAAGRycy9kb3du&#10;cmV2LnhtbFBLAQIUABQAAAAIAIdO4kAzDTqX/QEAACEEAAAOAAAAAAAAAAEAIAAAACkBAABkcnMv&#10;ZTJvRG9jLnhtbFBLBQYAAAAABgAGAFkBAACYBQAAAAA=&#10;">
                <v:fill on="t" focussize="0,0"/>
                <v:stroke color="#000000" joinstyle="miter"/>
                <v:imagedata o:title=""/>
                <o:lock v:ext="edit" aspectratio="f"/>
              </v:rect>
            </w:pict>
          </mc:Fallback>
        </mc:AlternateContent>
      </w:r>
      <w:r>
        <w:rPr>
          <w:sz w:val="24"/>
        </w:rPr>
        <mc:AlternateContent>
          <mc:Choice Requires="wps">
            <w:drawing>
              <wp:anchor distT="0" distB="0" distL="114300" distR="114300" simplePos="0" relativeHeight="251773952" behindDoc="1" locked="0" layoutInCell="1" allowOverlap="1">
                <wp:simplePos x="0" y="0"/>
                <wp:positionH relativeFrom="column">
                  <wp:posOffset>1955165</wp:posOffset>
                </wp:positionH>
                <wp:positionV relativeFrom="paragraph">
                  <wp:posOffset>3961765</wp:posOffset>
                </wp:positionV>
                <wp:extent cx="1120775" cy="327025"/>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120775" cy="327025"/>
                        </a:xfrm>
                        <a:prstGeom prst="rect">
                          <a:avLst/>
                        </a:prstGeom>
                        <a:noFill/>
                        <a:ln>
                          <a:noFill/>
                        </a:ln>
                      </wps:spPr>
                      <wps:txbx>
                        <w:txbxContent>
                          <w:p w14:paraId="1474CF96">
                            <w:pPr>
                              <w:rPr>
                                <w:rFonts w:hint="default" w:eastAsia="宋体"/>
                                <w:lang w:val="en-US" w:eastAsia="zh-CN"/>
                              </w:rPr>
                            </w:pPr>
                            <w:r>
                              <w:rPr>
                                <w:rFonts w:hint="eastAsia"/>
                                <w:lang w:val="en-US" w:eastAsia="zh-CN"/>
                              </w:rPr>
                              <w:t>本项目厂房</w:t>
                            </w:r>
                          </w:p>
                        </w:txbxContent>
                      </wps:txbx>
                      <wps:bodyPr upright="1"/>
                    </wps:wsp>
                  </a:graphicData>
                </a:graphic>
              </wp:anchor>
            </w:drawing>
          </mc:Choice>
          <mc:Fallback>
            <w:pict>
              <v:shape id="_x0000_s1026" o:spid="_x0000_s1026" o:spt="202" type="#_x0000_t202" style="position:absolute;left:0pt;margin-left:153.95pt;margin-top:311.95pt;height:25.75pt;width:88.25pt;z-index:-251542528;mso-width-relative:page;mso-height-relative:page;" filled="f" stroked="f" coordsize="21600,21600" o:gfxdata="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AwNt3Y&#10;AAAACwEAAA8AAAAAAAAAAQAgAAAAIgAAAGRycy9kb3ducmV2LnhtbFBLAQIUABQAAAAIAIdO4kAg&#10;+VxcrgEAAFIDAAAOAAAAAAAAAAEAIAAAACcBAABkcnMvZTJvRG9jLnhtbFBLBQYAAAAABgAGAFkB&#10;AABHBQAAAAA=&#10;">
                <v:fill on="f" focussize="0,0"/>
                <v:stroke on="f"/>
                <v:imagedata o:title=""/>
                <o:lock v:ext="edit" aspectratio="f"/>
                <v:textbox>
                  <w:txbxContent>
                    <w:p w14:paraId="1474CF96">
                      <w:pPr>
                        <w:rPr>
                          <w:rFonts w:hint="default" w:eastAsia="宋体"/>
                          <w:lang w:val="en-US" w:eastAsia="zh-CN"/>
                        </w:rPr>
                      </w:pPr>
                      <w:r>
                        <w:rPr>
                          <w:rFonts w:hint="eastAsia"/>
                          <w:lang w:val="en-US" w:eastAsia="zh-CN"/>
                        </w:rPr>
                        <w:t>本项目厂房</w:t>
                      </w:r>
                    </w:p>
                  </w:txbxContent>
                </v:textbox>
              </v:shape>
            </w:pict>
          </mc:Fallback>
        </mc:AlternateContent>
      </w:r>
      <w:r>
        <w:rPr>
          <w:sz w:val="24"/>
        </w:rPr>
        <mc:AlternateContent>
          <mc:Choice Requires="wps">
            <w:drawing>
              <wp:anchor distT="0" distB="0" distL="114300" distR="114300" simplePos="0" relativeHeight="251849728" behindDoc="0" locked="0" layoutInCell="1" allowOverlap="1">
                <wp:simplePos x="0" y="0"/>
                <wp:positionH relativeFrom="column">
                  <wp:posOffset>1202055</wp:posOffset>
                </wp:positionH>
                <wp:positionV relativeFrom="paragraph">
                  <wp:posOffset>7353300</wp:posOffset>
                </wp:positionV>
                <wp:extent cx="3777615" cy="30734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3777615" cy="307340"/>
                        </a:xfrm>
                        <a:prstGeom prst="rect">
                          <a:avLst/>
                        </a:prstGeom>
                        <a:noFill/>
                        <a:ln>
                          <a:noFill/>
                        </a:ln>
                      </wps:spPr>
                      <wps:txbx>
                        <w:txbxContent>
                          <w:p w14:paraId="376D7F33">
                            <w:pP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附图5    项目厂区平面布置图</w:t>
                            </w:r>
                            <w:r>
                              <w:rPr>
                                <w:rFonts w:hint="eastAsia" w:ascii="Times New Roman" w:hAnsi="Times New Roman" w:cs="Times New Roman"/>
                                <w:b/>
                                <w:bCs/>
                                <w:sz w:val="24"/>
                                <w:szCs w:val="24"/>
                                <w:lang w:val="en-US" w:eastAsia="zh-CN"/>
                              </w:rPr>
                              <w:t>（比例尺：1:4300）</w:t>
                            </w:r>
                          </w:p>
                        </w:txbxContent>
                      </wps:txbx>
                      <wps:bodyPr upright="1"/>
                    </wps:wsp>
                  </a:graphicData>
                </a:graphic>
              </wp:anchor>
            </w:drawing>
          </mc:Choice>
          <mc:Fallback>
            <w:pict>
              <v:shape id="_x0000_s1026" o:spid="_x0000_s1026" o:spt="202" type="#_x0000_t202" style="position:absolute;left:0pt;margin-left:94.65pt;margin-top:579pt;height:24.2pt;width:297.45pt;z-index:251849728;mso-width-relative:page;mso-height-relative:page;" filled="f" stroked="f" coordsize="21600,21600" o:gfxdata="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I1S&#10;jknZAAAADQEAAA8AAAAAAAAAAQAgAAAAIgAAAGRycy9kb3ducmV2LnhtbFBLAQIUABQAAAAIAIdO&#10;4kAUfJlUsAEAAFIDAAAOAAAAAAAAAAEAIAAAACgBAABkcnMvZTJvRG9jLnhtbFBLBQYAAAAABgAG&#10;AFkBAABKBQAAAAA=&#10;">
                <v:fill on="f" focussize="0,0"/>
                <v:stroke on="f"/>
                <v:imagedata o:title=""/>
                <o:lock v:ext="edit" aspectratio="f"/>
                <v:textbox>
                  <w:txbxContent>
                    <w:p w14:paraId="376D7F33">
                      <w:pP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附图5    项目厂区平面布置图</w:t>
                      </w:r>
                      <w:r>
                        <w:rPr>
                          <w:rFonts w:hint="eastAsia" w:ascii="Times New Roman" w:hAnsi="Times New Roman" w:cs="Times New Roman"/>
                          <w:b/>
                          <w:bCs/>
                          <w:sz w:val="24"/>
                          <w:szCs w:val="24"/>
                          <w:lang w:val="en-US" w:eastAsia="zh-CN"/>
                        </w:rPr>
                        <w:t>（比例尺：1:4300）</w:t>
                      </w:r>
                    </w:p>
                  </w:txbxContent>
                </v:textbox>
              </v:shape>
            </w:pict>
          </mc:Fallback>
        </mc:AlternateContent>
      </w:r>
      <w:r>
        <w:rPr>
          <w:sz w:val="24"/>
        </w:rPr>
        <mc:AlternateContent>
          <mc:Choice Requires="wps">
            <w:drawing>
              <wp:anchor distT="0" distB="0" distL="114300" distR="114300" simplePos="0" relativeHeight="251771904" behindDoc="1" locked="0" layoutInCell="1" allowOverlap="1">
                <wp:simplePos x="0" y="0"/>
                <wp:positionH relativeFrom="column">
                  <wp:posOffset>1982470</wp:posOffset>
                </wp:positionH>
                <wp:positionV relativeFrom="paragraph">
                  <wp:posOffset>5379720</wp:posOffset>
                </wp:positionV>
                <wp:extent cx="1120775" cy="327025"/>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120775" cy="327025"/>
                        </a:xfrm>
                        <a:prstGeom prst="rect">
                          <a:avLst/>
                        </a:prstGeom>
                        <a:noFill/>
                        <a:ln>
                          <a:noFill/>
                        </a:ln>
                      </wps:spPr>
                      <wps:txbx>
                        <w:txbxContent>
                          <w:p w14:paraId="6A4ED244">
                            <w:pPr>
                              <w:rPr>
                                <w:rFonts w:hint="default"/>
                                <w:lang w:val="en-US" w:eastAsia="zh-CN"/>
                              </w:rPr>
                            </w:pPr>
                            <w:r>
                              <w:rPr>
                                <w:rFonts w:hint="eastAsia" w:eastAsia="宋体"/>
                                <w:lang w:val="en-US" w:eastAsia="zh-CN"/>
                              </w:rPr>
                              <w:t>预留厂房</w:t>
                            </w:r>
                          </w:p>
                        </w:txbxContent>
                      </wps:txbx>
                      <wps:bodyPr upright="1"/>
                    </wps:wsp>
                  </a:graphicData>
                </a:graphic>
              </wp:anchor>
            </w:drawing>
          </mc:Choice>
          <mc:Fallback>
            <w:pict>
              <v:shape id="_x0000_s1026" o:spid="_x0000_s1026" o:spt="202" type="#_x0000_t202" style="position:absolute;left:0pt;margin-left:156.1pt;margin-top:423.6pt;height:25.75pt;width:88.25pt;z-index:-251544576;mso-width-relative:page;mso-height-relative:page;" filled="f" stroked="f" coordsize="21600,21600" o:gfxdata="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3mCzR9cA&#10;AAALAQAADwAAAAAAAAABACAAAAAiAAAAZHJzL2Rvd25yZXYueG1sUEsBAhQAFAAAAAgAh07iQDnL&#10;IjeuAQAAUgMAAA4AAAAAAAAAAQAgAAAAJgEAAGRycy9lMm9Eb2MueG1sUEsFBgAAAAAGAAYAWQEA&#10;AEYFAAAAAA==&#10;">
                <v:fill on="f" focussize="0,0"/>
                <v:stroke on="f"/>
                <v:imagedata o:title=""/>
                <o:lock v:ext="edit" aspectratio="f"/>
                <v:textbox>
                  <w:txbxContent>
                    <w:p w14:paraId="6A4ED244">
                      <w:pPr>
                        <w:rPr>
                          <w:rFonts w:hint="default"/>
                          <w:lang w:val="en-US" w:eastAsia="zh-CN"/>
                        </w:rPr>
                      </w:pPr>
                      <w:r>
                        <w:rPr>
                          <w:rFonts w:hint="eastAsia" w:eastAsia="宋体"/>
                          <w:lang w:val="en-US" w:eastAsia="zh-CN"/>
                        </w:rPr>
                        <w:t>预留厂房</w:t>
                      </w:r>
                    </w:p>
                  </w:txbxContent>
                </v:textbox>
              </v:shape>
            </w:pict>
          </mc:Fallback>
        </mc:AlternateContent>
      </w:r>
      <w:r>
        <w:rPr>
          <w:sz w:val="24"/>
        </w:rPr>
        <mc:AlternateContent>
          <mc:Choice Requires="wps">
            <w:drawing>
              <wp:anchor distT="0" distB="0" distL="114300" distR="114300" simplePos="0" relativeHeight="251769856" behindDoc="1" locked="0" layoutInCell="1" allowOverlap="1">
                <wp:simplePos x="0" y="0"/>
                <wp:positionH relativeFrom="column">
                  <wp:posOffset>2443480</wp:posOffset>
                </wp:positionH>
                <wp:positionV relativeFrom="paragraph">
                  <wp:posOffset>454025</wp:posOffset>
                </wp:positionV>
                <wp:extent cx="1120775" cy="327025"/>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1120775" cy="327025"/>
                        </a:xfrm>
                        <a:prstGeom prst="rect">
                          <a:avLst/>
                        </a:prstGeom>
                        <a:noFill/>
                        <a:ln>
                          <a:noFill/>
                        </a:ln>
                      </wps:spPr>
                      <wps:txbx>
                        <w:txbxContent>
                          <w:p w14:paraId="56FF4809">
                            <w:pPr>
                              <w:rPr>
                                <w:rFonts w:hint="default" w:eastAsia="宋体"/>
                                <w:lang w:val="en-US" w:eastAsia="zh-CN"/>
                              </w:rPr>
                            </w:pPr>
                            <w:r>
                              <w:rPr>
                                <w:rFonts w:hint="eastAsia" w:eastAsia="宋体"/>
                                <w:lang w:val="en-US" w:eastAsia="zh-CN"/>
                              </w:rPr>
                              <w:t>办公楼</w:t>
                            </w:r>
                          </w:p>
                        </w:txbxContent>
                      </wps:txbx>
                      <wps:bodyPr upright="1"/>
                    </wps:wsp>
                  </a:graphicData>
                </a:graphic>
              </wp:anchor>
            </w:drawing>
          </mc:Choice>
          <mc:Fallback>
            <w:pict>
              <v:shape id="_x0000_s1026" o:spid="_x0000_s1026" o:spt="202" type="#_x0000_t202" style="position:absolute;left:0pt;margin-left:192.4pt;margin-top:35.75pt;height:25.75pt;width:88.25pt;z-index:-251546624;mso-width-relative:page;mso-height-relative:page;" filled="f" stroked="f" coordsize="21600,21600" o:gfxdata="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gwKxXY&#10;AAAACgEAAA8AAAAAAAAAAQAgAAAAIgAAAGRycy9kb3ducmV2LnhtbFBLAQIUABQAAAAIAIdO4kDJ&#10;RwXTrgEAAFIDAAAOAAAAAAAAAAEAIAAAACcBAABkcnMvZTJvRG9jLnhtbFBLBQYAAAAABgAGAFkB&#10;AABHBQAAAAA=&#10;">
                <v:fill on="f" focussize="0,0"/>
                <v:stroke on="f"/>
                <v:imagedata o:title=""/>
                <o:lock v:ext="edit" aspectratio="f"/>
                <v:textbox>
                  <w:txbxContent>
                    <w:p w14:paraId="56FF4809">
                      <w:pPr>
                        <w:rPr>
                          <w:rFonts w:hint="default" w:eastAsia="宋体"/>
                          <w:lang w:val="en-US" w:eastAsia="zh-CN"/>
                        </w:rPr>
                      </w:pPr>
                      <w:r>
                        <w:rPr>
                          <w:rFonts w:hint="eastAsia" w:eastAsia="宋体"/>
                          <w:lang w:val="en-US" w:eastAsia="zh-CN"/>
                        </w:rPr>
                        <w:t>办公楼</w:t>
                      </w:r>
                    </w:p>
                  </w:txbxContent>
                </v:textbox>
              </v:shape>
            </w:pict>
          </mc:Fallback>
        </mc:AlternateContent>
      </w:r>
      <w:r>
        <w:rPr>
          <w:sz w:val="24"/>
        </w:rPr>
        <mc:AlternateContent>
          <mc:Choice Requires="wps">
            <w:drawing>
              <wp:anchor distT="0" distB="0" distL="114300" distR="114300" simplePos="0" relativeHeight="251770880" behindDoc="1" locked="0" layoutInCell="1" allowOverlap="1">
                <wp:simplePos x="0" y="0"/>
                <wp:positionH relativeFrom="column">
                  <wp:posOffset>2004695</wp:posOffset>
                </wp:positionH>
                <wp:positionV relativeFrom="paragraph">
                  <wp:posOffset>1254125</wp:posOffset>
                </wp:positionV>
                <wp:extent cx="1120775" cy="327025"/>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120775" cy="327025"/>
                        </a:xfrm>
                        <a:prstGeom prst="rect">
                          <a:avLst/>
                        </a:prstGeom>
                        <a:noFill/>
                        <a:ln>
                          <a:noFill/>
                        </a:ln>
                      </wps:spPr>
                      <wps:txbx>
                        <w:txbxContent>
                          <w:p w14:paraId="3AF6BABF">
                            <w:pPr>
                              <w:rPr>
                                <w:rFonts w:hint="default"/>
                                <w:lang w:val="en-US" w:eastAsia="zh-CN"/>
                              </w:rPr>
                            </w:pPr>
                            <w:r>
                              <w:rPr>
                                <w:rFonts w:hint="eastAsia" w:eastAsia="宋体"/>
                                <w:lang w:val="en-US" w:eastAsia="zh-CN"/>
                              </w:rPr>
                              <w:t>预留厂房</w:t>
                            </w:r>
                          </w:p>
                        </w:txbxContent>
                      </wps:txbx>
                      <wps:bodyPr upright="1"/>
                    </wps:wsp>
                  </a:graphicData>
                </a:graphic>
              </wp:anchor>
            </w:drawing>
          </mc:Choice>
          <mc:Fallback>
            <w:pict>
              <v:shape id="_x0000_s1026" o:spid="_x0000_s1026" o:spt="202" type="#_x0000_t202" style="position:absolute;left:0pt;margin-left:157.85pt;margin-top:98.75pt;height:25.75pt;width:88.25pt;z-index:-251545600;mso-width-relative:page;mso-height-relative:page;" filled="f" stroked="f" coordsize="21600,21600" o:gfxdata="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d7zdgA&#10;AAALAQAADwAAAAAAAAABACAAAAAiAAAAZHJzL2Rvd25yZXYueG1sUEsBAhQAFAAAAAgAh07iQHFq&#10;RautAQAAUgMAAA4AAAAAAAAAAQAgAAAAJwEAAGRycy9lMm9Eb2MueG1sUEsFBgAAAAAGAAYAWQEA&#10;AEYFAAAAAA==&#10;">
                <v:fill on="f" focussize="0,0"/>
                <v:stroke on="f"/>
                <v:imagedata o:title=""/>
                <o:lock v:ext="edit" aspectratio="f"/>
                <v:textbox>
                  <w:txbxContent>
                    <w:p w14:paraId="3AF6BABF">
                      <w:pPr>
                        <w:rPr>
                          <w:rFonts w:hint="default"/>
                          <w:lang w:val="en-US" w:eastAsia="zh-CN"/>
                        </w:rPr>
                      </w:pPr>
                      <w:r>
                        <w:rPr>
                          <w:rFonts w:hint="eastAsia" w:eastAsia="宋体"/>
                          <w:lang w:val="en-US" w:eastAsia="zh-CN"/>
                        </w:rPr>
                        <w:t>预留厂房</w:t>
                      </w:r>
                    </w:p>
                  </w:txbxContent>
                </v:textbox>
              </v:shape>
            </w:pict>
          </mc:Fallback>
        </mc:AlternateContent>
      </w:r>
      <w:r>
        <w:rPr>
          <w:sz w:val="24"/>
        </w:rPr>
        <mc:AlternateContent>
          <mc:Choice Requires="wps">
            <w:drawing>
              <wp:anchor distT="0" distB="0" distL="114300" distR="114300" simplePos="0" relativeHeight="251772928" behindDoc="1" locked="0" layoutInCell="1" allowOverlap="1">
                <wp:simplePos x="0" y="0"/>
                <wp:positionH relativeFrom="column">
                  <wp:posOffset>2028190</wp:posOffset>
                </wp:positionH>
                <wp:positionV relativeFrom="paragraph">
                  <wp:posOffset>2655570</wp:posOffset>
                </wp:positionV>
                <wp:extent cx="1120775" cy="327025"/>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120775" cy="327025"/>
                        </a:xfrm>
                        <a:prstGeom prst="rect">
                          <a:avLst/>
                        </a:prstGeom>
                        <a:noFill/>
                        <a:ln>
                          <a:noFill/>
                        </a:ln>
                      </wps:spPr>
                      <wps:txbx>
                        <w:txbxContent>
                          <w:p w14:paraId="7BB34825">
                            <w:pPr>
                              <w:rPr>
                                <w:rFonts w:hint="default" w:eastAsia="宋体"/>
                                <w:lang w:val="en-US" w:eastAsia="zh-CN"/>
                              </w:rPr>
                            </w:pPr>
                            <w:r>
                              <w:rPr>
                                <w:rFonts w:hint="eastAsia" w:eastAsia="宋体"/>
                                <w:lang w:val="en-US" w:eastAsia="zh-CN"/>
                              </w:rPr>
                              <w:t>预留厂房</w:t>
                            </w:r>
                          </w:p>
                        </w:txbxContent>
                      </wps:txbx>
                      <wps:bodyPr upright="1"/>
                    </wps:wsp>
                  </a:graphicData>
                </a:graphic>
              </wp:anchor>
            </w:drawing>
          </mc:Choice>
          <mc:Fallback>
            <w:pict>
              <v:shape id="_x0000_s1026" o:spid="_x0000_s1026" o:spt="202" type="#_x0000_t202" style="position:absolute;left:0pt;margin-left:159.7pt;margin-top:209.1pt;height:25.75pt;width:88.25pt;z-index:-251543552;mso-width-relative:page;mso-height-relative:page;" filled="f" stroked="f" coordsize="21600,21600" o:gfxdata="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36Zcc&#10;2QAAAAsBAAAPAAAAAAAAAAEAIAAAACIAAABkcnMvZG93bnJldi54bWxQSwECFAAUAAAACACHTuJA&#10;d+Czwq4BAABSAwAADgAAAAAAAAABACAAAAAoAQAAZHJzL2Uyb0RvYy54bWxQSwUGAAAAAAYABgBZ&#10;AQAASAUAAAAA&#10;">
                <v:fill on="f" focussize="0,0"/>
                <v:stroke on="f"/>
                <v:imagedata o:title=""/>
                <o:lock v:ext="edit" aspectratio="f"/>
                <v:textbox>
                  <w:txbxContent>
                    <w:p w14:paraId="7BB34825">
                      <w:pPr>
                        <w:rPr>
                          <w:rFonts w:hint="default" w:eastAsia="宋体"/>
                          <w:lang w:val="en-US" w:eastAsia="zh-CN"/>
                        </w:rPr>
                      </w:pPr>
                      <w:r>
                        <w:rPr>
                          <w:rFonts w:hint="eastAsia" w:eastAsia="宋体"/>
                          <w:lang w:val="en-US" w:eastAsia="zh-CN"/>
                        </w:rPr>
                        <w:t>预留厂房</w:t>
                      </w:r>
                    </w:p>
                  </w:txbxContent>
                </v:textbox>
              </v:shape>
            </w:pict>
          </mc:Fallback>
        </mc:AlternateContent>
      </w:r>
      <w:r>
        <w:rPr>
          <w:sz w:val="21"/>
        </w:rPr>
        <mc:AlternateContent>
          <mc:Choice Requires="wps">
            <w:drawing>
              <wp:anchor distT="0" distB="0" distL="114300" distR="114300" simplePos="0" relativeHeight="251846656" behindDoc="0" locked="0" layoutInCell="1" allowOverlap="1">
                <wp:simplePos x="0" y="0"/>
                <wp:positionH relativeFrom="column">
                  <wp:posOffset>5896610</wp:posOffset>
                </wp:positionH>
                <wp:positionV relativeFrom="paragraph">
                  <wp:posOffset>78105</wp:posOffset>
                </wp:positionV>
                <wp:extent cx="19050" cy="6980555"/>
                <wp:effectExtent l="4445" t="0" r="14605" b="10795"/>
                <wp:wrapNone/>
                <wp:docPr id="131" name="直接连接符 131"/>
                <wp:cNvGraphicFramePr/>
                <a:graphic xmlns:a="http://schemas.openxmlformats.org/drawingml/2006/main">
                  <a:graphicData uri="http://schemas.microsoft.com/office/word/2010/wordprocessingShape">
                    <wps:wsp>
                      <wps:cNvSpPr/>
                      <wps:spPr>
                        <a:xfrm flipH="1">
                          <a:off x="0" y="0"/>
                          <a:ext cx="19050" cy="698055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464.3pt;margin-top:6.15pt;height:549.65pt;width:1.5pt;z-index:251846656;mso-width-relative:page;mso-height-relative:page;" filled="f" stroked="t" coordsize="21600,21600" o:gfxdata="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8+T4n9cAAAALAQAADwAAAAAAAAABACAAAAAiAAAAZHJzL2Rvd25y&#10;ZXYueG1sUEsBAhQAFAAAAAgAh07iQAwb0dD/AQAA9gMAAA4AAAAAAAAAAQAgAAAAJgEAAGRycy9l&#10;Mm9Eb2MueG1sUEsFBgAAAAAGAAYAWQEAAJcFAAAAAA==&#10;">
                <v:fill on="f" focussize="0,0"/>
                <v:stroke color="#000000" joinstyle="round"/>
                <v:imagedata o:title=""/>
                <o:lock v:ext="edit" aspectratio="f"/>
              </v:line>
            </w:pict>
          </mc:Fallback>
        </mc:AlternateContent>
      </w:r>
      <w:r>
        <w:rPr>
          <w:sz w:val="21"/>
        </w:rPr>
        <mc:AlternateContent>
          <mc:Choice Requires="wps">
            <w:drawing>
              <wp:anchor distT="0" distB="0" distL="114300" distR="114300" simplePos="0" relativeHeight="251848704" behindDoc="0" locked="0" layoutInCell="1" allowOverlap="1">
                <wp:simplePos x="0" y="0"/>
                <wp:positionH relativeFrom="column">
                  <wp:posOffset>1023620</wp:posOffset>
                </wp:positionH>
                <wp:positionV relativeFrom="paragraph">
                  <wp:posOffset>2487930</wp:posOffset>
                </wp:positionV>
                <wp:extent cx="2771775" cy="876300"/>
                <wp:effectExtent l="4445" t="4445" r="5080" b="14605"/>
                <wp:wrapNone/>
                <wp:docPr id="115" name="任意多边形 115"/>
                <wp:cNvGraphicFramePr/>
                <a:graphic xmlns:a="http://schemas.openxmlformats.org/drawingml/2006/main">
                  <a:graphicData uri="http://schemas.microsoft.com/office/word/2010/wordprocessingShape">
                    <wps:wsp>
                      <wps:cNvSpPr/>
                      <wps:spPr>
                        <a:xfrm>
                          <a:off x="0" y="0"/>
                          <a:ext cx="2771775" cy="876300"/>
                        </a:xfrm>
                        <a:custGeom>
                          <a:avLst/>
                          <a:gdLst/>
                          <a:ahLst/>
                          <a:cxnLst/>
                          <a:pathLst>
                            <a:path w="4365" h="1380">
                              <a:moveTo>
                                <a:pt x="0" y="1147"/>
                              </a:moveTo>
                              <a:lnTo>
                                <a:pt x="247" y="1147"/>
                              </a:lnTo>
                              <a:lnTo>
                                <a:pt x="232" y="1380"/>
                              </a:lnTo>
                              <a:lnTo>
                                <a:pt x="2542" y="1372"/>
                              </a:lnTo>
                              <a:lnTo>
                                <a:pt x="2535" y="1147"/>
                              </a:lnTo>
                              <a:lnTo>
                                <a:pt x="3495" y="1147"/>
                              </a:lnTo>
                              <a:lnTo>
                                <a:pt x="3495" y="1372"/>
                              </a:lnTo>
                              <a:lnTo>
                                <a:pt x="4222" y="1372"/>
                              </a:lnTo>
                              <a:lnTo>
                                <a:pt x="4222" y="1140"/>
                              </a:lnTo>
                              <a:lnTo>
                                <a:pt x="4365" y="1140"/>
                              </a:lnTo>
                              <a:lnTo>
                                <a:pt x="4365" y="0"/>
                              </a:lnTo>
                              <a:lnTo>
                                <a:pt x="3742" y="7"/>
                              </a:lnTo>
                              <a:lnTo>
                                <a:pt x="3735" y="30"/>
                              </a:lnTo>
                              <a:lnTo>
                                <a:pt x="120" y="30"/>
                              </a:lnTo>
                              <a:lnTo>
                                <a:pt x="135" y="172"/>
                              </a:lnTo>
                              <a:lnTo>
                                <a:pt x="15" y="172"/>
                              </a:lnTo>
                              <a:lnTo>
                                <a:pt x="0" y="1147"/>
                              </a:lnTo>
                              <a:close/>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80.6pt;margin-top:195.9pt;height:69pt;width:218.25pt;z-index:251848704;mso-width-relative:page;mso-height-relative:page;" filled="f" stroked="t" coordsize="4365,1380" o:gfxdata="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5rJWKNkAAAALAQAADwAAAAAAAAABACAAAAAiAAAAZHJz&#10;L2Rvd25yZXYueG1sUEsBAhQAFAAAAAgAh07iQHcXDBCuAgAABQcAAA4AAAAAAAAAAQAgAAAAKAEA&#10;AGRycy9lMm9Eb2MueG1sUEsFBgAAAAAGAAYAWQEAAEgGAAAAAA==&#10;" path="m0,1147l247,1147,232,1380,2542,1372,2535,1147,3495,1147,3495,1372,4222,1372,4222,1140,4365,1140,4365,0,3742,7,3735,30,120,30,135,172,15,172,0,1147xe">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251841536" behindDoc="0" locked="0" layoutInCell="1" allowOverlap="1">
                <wp:simplePos x="0" y="0"/>
                <wp:positionH relativeFrom="column">
                  <wp:posOffset>1012825</wp:posOffset>
                </wp:positionH>
                <wp:positionV relativeFrom="paragraph">
                  <wp:posOffset>5062855</wp:posOffset>
                </wp:positionV>
                <wp:extent cx="2543810" cy="1238250"/>
                <wp:effectExtent l="4445" t="4445" r="23495" b="14605"/>
                <wp:wrapNone/>
                <wp:docPr id="138" name="任意多边形 138"/>
                <wp:cNvGraphicFramePr/>
                <a:graphic xmlns:a="http://schemas.openxmlformats.org/drawingml/2006/main">
                  <a:graphicData uri="http://schemas.microsoft.com/office/word/2010/wordprocessingShape">
                    <wps:wsp>
                      <wps:cNvSpPr/>
                      <wps:spPr>
                        <a:xfrm>
                          <a:off x="0" y="0"/>
                          <a:ext cx="2543810" cy="1238250"/>
                        </a:xfrm>
                        <a:custGeom>
                          <a:avLst/>
                          <a:gdLst/>
                          <a:ahLst/>
                          <a:cxnLst/>
                          <a:pathLst>
                            <a:path w="4006" h="1950">
                              <a:moveTo>
                                <a:pt x="17" y="18"/>
                              </a:moveTo>
                              <a:lnTo>
                                <a:pt x="0" y="1809"/>
                              </a:lnTo>
                              <a:lnTo>
                                <a:pt x="2929" y="1836"/>
                              </a:lnTo>
                              <a:lnTo>
                                <a:pt x="2929" y="1915"/>
                              </a:lnTo>
                              <a:lnTo>
                                <a:pt x="2920" y="1950"/>
                              </a:lnTo>
                              <a:lnTo>
                                <a:pt x="4006" y="1950"/>
                              </a:lnTo>
                              <a:lnTo>
                                <a:pt x="4006" y="0"/>
                              </a:lnTo>
                              <a:lnTo>
                                <a:pt x="17" y="18"/>
                              </a:lnTo>
                              <a:close/>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79.75pt;margin-top:398.65pt;height:97.5pt;width:200.3pt;z-index:251841536;mso-width-relative:page;mso-height-relative:page;" filled="f" stroked="t" coordsize="4006,1950" o:gfxdata="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froJqtoAAAALAQAADwAAAAAAAAABACAAAAAiAAAAZHJzL2Rvd25y&#10;ZXYueG1sUEsBAhQAFAAAAAgAh07iQOdJ9IZuAgAAlgUAAA4AAAAAAAAAAQAgAAAAKQEAAGRycy9l&#10;Mm9Eb2MueG1sUEsFBgAAAAAGAAYAWQEAAAkGAAAAAA==&#10;" path="m17,18l0,1809,2929,1836,2929,1915,2920,1950,4006,1950,4006,0,17,18xe">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251840512" behindDoc="0" locked="0" layoutInCell="1" allowOverlap="1">
                <wp:simplePos x="0" y="0"/>
                <wp:positionH relativeFrom="column">
                  <wp:posOffset>1029335</wp:posOffset>
                </wp:positionH>
                <wp:positionV relativeFrom="paragraph">
                  <wp:posOffset>3617595</wp:posOffset>
                </wp:positionV>
                <wp:extent cx="3765550" cy="1154430"/>
                <wp:effectExtent l="4445" t="4445" r="20955" b="22225"/>
                <wp:wrapNone/>
                <wp:docPr id="109" name="任意多边形 109"/>
                <wp:cNvGraphicFramePr/>
                <a:graphic xmlns:a="http://schemas.openxmlformats.org/drawingml/2006/main">
                  <a:graphicData uri="http://schemas.microsoft.com/office/word/2010/wordprocessingShape">
                    <wps:wsp>
                      <wps:cNvSpPr/>
                      <wps:spPr>
                        <a:xfrm>
                          <a:off x="0" y="0"/>
                          <a:ext cx="3765550" cy="1154430"/>
                        </a:xfrm>
                        <a:custGeom>
                          <a:avLst/>
                          <a:gdLst/>
                          <a:ahLst/>
                          <a:cxnLst/>
                          <a:pathLst>
                            <a:path w="5930" h="1818">
                              <a:moveTo>
                                <a:pt x="0" y="0"/>
                              </a:moveTo>
                              <a:lnTo>
                                <a:pt x="0" y="1818"/>
                              </a:lnTo>
                              <a:lnTo>
                                <a:pt x="5930" y="1818"/>
                              </a:lnTo>
                              <a:lnTo>
                                <a:pt x="5921" y="591"/>
                              </a:lnTo>
                              <a:lnTo>
                                <a:pt x="3988" y="591"/>
                              </a:lnTo>
                              <a:lnTo>
                                <a:pt x="3997" y="9"/>
                              </a:lnTo>
                              <a:lnTo>
                                <a:pt x="0" y="0"/>
                              </a:lnTo>
                              <a:close/>
                            </a:path>
                          </a:pathLst>
                        </a:custGeom>
                        <a:noFill/>
                        <a:ln w="9525"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81.05pt;margin-top:284.85pt;height:90.9pt;width:296.5pt;z-index:251840512;mso-width-relative:page;mso-height-relative:page;" filled="f" stroked="t" coordsize="5930,1818" o:gfxdata="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qUVtHZAAAACwEAAA8AAAAAAAAAAQAgAAAAIgAAAGRycy9kb3ducmV2&#10;LnhtbFBLAQIUABQAAAAIAIdO4kB4+JYYbQIAAGYFAAAOAAAAAAAAAAEAIAAAACgBAABkcnMvZTJv&#10;RG9jLnhtbFBLBQYAAAAABgAGAFkBAAAHBgAAAAA=&#10;" path="m0,0l0,1818,5930,1818,5921,591,3988,591,3997,9,0,0xe">
                <v:fill on="f" focussize="0,0"/>
                <v:stroke color="#FF0000" joinstyle="round"/>
                <v:imagedata o:title=""/>
                <o:lock v:ext="edit" aspectratio="f"/>
              </v:shape>
            </w:pict>
          </mc:Fallback>
        </mc:AlternateContent>
      </w:r>
      <w:r>
        <w:rPr>
          <w:sz w:val="21"/>
        </w:rPr>
        <mc:AlternateContent>
          <mc:Choice Requires="wps">
            <w:drawing>
              <wp:anchor distT="0" distB="0" distL="114300" distR="114300" simplePos="0" relativeHeight="251839488" behindDoc="0" locked="0" layoutInCell="1" allowOverlap="1">
                <wp:simplePos x="0" y="0"/>
                <wp:positionH relativeFrom="column">
                  <wp:posOffset>1024890</wp:posOffset>
                </wp:positionH>
                <wp:positionV relativeFrom="paragraph">
                  <wp:posOffset>1020445</wp:posOffset>
                </wp:positionV>
                <wp:extent cx="3524250" cy="1158875"/>
                <wp:effectExtent l="4445" t="4445" r="14605" b="17780"/>
                <wp:wrapNone/>
                <wp:docPr id="125" name="任意多边形 125"/>
                <wp:cNvGraphicFramePr/>
                <a:graphic xmlns:a="http://schemas.openxmlformats.org/drawingml/2006/main">
                  <a:graphicData uri="http://schemas.microsoft.com/office/word/2010/wordprocessingShape">
                    <wps:wsp>
                      <wps:cNvSpPr/>
                      <wps:spPr>
                        <a:xfrm>
                          <a:off x="0" y="0"/>
                          <a:ext cx="3524250" cy="1158875"/>
                        </a:xfrm>
                        <a:custGeom>
                          <a:avLst/>
                          <a:gdLst/>
                          <a:ahLst/>
                          <a:cxnLst/>
                          <a:pathLst>
                            <a:path w="5550" h="1825">
                              <a:moveTo>
                                <a:pt x="0" y="0"/>
                              </a:moveTo>
                              <a:lnTo>
                                <a:pt x="13" y="1825"/>
                              </a:lnTo>
                              <a:lnTo>
                                <a:pt x="5550" y="1825"/>
                              </a:lnTo>
                              <a:lnTo>
                                <a:pt x="5538" y="25"/>
                              </a:lnTo>
                              <a:lnTo>
                                <a:pt x="0" y="0"/>
                              </a:lnTo>
                              <a:close/>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80.7pt;margin-top:80.35pt;height:91.25pt;width:277.5pt;z-index:251839488;mso-width-relative:page;mso-height-relative:page;" filled="f" stroked="t" coordsize="5550,1825" o:gfxdata="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Ys6sPZAAAA&#10;CwEAAA8AAAAAAAAAAQAgAAAAIgAAAGRycy9kb3ducmV2LnhtbFBLAQIUABQAAAAIAIdO4kBAY/45&#10;VQIAABYFAAAOAAAAAAAAAAEAIAAAACgBAABkcnMvZTJvRG9jLnhtbFBLBQYAAAAABgAGAFkBAADv&#10;BQAAAAA=&#10;" path="m0,0l13,1825,5550,1825,5538,25,0,0xe">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251837440" behindDoc="0" locked="0" layoutInCell="1" allowOverlap="1">
                <wp:simplePos x="0" y="0"/>
                <wp:positionH relativeFrom="column">
                  <wp:posOffset>2294890</wp:posOffset>
                </wp:positionH>
                <wp:positionV relativeFrom="paragraph">
                  <wp:posOffset>377825</wp:posOffset>
                </wp:positionV>
                <wp:extent cx="929005" cy="460375"/>
                <wp:effectExtent l="4445" t="4445" r="19050" b="11430"/>
                <wp:wrapNone/>
                <wp:docPr id="128" name="任意多边形 128"/>
                <wp:cNvGraphicFramePr/>
                <a:graphic xmlns:a="http://schemas.openxmlformats.org/drawingml/2006/main">
                  <a:graphicData uri="http://schemas.microsoft.com/office/word/2010/wordprocessingShape">
                    <wps:wsp>
                      <wps:cNvSpPr/>
                      <wps:spPr>
                        <a:xfrm>
                          <a:off x="0" y="0"/>
                          <a:ext cx="929005" cy="460375"/>
                        </a:xfrm>
                        <a:custGeom>
                          <a:avLst/>
                          <a:gdLst/>
                          <a:ahLst/>
                          <a:cxnLst/>
                          <a:pathLst>
                            <a:path w="1463" h="725">
                              <a:moveTo>
                                <a:pt x="13" y="12"/>
                              </a:moveTo>
                              <a:lnTo>
                                <a:pt x="0" y="725"/>
                              </a:lnTo>
                              <a:lnTo>
                                <a:pt x="1438" y="712"/>
                              </a:lnTo>
                              <a:lnTo>
                                <a:pt x="1463" y="0"/>
                              </a:lnTo>
                              <a:lnTo>
                                <a:pt x="13" y="12"/>
                              </a:lnTo>
                              <a:close/>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80.7pt;margin-top:29.75pt;height:36.25pt;width:73.15pt;z-index:251837440;mso-width-relative:page;mso-height-relative:page;" filled="f" stroked="t" coordsize="1463,725" o:gfxdata="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lbcNTaAAAACgEAAA8AAAAAAAAAAQAgAAAAIgAAAGRycy9kb3ducmV2LnhtbFBLAQIU&#10;ABQAAAAIAIdO4kDGmmEMYwIAABMFAAAOAAAAAAAAAAEAIAAAACkBAABkcnMvZTJvRG9jLnhtbFBL&#10;BQYAAAAABgAGAFkBAAD+BQAAAAA=&#10;" path="m13,12l0,725,1438,712,1463,0,13,12xe">
                <v:fill on="f" focussize="0,0"/>
                <v:stroke color="#000000" joinstyle="round"/>
                <v:imagedata o:title=""/>
                <o:lock v:ext="edit" aspectratio="f"/>
              </v:shape>
            </w:pict>
          </mc:Fallback>
        </mc:AlternateContent>
      </w:r>
    </w:p>
    <w:p w14:paraId="0C495675">
      <w:pPr>
        <w:keepNext w:val="0"/>
        <w:keepLines w:val="0"/>
        <w:widowControl/>
        <w:suppressLineNumbers w:val="0"/>
        <w:jc w:val="center"/>
        <w:rPr>
          <w:rFonts w:hint="eastAsia" w:eastAsia="宋体"/>
          <w:lang w:eastAsia="zh-CN"/>
        </w:rPr>
        <w:sectPr>
          <w:pgSz w:w="11906" w:h="16838"/>
          <w:pgMar w:top="1440" w:right="1440" w:bottom="1440"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r>
        <w:rPr>
          <w:sz w:val="24"/>
        </w:rPr>
        <mc:AlternateContent>
          <mc:Choice Requires="wps">
            <w:drawing>
              <wp:anchor distT="0" distB="0" distL="114300" distR="114300" simplePos="0" relativeHeight="251778048" behindDoc="1" locked="0" layoutInCell="1" allowOverlap="1">
                <wp:simplePos x="0" y="0"/>
                <wp:positionH relativeFrom="column">
                  <wp:posOffset>5224145</wp:posOffset>
                </wp:positionH>
                <wp:positionV relativeFrom="paragraph">
                  <wp:posOffset>2571115</wp:posOffset>
                </wp:positionV>
                <wp:extent cx="1120775" cy="327025"/>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120775" cy="327025"/>
                        </a:xfrm>
                        <a:prstGeom prst="rect">
                          <a:avLst/>
                        </a:prstGeom>
                        <a:noFill/>
                        <a:ln>
                          <a:noFill/>
                        </a:ln>
                      </wps:spPr>
                      <wps:txbx>
                        <w:txbxContent>
                          <w:p w14:paraId="3974CC9A">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D</w:t>
                            </w:r>
                            <w:r>
                              <w:rPr>
                                <w:rFonts w:hint="eastAsia" w:ascii="Times New Roman" w:hAnsi="Times New Roman" w:eastAsia="宋体" w:cs="Times New Roman"/>
                                <w:lang w:val="en-US" w:eastAsia="zh-CN"/>
                              </w:rPr>
                              <w:t>W</w:t>
                            </w:r>
                            <w:r>
                              <w:rPr>
                                <w:rFonts w:hint="default" w:ascii="Times New Roman" w:hAnsi="Times New Roman" w:eastAsia="宋体" w:cs="Times New Roman"/>
                                <w:lang w:val="en-US" w:eastAsia="zh-CN"/>
                              </w:rPr>
                              <w:t>00</w:t>
                            </w:r>
                            <w:r>
                              <w:rPr>
                                <w:rFonts w:hint="eastAsia" w:ascii="Times New Roman" w:hAnsi="Times New Roman" w:eastAsia="宋体" w:cs="Times New Roman"/>
                                <w:lang w:val="en-US" w:eastAsia="zh-CN"/>
                              </w:rPr>
                              <w:t>2</w:t>
                            </w:r>
                          </w:p>
                        </w:txbxContent>
                      </wps:txbx>
                      <wps:bodyPr upright="1"/>
                    </wps:wsp>
                  </a:graphicData>
                </a:graphic>
              </wp:anchor>
            </w:drawing>
          </mc:Choice>
          <mc:Fallback>
            <w:pict>
              <v:shape id="_x0000_s1026" o:spid="_x0000_s1026" o:spt="202" type="#_x0000_t202" style="position:absolute;left:0pt;margin-left:411.35pt;margin-top:202.45pt;height:25.75pt;width:88.25pt;z-index:-251538432;mso-width-relative:page;mso-height-relative:page;" filled="f" stroked="f" coordsize="21600,21600" o:gfxdata="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KmPDEPY&#10;AAAACwEAAA8AAAAAAAAAAQAgAAAAIgAAAGRycy9kb3ducmV2LnhtbFBLAQIUABQAAAAIAIdO4kAy&#10;E0qBrgEAAFIDAAAOAAAAAAAAAAEAIAAAACcBAABkcnMvZTJvRG9jLnhtbFBLBQYAAAAABgAGAFkB&#10;AABHBQAAAAA=&#10;">
                <v:fill on="f" focussize="0,0"/>
                <v:stroke on="f"/>
                <v:imagedata o:title=""/>
                <o:lock v:ext="edit" aspectratio="f"/>
                <v:textbox>
                  <w:txbxContent>
                    <w:p w14:paraId="3974CC9A">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D</w:t>
                      </w:r>
                      <w:r>
                        <w:rPr>
                          <w:rFonts w:hint="eastAsia" w:ascii="Times New Roman" w:hAnsi="Times New Roman" w:eastAsia="宋体" w:cs="Times New Roman"/>
                          <w:lang w:val="en-US" w:eastAsia="zh-CN"/>
                        </w:rPr>
                        <w:t>W</w:t>
                      </w:r>
                      <w:r>
                        <w:rPr>
                          <w:rFonts w:hint="default" w:ascii="Times New Roman" w:hAnsi="Times New Roman" w:eastAsia="宋体" w:cs="Times New Roman"/>
                          <w:lang w:val="en-US" w:eastAsia="zh-CN"/>
                        </w:rPr>
                        <w:t>00</w:t>
                      </w:r>
                      <w:r>
                        <w:rPr>
                          <w:rFonts w:hint="eastAsia" w:ascii="Times New Roman" w:hAnsi="Times New Roman" w:eastAsia="宋体" w:cs="Times New Roman"/>
                          <w:lang w:val="en-US" w:eastAsia="zh-CN"/>
                        </w:rPr>
                        <w:t>2</w:t>
                      </w:r>
                    </w:p>
                  </w:txbxContent>
                </v:textbox>
              </v:shape>
            </w:pict>
          </mc:Fallback>
        </mc:AlternateContent>
      </w:r>
      <w:r>
        <w:rPr>
          <w:sz w:val="24"/>
        </w:rPr>
        <mc:AlternateContent>
          <mc:Choice Requires="wps">
            <w:drawing>
              <wp:anchor distT="0" distB="0" distL="114300" distR="114300" simplePos="0" relativeHeight="251777024" behindDoc="1" locked="0" layoutInCell="1" allowOverlap="1">
                <wp:simplePos x="0" y="0"/>
                <wp:positionH relativeFrom="column">
                  <wp:posOffset>4604385</wp:posOffset>
                </wp:positionH>
                <wp:positionV relativeFrom="paragraph">
                  <wp:posOffset>4550410</wp:posOffset>
                </wp:positionV>
                <wp:extent cx="1120775" cy="327025"/>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120775" cy="327025"/>
                        </a:xfrm>
                        <a:prstGeom prst="rect">
                          <a:avLst/>
                        </a:prstGeom>
                        <a:noFill/>
                        <a:ln>
                          <a:noFill/>
                        </a:ln>
                      </wps:spPr>
                      <wps:txbx>
                        <w:txbxContent>
                          <w:p w14:paraId="0E51CAEA">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DA00</w:t>
                            </w:r>
                            <w:r>
                              <w:rPr>
                                <w:rFonts w:hint="eastAsia" w:ascii="Times New Roman" w:hAnsi="Times New Roman" w:eastAsia="宋体" w:cs="Times New Roman"/>
                                <w:lang w:val="en-US" w:eastAsia="zh-CN"/>
                              </w:rPr>
                              <w:t>2</w:t>
                            </w:r>
                          </w:p>
                        </w:txbxContent>
                      </wps:txbx>
                      <wps:bodyPr upright="1"/>
                    </wps:wsp>
                  </a:graphicData>
                </a:graphic>
              </wp:anchor>
            </w:drawing>
          </mc:Choice>
          <mc:Fallback>
            <w:pict>
              <v:shape id="_x0000_s1026" o:spid="_x0000_s1026" o:spt="202" type="#_x0000_t202" style="position:absolute;left:0pt;margin-left:362.55pt;margin-top:358.3pt;height:25.75pt;width:88.25pt;z-index:-251539456;mso-width-relative:page;mso-height-relative:page;" filled="f" stroked="f" coordsize="21600,21600" o:gfxdata="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Lntk2PX&#10;AAAACwEAAA8AAAAAAAAAAQAgAAAAIgAAAGRycy9kb3ducmV2LnhtbFBLAQIUABQAAAAIAIdO4kCV&#10;hoL7rwEAAFIDAAAOAAAAAAAAAAEAIAAAACYBAABkcnMvZTJvRG9jLnhtbFBLBQYAAAAABgAGAFkB&#10;AABHBQAAAAA=&#10;">
                <v:fill on="f" focussize="0,0"/>
                <v:stroke on="f"/>
                <v:imagedata o:title=""/>
                <o:lock v:ext="edit" aspectratio="f"/>
                <v:textbox>
                  <w:txbxContent>
                    <w:p w14:paraId="0E51CAEA">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DA00</w:t>
                      </w:r>
                      <w:r>
                        <w:rPr>
                          <w:rFonts w:hint="eastAsia" w:ascii="Times New Roman" w:hAnsi="Times New Roman" w:eastAsia="宋体" w:cs="Times New Roman"/>
                          <w:lang w:val="en-US" w:eastAsia="zh-CN"/>
                        </w:rPr>
                        <w:t>2</w:t>
                      </w:r>
                    </w:p>
                  </w:txbxContent>
                </v:textbox>
              </v:shape>
            </w:pict>
          </mc:Fallback>
        </mc:AlternateContent>
      </w:r>
      <w:r>
        <w:rPr>
          <w:sz w:val="21"/>
        </w:rPr>
        <mc:AlternateContent>
          <mc:Choice Requires="wps">
            <w:drawing>
              <wp:anchor distT="0" distB="0" distL="114300" distR="114300" simplePos="0" relativeHeight="251857920" behindDoc="0" locked="0" layoutInCell="1" allowOverlap="1">
                <wp:simplePos x="0" y="0"/>
                <wp:positionH relativeFrom="column">
                  <wp:posOffset>4541520</wp:posOffset>
                </wp:positionH>
                <wp:positionV relativeFrom="paragraph">
                  <wp:posOffset>4601845</wp:posOffset>
                </wp:positionV>
                <wp:extent cx="107315" cy="100965"/>
                <wp:effectExtent l="4445" t="4445" r="21590" b="8890"/>
                <wp:wrapNone/>
                <wp:docPr id="133" name="椭圆 133"/>
                <wp:cNvGraphicFramePr/>
                <a:graphic xmlns:a="http://schemas.openxmlformats.org/drawingml/2006/main">
                  <a:graphicData uri="http://schemas.microsoft.com/office/word/2010/wordprocessingShape">
                    <wps:wsp>
                      <wps:cNvSpPr/>
                      <wps:spPr>
                        <a:xfrm>
                          <a:off x="0" y="0"/>
                          <a:ext cx="107315" cy="100965"/>
                        </a:xfrm>
                        <a:prstGeom prst="ellipse">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357.6pt;margin-top:362.35pt;height:7.95pt;width:8.45pt;z-index:251857920;mso-width-relative:page;mso-height-relative:page;" fillcolor="#FFFFFF" filled="t" stroked="t" coordsize="21600,21600" o:gfxdata="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4AnmR2QAAAAsBAAAPAAAAAAAAAAEAIAAAACIAAABkcnMvZG93bnJldi54&#10;bWxQSwECFAAUAAAACACHTuJAGE9BG/kBAAAaBAAADgAAAAAAAAABACAAAAAoAQAAZHJzL2Uyb0Rv&#10;Yy54bWxQSwUGAAAAAAYABgBZAQAAkwUAAAAA&#10;">
                <v:fill on="t" focussize="0,0"/>
                <v:stroke color="#000000" joinstyle="round"/>
                <v:imagedata o:title=""/>
                <o:lock v:ext="edit" aspectratio="f"/>
              </v:shape>
            </w:pict>
          </mc:Fallback>
        </mc:AlternateContent>
      </w:r>
      <w:r>
        <w:rPr>
          <w:sz w:val="24"/>
        </w:rPr>
        <mc:AlternateContent>
          <mc:Choice Requires="wps">
            <w:drawing>
              <wp:anchor distT="0" distB="0" distL="114300" distR="114300" simplePos="0" relativeHeight="251776000" behindDoc="1" locked="0" layoutInCell="1" allowOverlap="1">
                <wp:simplePos x="0" y="0"/>
                <wp:positionH relativeFrom="column">
                  <wp:posOffset>5183505</wp:posOffset>
                </wp:positionH>
                <wp:positionV relativeFrom="paragraph">
                  <wp:posOffset>2871470</wp:posOffset>
                </wp:positionV>
                <wp:extent cx="1120775" cy="327025"/>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120775" cy="327025"/>
                        </a:xfrm>
                        <a:prstGeom prst="rect">
                          <a:avLst/>
                        </a:prstGeom>
                        <a:noFill/>
                        <a:ln>
                          <a:noFill/>
                        </a:ln>
                      </wps:spPr>
                      <wps:txbx>
                        <w:txbxContent>
                          <w:p w14:paraId="3ADB1083">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DA00</w:t>
                            </w:r>
                            <w:r>
                              <w:rPr>
                                <w:rFonts w:hint="eastAsia" w:ascii="Times New Roman" w:hAnsi="Times New Roman" w:eastAsia="宋体" w:cs="Times New Roman"/>
                                <w:lang w:val="en-US" w:eastAsia="zh-CN"/>
                              </w:rPr>
                              <w:t>3</w:t>
                            </w:r>
                          </w:p>
                        </w:txbxContent>
                      </wps:txbx>
                      <wps:bodyPr upright="1"/>
                    </wps:wsp>
                  </a:graphicData>
                </a:graphic>
              </wp:anchor>
            </w:drawing>
          </mc:Choice>
          <mc:Fallback>
            <w:pict>
              <v:shape id="_x0000_s1026" o:spid="_x0000_s1026" o:spt="202" type="#_x0000_t202" style="position:absolute;left:0pt;margin-left:408.15pt;margin-top:226.1pt;height:25.75pt;width:88.25pt;z-index:-251540480;mso-width-relative:page;mso-height-relative:page;" filled="f" stroked="f" coordsize="21600,21600" o:gfxdata="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GQRD6&#10;2QAAAAsBAAAPAAAAAAAAAAEAIAAAACIAAABkcnMvZG93bnJldi54bWxQSwECFAAUAAAACACHTuJA&#10;geZiT64BAABSAwAADgAAAAAAAAABACAAAAAoAQAAZHJzL2Uyb0RvYy54bWxQSwUGAAAAAAYABgBZ&#10;AQAASAUAAAAA&#10;">
                <v:fill on="f" focussize="0,0"/>
                <v:stroke on="f"/>
                <v:imagedata o:title=""/>
                <o:lock v:ext="edit" aspectratio="f"/>
                <v:textbox>
                  <w:txbxContent>
                    <w:p w14:paraId="3ADB1083">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DA00</w:t>
                      </w:r>
                      <w:r>
                        <w:rPr>
                          <w:rFonts w:hint="eastAsia" w:ascii="Times New Roman" w:hAnsi="Times New Roman" w:eastAsia="宋体" w:cs="Times New Roman"/>
                          <w:lang w:val="en-US" w:eastAsia="zh-CN"/>
                        </w:rPr>
                        <w:t>3</w:t>
                      </w:r>
                    </w:p>
                  </w:txbxContent>
                </v:textbox>
              </v:shape>
            </w:pict>
          </mc:Fallback>
        </mc:AlternateContent>
      </w:r>
      <w:r>
        <w:rPr>
          <w:sz w:val="21"/>
        </w:rPr>
        <mc:AlternateContent>
          <mc:Choice Requires="wps">
            <w:drawing>
              <wp:anchor distT="0" distB="0" distL="114300" distR="114300" simplePos="0" relativeHeight="251855872" behindDoc="0" locked="0" layoutInCell="1" allowOverlap="1">
                <wp:simplePos x="0" y="0"/>
                <wp:positionH relativeFrom="column">
                  <wp:posOffset>5235575</wp:posOffset>
                </wp:positionH>
                <wp:positionV relativeFrom="paragraph">
                  <wp:posOffset>2819400</wp:posOffset>
                </wp:positionV>
                <wp:extent cx="107315" cy="100965"/>
                <wp:effectExtent l="4445" t="4445" r="21590" b="8890"/>
                <wp:wrapNone/>
                <wp:docPr id="132" name="椭圆 132"/>
                <wp:cNvGraphicFramePr/>
                <a:graphic xmlns:a="http://schemas.openxmlformats.org/drawingml/2006/main">
                  <a:graphicData uri="http://schemas.microsoft.com/office/word/2010/wordprocessingShape">
                    <wps:wsp>
                      <wps:cNvSpPr/>
                      <wps:spPr>
                        <a:xfrm>
                          <a:off x="0" y="0"/>
                          <a:ext cx="107315" cy="100965"/>
                        </a:xfrm>
                        <a:prstGeom prst="ellipse">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412.25pt;margin-top:222pt;height:7.95pt;width:8.45pt;z-index:251855872;mso-width-relative:page;mso-height-relative:page;" fillcolor="#FFFFFF" filled="t" stroked="t" coordsize="21600,21600" o:gfxdata="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Lw2pbZAAAACwEAAA8AAAAAAAAAAQAgAAAAIgAAAGRycy9kb3ducmV2Lnht&#10;bFBLAQIUABQAAAAIAIdO4kALps3q+AEAABoEAAAOAAAAAAAAAAEAIAAAACgBAABkcnMvZTJvRG9j&#10;LnhtbFBLBQYAAAAABgAGAFkBAACSBQAAAAA=&#10;">
                <v:fill on="t" focussize="0,0"/>
                <v:stroke color="#000000" joinstyle="round"/>
                <v:imagedata o:title=""/>
                <o:lock v:ext="edit" aspectratio="f"/>
              </v:shape>
            </w:pict>
          </mc:Fallback>
        </mc:AlternateContent>
      </w:r>
      <w:r>
        <w:rPr>
          <w:sz w:val="24"/>
        </w:rPr>
        <mc:AlternateContent>
          <mc:Choice Requires="wps">
            <w:drawing>
              <wp:anchor distT="0" distB="0" distL="114300" distR="114300" simplePos="0" relativeHeight="251853824" behindDoc="0" locked="0" layoutInCell="1" allowOverlap="1">
                <wp:simplePos x="0" y="0"/>
                <wp:positionH relativeFrom="column">
                  <wp:posOffset>4327525</wp:posOffset>
                </wp:positionH>
                <wp:positionV relativeFrom="paragraph">
                  <wp:posOffset>3157855</wp:posOffset>
                </wp:positionV>
                <wp:extent cx="626745" cy="327025"/>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626745" cy="327025"/>
                        </a:xfrm>
                        <a:prstGeom prst="rect">
                          <a:avLst/>
                        </a:prstGeom>
                        <a:noFill/>
                        <a:ln>
                          <a:noFill/>
                        </a:ln>
                      </wps:spPr>
                      <wps:txbx>
                        <w:txbxContent>
                          <w:p w14:paraId="4F60B395">
                            <w:pPr>
                              <w:rPr>
                                <w:rFonts w:hint="default" w:eastAsia="宋体"/>
                                <w:lang w:val="en-US" w:eastAsia="zh-CN"/>
                              </w:rPr>
                            </w:pPr>
                            <w:r>
                              <w:rPr>
                                <w:rFonts w:hint="eastAsia"/>
                                <w:lang w:val="en-US" w:eastAsia="zh-CN"/>
                              </w:rPr>
                              <w:t>事故池</w:t>
                            </w:r>
                          </w:p>
                        </w:txbxContent>
                      </wps:txbx>
                      <wps:bodyPr upright="1"/>
                    </wps:wsp>
                  </a:graphicData>
                </a:graphic>
              </wp:anchor>
            </w:drawing>
          </mc:Choice>
          <mc:Fallback>
            <w:pict>
              <v:shape id="_x0000_s1026" o:spid="_x0000_s1026" o:spt="202" type="#_x0000_t202" style="position:absolute;left:0pt;margin-left:340.75pt;margin-top:248.65pt;height:25.75pt;width:49.35pt;z-index:251853824;mso-width-relative:page;mso-height-relative:page;" filled="f" stroked="f" coordsize="21600,21600" o:gfxdata="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1Mcaz&#10;2QAAAAsBAAAPAAAAAAAAAAEAIAAAACIAAABkcnMvZG93bnJldi54bWxQSwECFAAUAAAACACHTuJA&#10;tK4Wuq4BAABRAwAADgAAAAAAAAABACAAAAAoAQAAZHJzL2Uyb0RvYy54bWxQSwUGAAAAAAYABgBZ&#10;AQAASAUAAAAA&#10;">
                <v:fill on="f" focussize="0,0"/>
                <v:stroke on="f"/>
                <v:imagedata o:title=""/>
                <o:lock v:ext="edit" aspectratio="f"/>
                <v:textbox>
                  <w:txbxContent>
                    <w:p w14:paraId="4F60B395">
                      <w:pPr>
                        <w:rPr>
                          <w:rFonts w:hint="default" w:eastAsia="宋体"/>
                          <w:lang w:val="en-US" w:eastAsia="zh-CN"/>
                        </w:rPr>
                      </w:pPr>
                      <w:r>
                        <w:rPr>
                          <w:rFonts w:hint="eastAsia"/>
                          <w:lang w:val="en-US" w:eastAsia="zh-CN"/>
                        </w:rPr>
                        <w:t>事故池</w:t>
                      </w:r>
                    </w:p>
                  </w:txbxContent>
                </v:textbox>
              </v:shape>
            </w:pict>
          </mc:Fallback>
        </mc:AlternateContent>
      </w:r>
      <w:r>
        <w:rPr>
          <w:sz w:val="21"/>
        </w:rPr>
        <mc:AlternateContent>
          <mc:Choice Requires="wps">
            <w:drawing>
              <wp:anchor distT="0" distB="0" distL="114300" distR="114300" simplePos="0" relativeHeight="251847680" behindDoc="0" locked="0" layoutInCell="1" allowOverlap="1">
                <wp:simplePos x="0" y="0"/>
                <wp:positionH relativeFrom="column">
                  <wp:posOffset>5474970</wp:posOffset>
                </wp:positionH>
                <wp:positionV relativeFrom="paragraph">
                  <wp:posOffset>1119505</wp:posOffset>
                </wp:positionV>
                <wp:extent cx="544195" cy="205359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544195" cy="2053590"/>
                        </a:xfrm>
                        <a:prstGeom prst="rect">
                          <a:avLst/>
                        </a:prstGeom>
                        <a:noFill/>
                        <a:ln>
                          <a:noFill/>
                        </a:ln>
                      </wps:spPr>
                      <wps:txbx>
                        <w:txbxContent>
                          <w:p w14:paraId="3291E1C0">
                            <w:pPr>
                              <w:rPr>
                                <w:rFonts w:hint="eastAsia"/>
                                <w:sz w:val="24"/>
                                <w:szCs w:val="24"/>
                                <w:lang w:val="en-US" w:eastAsia="zh-CN"/>
                              </w:rPr>
                            </w:pPr>
                            <w:r>
                              <w:rPr>
                                <w:rFonts w:hint="eastAsia"/>
                                <w:sz w:val="24"/>
                                <w:szCs w:val="24"/>
                                <w:lang w:val="en-US" w:eastAsia="zh-CN"/>
                              </w:rPr>
                              <w:t>新</w:t>
                            </w:r>
                          </w:p>
                          <w:p w14:paraId="24DB5354">
                            <w:pPr>
                              <w:rPr>
                                <w:rFonts w:hint="eastAsia"/>
                                <w:sz w:val="24"/>
                                <w:szCs w:val="24"/>
                                <w:lang w:val="en-US" w:eastAsia="zh-CN"/>
                              </w:rPr>
                            </w:pPr>
                          </w:p>
                          <w:p w14:paraId="55B35C80">
                            <w:pPr>
                              <w:rPr>
                                <w:rFonts w:hint="eastAsia"/>
                                <w:sz w:val="24"/>
                                <w:szCs w:val="24"/>
                                <w:lang w:val="en-US" w:eastAsia="zh-CN"/>
                              </w:rPr>
                            </w:pPr>
                            <w:r>
                              <w:rPr>
                                <w:rFonts w:hint="eastAsia"/>
                                <w:sz w:val="24"/>
                                <w:szCs w:val="24"/>
                                <w:lang w:val="en-US" w:eastAsia="zh-CN"/>
                              </w:rPr>
                              <w:t>中</w:t>
                            </w:r>
                          </w:p>
                          <w:p w14:paraId="05376AA3">
                            <w:pPr>
                              <w:rPr>
                                <w:rFonts w:hint="eastAsia"/>
                                <w:sz w:val="24"/>
                                <w:szCs w:val="24"/>
                                <w:lang w:val="en-US" w:eastAsia="zh-CN"/>
                              </w:rPr>
                            </w:pPr>
                          </w:p>
                          <w:p w14:paraId="63B13FC9">
                            <w:pPr>
                              <w:rPr>
                                <w:rFonts w:hint="eastAsia"/>
                                <w:sz w:val="24"/>
                                <w:szCs w:val="24"/>
                                <w:lang w:val="en-US" w:eastAsia="zh-CN"/>
                              </w:rPr>
                            </w:pPr>
                            <w:r>
                              <w:rPr>
                                <w:rFonts w:hint="eastAsia"/>
                                <w:sz w:val="24"/>
                                <w:szCs w:val="24"/>
                                <w:lang w:val="en-US" w:eastAsia="zh-CN"/>
                              </w:rPr>
                              <w:t>大</w:t>
                            </w:r>
                          </w:p>
                          <w:p w14:paraId="1401380B">
                            <w:pPr>
                              <w:rPr>
                                <w:rFonts w:hint="eastAsia"/>
                                <w:sz w:val="24"/>
                                <w:szCs w:val="24"/>
                                <w:lang w:val="en-US" w:eastAsia="zh-CN"/>
                              </w:rPr>
                            </w:pPr>
                          </w:p>
                          <w:p w14:paraId="7E4365E0">
                            <w:pPr>
                              <w:rPr>
                                <w:rFonts w:hint="default" w:eastAsia="宋体"/>
                                <w:sz w:val="24"/>
                                <w:szCs w:val="24"/>
                                <w:lang w:val="en-US" w:eastAsia="zh-CN"/>
                              </w:rPr>
                            </w:pPr>
                            <w:r>
                              <w:rPr>
                                <w:rFonts w:hint="eastAsia"/>
                                <w:sz w:val="24"/>
                                <w:szCs w:val="24"/>
                                <w:lang w:val="en-US" w:eastAsia="zh-CN"/>
                              </w:rPr>
                              <w:t>道</w:t>
                            </w:r>
                          </w:p>
                        </w:txbxContent>
                      </wps:txbx>
                      <wps:bodyPr upright="1"/>
                    </wps:wsp>
                  </a:graphicData>
                </a:graphic>
              </wp:anchor>
            </w:drawing>
          </mc:Choice>
          <mc:Fallback>
            <w:pict>
              <v:shape id="_x0000_s1026" o:spid="_x0000_s1026" o:spt="202" type="#_x0000_t202" style="position:absolute;left:0pt;margin-left:431.1pt;margin-top:88.15pt;height:161.7pt;width:42.85pt;z-index:251847680;mso-width-relative:page;mso-height-relative:page;" filled="f" stroked="f" coordsize="21600,21600" o:gfxdata="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3SKS&#10;SNgAAAALAQAADwAAAAAAAAABACAAAAAiAAAAZHJzL2Rvd25yZXYueG1sUEsBAhQAFAAAAAgAh07i&#10;QG/9A9mwAQAAUgMAAA4AAAAAAAAAAQAgAAAAJwEAAGRycy9lMm9Eb2MueG1sUEsFBgAAAAAGAAYA&#10;WQEAAEkFAAAAAA==&#10;">
                <v:fill on="f" focussize="0,0"/>
                <v:stroke on="f"/>
                <v:imagedata o:title=""/>
                <o:lock v:ext="edit" aspectratio="f"/>
                <v:textbox>
                  <w:txbxContent>
                    <w:p w14:paraId="3291E1C0">
                      <w:pPr>
                        <w:rPr>
                          <w:rFonts w:hint="eastAsia"/>
                          <w:sz w:val="24"/>
                          <w:szCs w:val="24"/>
                          <w:lang w:val="en-US" w:eastAsia="zh-CN"/>
                        </w:rPr>
                      </w:pPr>
                      <w:r>
                        <w:rPr>
                          <w:rFonts w:hint="eastAsia"/>
                          <w:sz w:val="24"/>
                          <w:szCs w:val="24"/>
                          <w:lang w:val="en-US" w:eastAsia="zh-CN"/>
                        </w:rPr>
                        <w:t>新</w:t>
                      </w:r>
                    </w:p>
                    <w:p w14:paraId="24DB5354">
                      <w:pPr>
                        <w:rPr>
                          <w:rFonts w:hint="eastAsia"/>
                          <w:sz w:val="24"/>
                          <w:szCs w:val="24"/>
                          <w:lang w:val="en-US" w:eastAsia="zh-CN"/>
                        </w:rPr>
                      </w:pPr>
                    </w:p>
                    <w:p w14:paraId="55B35C80">
                      <w:pPr>
                        <w:rPr>
                          <w:rFonts w:hint="eastAsia"/>
                          <w:sz w:val="24"/>
                          <w:szCs w:val="24"/>
                          <w:lang w:val="en-US" w:eastAsia="zh-CN"/>
                        </w:rPr>
                      </w:pPr>
                      <w:r>
                        <w:rPr>
                          <w:rFonts w:hint="eastAsia"/>
                          <w:sz w:val="24"/>
                          <w:szCs w:val="24"/>
                          <w:lang w:val="en-US" w:eastAsia="zh-CN"/>
                        </w:rPr>
                        <w:t>中</w:t>
                      </w:r>
                    </w:p>
                    <w:p w14:paraId="05376AA3">
                      <w:pPr>
                        <w:rPr>
                          <w:rFonts w:hint="eastAsia"/>
                          <w:sz w:val="24"/>
                          <w:szCs w:val="24"/>
                          <w:lang w:val="en-US" w:eastAsia="zh-CN"/>
                        </w:rPr>
                      </w:pPr>
                    </w:p>
                    <w:p w14:paraId="63B13FC9">
                      <w:pPr>
                        <w:rPr>
                          <w:rFonts w:hint="eastAsia"/>
                          <w:sz w:val="24"/>
                          <w:szCs w:val="24"/>
                          <w:lang w:val="en-US" w:eastAsia="zh-CN"/>
                        </w:rPr>
                      </w:pPr>
                      <w:r>
                        <w:rPr>
                          <w:rFonts w:hint="eastAsia"/>
                          <w:sz w:val="24"/>
                          <w:szCs w:val="24"/>
                          <w:lang w:val="en-US" w:eastAsia="zh-CN"/>
                        </w:rPr>
                        <w:t>大</w:t>
                      </w:r>
                    </w:p>
                    <w:p w14:paraId="1401380B">
                      <w:pPr>
                        <w:rPr>
                          <w:rFonts w:hint="eastAsia"/>
                          <w:sz w:val="24"/>
                          <w:szCs w:val="24"/>
                          <w:lang w:val="en-US" w:eastAsia="zh-CN"/>
                        </w:rPr>
                      </w:pPr>
                    </w:p>
                    <w:p w14:paraId="7E4365E0">
                      <w:pPr>
                        <w:rPr>
                          <w:rFonts w:hint="default" w:eastAsia="宋体"/>
                          <w:sz w:val="24"/>
                          <w:szCs w:val="24"/>
                          <w:lang w:val="en-US" w:eastAsia="zh-CN"/>
                        </w:rPr>
                      </w:pPr>
                      <w:r>
                        <w:rPr>
                          <w:rFonts w:hint="eastAsia"/>
                          <w:sz w:val="24"/>
                          <w:szCs w:val="24"/>
                          <w:lang w:val="en-US" w:eastAsia="zh-CN"/>
                        </w:rPr>
                        <w:t>道</w:t>
                      </w:r>
                    </w:p>
                  </w:txbxContent>
                </v:textbox>
              </v:shape>
            </w:pict>
          </mc:Fallback>
        </mc:AlternateContent>
      </w:r>
      <w:r>
        <w:rPr>
          <w:sz w:val="24"/>
        </w:rPr>
        <mc:AlternateContent>
          <mc:Choice Requires="wps">
            <w:drawing>
              <wp:anchor distT="0" distB="0" distL="114300" distR="114300" simplePos="0" relativeHeight="251856896" behindDoc="0" locked="0" layoutInCell="1" allowOverlap="1">
                <wp:simplePos x="0" y="0"/>
                <wp:positionH relativeFrom="column">
                  <wp:posOffset>5232400</wp:posOffset>
                </wp:positionH>
                <wp:positionV relativeFrom="paragraph">
                  <wp:posOffset>2612390</wp:posOffset>
                </wp:positionV>
                <wp:extent cx="104140" cy="105410"/>
                <wp:effectExtent l="4445" t="4445" r="5715" b="23495"/>
                <wp:wrapNone/>
                <wp:docPr id="110" name="流程图: 汇总连接 110"/>
                <wp:cNvGraphicFramePr/>
                <a:graphic xmlns:a="http://schemas.openxmlformats.org/drawingml/2006/main">
                  <a:graphicData uri="http://schemas.microsoft.com/office/word/2010/wordprocessingShape">
                    <wps:wsp>
                      <wps:cNvSpPr/>
                      <wps:spPr>
                        <a:xfrm>
                          <a:off x="0" y="0"/>
                          <a:ext cx="104140" cy="105410"/>
                        </a:xfrm>
                        <a:prstGeom prst="flowChartSummingJunction">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23" type="#_x0000_t123" style="position:absolute;left:0pt;margin-left:412pt;margin-top:205.7pt;height:8.3pt;width:8.2pt;z-index:251856896;mso-width-relative:page;mso-height-relative:page;" fillcolor="#FFFFFF" filled="t" stroked="t" coordsize="21600,21600" o:gfxdata="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dai&#10;KdgAAAALAQAADwAAAAAAAAABACAAAAAiAAAAZHJzL2Rvd25yZXYueG1sUEsBAhQAFAAAAAgAh07i&#10;QH8C0nQiAgAAPAQAAA4AAAAAAAAAAQAgAAAAJwEAAGRycy9lMm9Eb2MueG1sUEsFBgAAAAAGAAYA&#10;WQEAALsFAAAAAA==&#10;">
                <v:fill on="t" focussize="0,0"/>
                <v:stroke color="#000000" joinstyle="round"/>
                <v:imagedata o:title=""/>
                <o:lock v:ext="edit" aspectratio="f"/>
              </v:shape>
            </w:pict>
          </mc:Fallback>
        </mc:AlternateContent>
      </w:r>
      <w:r>
        <w:rPr>
          <w:sz w:val="24"/>
        </w:rPr>
        <mc:AlternateContent>
          <mc:Choice Requires="wps">
            <w:drawing>
              <wp:anchor distT="0" distB="0" distL="114300" distR="114300" simplePos="0" relativeHeight="251774976" behindDoc="1" locked="0" layoutInCell="1" allowOverlap="1">
                <wp:simplePos x="0" y="0"/>
                <wp:positionH relativeFrom="column">
                  <wp:posOffset>4179570</wp:posOffset>
                </wp:positionH>
                <wp:positionV relativeFrom="paragraph">
                  <wp:posOffset>4697095</wp:posOffset>
                </wp:positionV>
                <wp:extent cx="1120775" cy="327025"/>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120775" cy="327025"/>
                        </a:xfrm>
                        <a:prstGeom prst="rect">
                          <a:avLst/>
                        </a:prstGeom>
                        <a:noFill/>
                        <a:ln>
                          <a:noFill/>
                        </a:ln>
                      </wps:spPr>
                      <wps:txbx>
                        <w:txbxContent>
                          <w:p w14:paraId="483DA923">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DA001</w:t>
                            </w:r>
                          </w:p>
                        </w:txbxContent>
                      </wps:txbx>
                      <wps:bodyPr upright="1"/>
                    </wps:wsp>
                  </a:graphicData>
                </a:graphic>
              </wp:anchor>
            </w:drawing>
          </mc:Choice>
          <mc:Fallback>
            <w:pict>
              <v:shape id="_x0000_s1026" o:spid="_x0000_s1026" o:spt="202" type="#_x0000_t202" style="position:absolute;left:0pt;margin-left:329.1pt;margin-top:369.85pt;height:25.75pt;width:88.25pt;z-index:-251541504;mso-width-relative:page;mso-height-relative:page;" filled="f" stroked="f" coordsize="21600,21600" o:gfxdata="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LT3/OLY&#10;AAAACwEAAA8AAAAAAAAAAQAgAAAAIgAAAGRycy9kb3ducmV2LnhtbFBLAQIUABQAAAAIAIdO4kDl&#10;3QILrgEAAFIDAAAOAAAAAAAAAAEAIAAAACcBAABkcnMvZTJvRG9jLnhtbFBLBQYAAAAABgAGAFkB&#10;AABHBQAAAAA=&#10;">
                <v:fill on="f" focussize="0,0"/>
                <v:stroke on="f"/>
                <v:imagedata o:title=""/>
                <o:lock v:ext="edit" aspectratio="f"/>
                <v:textbox>
                  <w:txbxContent>
                    <w:p w14:paraId="483DA923">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DA001</w:t>
                      </w:r>
                    </w:p>
                  </w:txbxContent>
                </v:textbox>
              </v:shape>
            </w:pict>
          </mc:Fallback>
        </mc:AlternateContent>
      </w:r>
      <w:r>
        <w:rPr>
          <w:sz w:val="21"/>
        </w:rPr>
        <mc:AlternateContent>
          <mc:Choice Requires="wps">
            <w:drawing>
              <wp:anchor distT="0" distB="0" distL="114300" distR="114300" simplePos="0" relativeHeight="251838464" behindDoc="0" locked="0" layoutInCell="1" allowOverlap="1">
                <wp:simplePos x="0" y="0"/>
                <wp:positionH relativeFrom="column">
                  <wp:posOffset>4374515</wp:posOffset>
                </wp:positionH>
                <wp:positionV relativeFrom="paragraph">
                  <wp:posOffset>4625340</wp:posOffset>
                </wp:positionV>
                <wp:extent cx="107315" cy="100965"/>
                <wp:effectExtent l="4445" t="4445" r="21590" b="8890"/>
                <wp:wrapNone/>
                <wp:docPr id="111" name="椭圆 111"/>
                <wp:cNvGraphicFramePr/>
                <a:graphic xmlns:a="http://schemas.openxmlformats.org/drawingml/2006/main">
                  <a:graphicData uri="http://schemas.microsoft.com/office/word/2010/wordprocessingShape">
                    <wps:wsp>
                      <wps:cNvSpPr/>
                      <wps:spPr>
                        <a:xfrm>
                          <a:off x="0" y="0"/>
                          <a:ext cx="107315" cy="100965"/>
                        </a:xfrm>
                        <a:prstGeom prst="ellipse">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344.45pt;margin-top:364.2pt;height:7.95pt;width:8.45pt;z-index:251838464;mso-width-relative:page;mso-height-relative:page;" fillcolor="#FFFFFF" filled="t" stroked="t" coordsize="21600,21600" o:gfxdata="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3NVkvaAAAACwEAAA8AAAAAAAAAAQAgAAAAIgAAAGRycy9kb3ducmV2Lnht&#10;bFBLAQIUABQAAAAIAIdO4kBQB8fw9wEAABoEAAAOAAAAAAAAAAEAIAAAACkBAABkcnMvZTJvRG9j&#10;LnhtbFBLBQYAAAAABgAGAFkBAACSBQAAAAA=&#10;">
                <v:fill on="t" focussize="0,0"/>
                <v:stroke color="#000000" joinstyle="round"/>
                <v:imagedata o:title=""/>
                <o:lock v:ext="edit" aspectratio="f"/>
              </v:shape>
            </w:pict>
          </mc:Fallback>
        </mc:AlternateContent>
      </w:r>
    </w:p>
    <w:p w14:paraId="67BEA749">
      <w:pPr>
        <w:keepNext w:val="0"/>
        <w:keepLines w:val="0"/>
        <w:widowControl/>
        <w:suppressLineNumbers w:val="0"/>
        <w:jc w:val="center"/>
      </w:pPr>
      <w:r>
        <w:drawing>
          <wp:anchor distT="0" distB="0" distL="114300" distR="114300" simplePos="0" relativeHeight="251834368" behindDoc="0" locked="0" layoutInCell="1" allowOverlap="1">
            <wp:simplePos x="0" y="0"/>
            <wp:positionH relativeFrom="column">
              <wp:posOffset>7723505</wp:posOffset>
            </wp:positionH>
            <wp:positionV relativeFrom="paragraph">
              <wp:posOffset>176530</wp:posOffset>
            </wp:positionV>
            <wp:extent cx="923925" cy="838200"/>
            <wp:effectExtent l="0" t="0" r="9525" b="0"/>
            <wp:wrapNone/>
            <wp:docPr id="11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67"/>
                    <pic:cNvPicPr>
                      <a:picLocks noChangeAspect="1"/>
                    </pic:cNvPicPr>
                  </pic:nvPicPr>
                  <pic:blipFill>
                    <a:blip r:embed="rId54"/>
                    <a:stretch>
                      <a:fillRect/>
                    </a:stretch>
                  </pic:blipFill>
                  <pic:spPr>
                    <a:xfrm>
                      <a:off x="0" y="0"/>
                      <a:ext cx="923925" cy="838200"/>
                    </a:xfrm>
                    <a:prstGeom prst="rect">
                      <a:avLst/>
                    </a:prstGeom>
                    <a:noFill/>
                    <a:ln>
                      <a:noFill/>
                    </a:ln>
                  </pic:spPr>
                </pic:pic>
              </a:graphicData>
            </a:graphic>
          </wp:anchor>
        </w:drawing>
      </w:r>
    </w:p>
    <w:p w14:paraId="3515C19F">
      <w:pPr>
        <w:keepNext w:val="0"/>
        <w:keepLines w:val="0"/>
        <w:widowControl/>
        <w:suppressLineNumbers w:val="0"/>
        <w:jc w:val="center"/>
      </w:pPr>
    </w:p>
    <w:p w14:paraId="055788F7">
      <w:pPr>
        <w:keepNext w:val="0"/>
        <w:keepLines w:val="0"/>
        <w:widowControl/>
        <w:suppressLineNumbers w:val="0"/>
        <w:jc w:val="center"/>
        <w:rPr>
          <w:rFonts w:hint="default"/>
          <w:lang w:val="en-US" w:eastAsia="zh-CN"/>
        </w:rPr>
      </w:pPr>
      <w:r>
        <w:rPr>
          <w:sz w:val="21"/>
        </w:rPr>
        <mc:AlternateContent>
          <mc:Choice Requires="wps">
            <w:drawing>
              <wp:anchor distT="0" distB="0" distL="114300" distR="114300" simplePos="0" relativeHeight="251826176" behindDoc="0" locked="0" layoutInCell="1" allowOverlap="1">
                <wp:simplePos x="0" y="0"/>
                <wp:positionH relativeFrom="column">
                  <wp:posOffset>1294130</wp:posOffset>
                </wp:positionH>
                <wp:positionV relativeFrom="paragraph">
                  <wp:posOffset>664210</wp:posOffset>
                </wp:positionV>
                <wp:extent cx="1263650" cy="196850"/>
                <wp:effectExtent l="4445" t="4445" r="8255" b="8255"/>
                <wp:wrapNone/>
                <wp:docPr id="117" name="矩形 117"/>
                <wp:cNvGraphicFramePr/>
                <a:graphic xmlns:a="http://schemas.openxmlformats.org/drawingml/2006/main">
                  <a:graphicData uri="http://schemas.microsoft.com/office/word/2010/wordprocessingShape">
                    <wps:wsp>
                      <wps:cNvSpPr/>
                      <wps:spPr>
                        <a:xfrm>
                          <a:off x="0" y="0"/>
                          <a:ext cx="1263650" cy="19685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01.9pt;margin-top:52.3pt;height:15.5pt;width:99.5pt;z-index:251826176;mso-width-relative:page;mso-height-relative:page;" filled="f" stroked="t" coordsize="21600,21600" o:gfxdata="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V1wAAAAsBAAAPAAAAAAAAAAEAIAAAACIAAABkcnMvZG93bnJldi54bWxQ&#10;SwECFAAUAAAACACHTuJAvn55cfgBAAD5AwAADgAAAAAAAAABACAAAAAmAQAAZHJzL2Uyb0RvYy54&#10;bWxQSwUGAAAAAAYABgBZAQAAkAUAAAAA&#10;">
                <v:fill on="f"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825152" behindDoc="0" locked="0" layoutInCell="1" allowOverlap="1">
                <wp:simplePos x="0" y="0"/>
                <wp:positionH relativeFrom="column">
                  <wp:posOffset>976630</wp:posOffset>
                </wp:positionH>
                <wp:positionV relativeFrom="paragraph">
                  <wp:posOffset>1654810</wp:posOffset>
                </wp:positionV>
                <wp:extent cx="647700" cy="1308100"/>
                <wp:effectExtent l="4445" t="4445" r="14605" b="20955"/>
                <wp:wrapNone/>
                <wp:docPr id="161" name="矩形 161"/>
                <wp:cNvGraphicFramePr/>
                <a:graphic xmlns:a="http://schemas.openxmlformats.org/drawingml/2006/main">
                  <a:graphicData uri="http://schemas.microsoft.com/office/word/2010/wordprocessingShape">
                    <wps:wsp>
                      <wps:cNvSpPr/>
                      <wps:spPr>
                        <a:xfrm>
                          <a:off x="0" y="0"/>
                          <a:ext cx="647700" cy="130810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76.9pt;margin-top:130.3pt;height:103pt;width:51pt;z-index:251825152;mso-width-relative:page;mso-height-relative:page;" filled="f" stroked="t" coordsize="21600,21600" o:gfxdata="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OjJNp1wAAAAsBAAAPAAAAAAAAAAEAIAAAACIAAABkcnMvZG93bnJldi54bWxQ&#10;SwECFAAUAAAACACHTuJAhoF/wPgBAAD5AwAADgAAAAAAAAABACAAAAAmAQAAZHJzL2Uyb0RvYy54&#10;bWxQSwUGAAAAAAYABgBZAQAAkAUAAAAA&#10;">
                <v:fill on="f"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824128" behindDoc="0" locked="0" layoutInCell="1" allowOverlap="1">
                <wp:simplePos x="0" y="0"/>
                <wp:positionH relativeFrom="column">
                  <wp:posOffset>5688330</wp:posOffset>
                </wp:positionH>
                <wp:positionV relativeFrom="paragraph">
                  <wp:posOffset>2651760</wp:posOffset>
                </wp:positionV>
                <wp:extent cx="336550" cy="438150"/>
                <wp:effectExtent l="4445" t="4445" r="20955" b="14605"/>
                <wp:wrapNone/>
                <wp:docPr id="151" name="矩形 151"/>
                <wp:cNvGraphicFramePr/>
                <a:graphic xmlns:a="http://schemas.openxmlformats.org/drawingml/2006/main">
                  <a:graphicData uri="http://schemas.microsoft.com/office/word/2010/wordprocessingShape">
                    <wps:wsp>
                      <wps:cNvSpPr/>
                      <wps:spPr>
                        <a:xfrm>
                          <a:off x="0" y="0"/>
                          <a:ext cx="336550" cy="43815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447.9pt;margin-top:208.8pt;height:34.5pt;width:26.5pt;z-index:251824128;mso-width-relative:page;mso-height-relative:page;" filled="f" stroked="t" coordsize="21600,21600" o:gfxdata="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7ZpBL2AAAAAsBAAAPAAAAAAAAAAEAIAAAACIAAABkcnMvZG93bnJldi54bWxQ&#10;SwECFAAUAAAACACHTuJAP2yI0/cBAAD4AwAADgAAAAAAAAABACAAAAAnAQAAZHJzL2Uyb0RvYy54&#10;bWxQSwUGAAAAAAYABgBZAQAAkAUAAAAA&#10;">
                <v:fill on="f"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823104" behindDoc="0" locked="0" layoutInCell="1" allowOverlap="1">
                <wp:simplePos x="0" y="0"/>
                <wp:positionH relativeFrom="column">
                  <wp:posOffset>6024880</wp:posOffset>
                </wp:positionH>
                <wp:positionV relativeFrom="paragraph">
                  <wp:posOffset>2658110</wp:posOffset>
                </wp:positionV>
                <wp:extent cx="1574800" cy="438150"/>
                <wp:effectExtent l="4445" t="4445" r="20955" b="14605"/>
                <wp:wrapNone/>
                <wp:docPr id="152" name="矩形 152"/>
                <wp:cNvGraphicFramePr/>
                <a:graphic xmlns:a="http://schemas.openxmlformats.org/drawingml/2006/main">
                  <a:graphicData uri="http://schemas.microsoft.com/office/word/2010/wordprocessingShape">
                    <wps:wsp>
                      <wps:cNvSpPr/>
                      <wps:spPr>
                        <a:xfrm>
                          <a:off x="0" y="0"/>
                          <a:ext cx="1574800" cy="43815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474.4pt;margin-top:209.3pt;height:34.5pt;width:124pt;z-index:251823104;mso-width-relative:page;mso-height-relative:page;" filled="f" stroked="t" coordsize="21600,21600" o:gfxdata="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rBs9tkAAAAMAQAADwAAAAAAAAABACAAAAAiAAAAZHJzL2Rvd25yZXYu&#10;eG1sUEsBAhQAFAAAAAgAh07iQLGYMpP6AQAA+QMAAA4AAAAAAAAAAQAgAAAAKAEAAGRycy9lMm9E&#10;b2MueG1sUEsFBgAAAAAGAAYAWQEAAJQFAAAAAA==&#10;">
                <v:fill on="f"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822080" behindDoc="0" locked="0" layoutInCell="1" allowOverlap="1">
                <wp:simplePos x="0" y="0"/>
                <wp:positionH relativeFrom="column">
                  <wp:posOffset>5332730</wp:posOffset>
                </wp:positionH>
                <wp:positionV relativeFrom="paragraph">
                  <wp:posOffset>1711960</wp:posOffset>
                </wp:positionV>
                <wp:extent cx="241300" cy="1225550"/>
                <wp:effectExtent l="4445" t="4445" r="20955" b="8255"/>
                <wp:wrapNone/>
                <wp:docPr id="166" name="矩形 166"/>
                <wp:cNvGraphicFramePr/>
                <a:graphic xmlns:a="http://schemas.openxmlformats.org/drawingml/2006/main">
                  <a:graphicData uri="http://schemas.microsoft.com/office/word/2010/wordprocessingShape">
                    <wps:wsp>
                      <wps:cNvSpPr/>
                      <wps:spPr>
                        <a:xfrm>
                          <a:off x="0" y="0"/>
                          <a:ext cx="241300" cy="122555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419.9pt;margin-top:134.8pt;height:96.5pt;width:19pt;z-index:251822080;mso-width-relative:page;mso-height-relative:page;" filled="f" stroked="t" coordsize="21600,21600" o:gfxdata="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06mpF2QAAAAsBAAAPAAAAAAAAAAEAIAAAACIAAABkcnMvZG93bnJldi54&#10;bWxQSwECFAAUAAAACACHTuJA/B4erPkBAAD5AwAADgAAAAAAAAABACAAAAAoAQAAZHJzL2Uyb0Rv&#10;Yy54bWxQSwUGAAAAAAYABgBZAQAAkwUAAAAA&#10;">
                <v:fill on="f"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821056" behindDoc="0" locked="0" layoutInCell="1" allowOverlap="1">
                <wp:simplePos x="0" y="0"/>
                <wp:positionH relativeFrom="column">
                  <wp:posOffset>3319780</wp:posOffset>
                </wp:positionH>
                <wp:positionV relativeFrom="paragraph">
                  <wp:posOffset>1965960</wp:posOffset>
                </wp:positionV>
                <wp:extent cx="577850" cy="463550"/>
                <wp:effectExtent l="4445" t="4445" r="8255" b="8255"/>
                <wp:wrapNone/>
                <wp:docPr id="167" name="矩形 167"/>
                <wp:cNvGraphicFramePr/>
                <a:graphic xmlns:a="http://schemas.openxmlformats.org/drawingml/2006/main">
                  <a:graphicData uri="http://schemas.microsoft.com/office/word/2010/wordprocessingShape">
                    <wps:wsp>
                      <wps:cNvSpPr/>
                      <wps:spPr>
                        <a:xfrm>
                          <a:off x="0" y="0"/>
                          <a:ext cx="577850" cy="46355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61.4pt;margin-top:154.8pt;height:36.5pt;width:45.5pt;z-index:251821056;mso-width-relative:page;mso-height-relative:page;" filled="f" stroked="t" coordsize="21600,21600" o:gfxdata="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gO2Cq2AAAAAsBAAAPAAAAAAAAAAEAIAAAACIAAABkcnMvZG93bnJldi54bWxQ&#10;SwECFAAUAAAACACHTuJAUQdGcfcBAAD4AwAADgAAAAAAAAABACAAAAAnAQAAZHJzL2Uyb0RvYy54&#10;bWxQSwUGAAAAAAYABgBZAQAAkAUAAAAA&#10;">
                <v:fill on="f"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820032" behindDoc="0" locked="0" layoutInCell="1" allowOverlap="1">
                <wp:simplePos x="0" y="0"/>
                <wp:positionH relativeFrom="column">
                  <wp:posOffset>3313430</wp:posOffset>
                </wp:positionH>
                <wp:positionV relativeFrom="paragraph">
                  <wp:posOffset>2512060</wp:posOffset>
                </wp:positionV>
                <wp:extent cx="1066800" cy="419100"/>
                <wp:effectExtent l="5080" t="5080" r="13970" b="13970"/>
                <wp:wrapNone/>
                <wp:docPr id="155" name="矩形 155"/>
                <wp:cNvGraphicFramePr/>
                <a:graphic xmlns:a="http://schemas.openxmlformats.org/drawingml/2006/main">
                  <a:graphicData uri="http://schemas.microsoft.com/office/word/2010/wordprocessingShape">
                    <wps:wsp>
                      <wps:cNvSpPr/>
                      <wps:spPr>
                        <a:xfrm>
                          <a:off x="0" y="0"/>
                          <a:ext cx="1066800" cy="41910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60.9pt;margin-top:197.8pt;height:33pt;width:84pt;z-index:251820032;mso-width-relative:page;mso-height-relative:page;" filled="f" stroked="t" coordsize="21600,21600" o:gfxdata="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YgS39kAAAALAQAADwAAAAAAAAABACAAAAAiAAAAZHJzL2Rvd25yZXYueG1s&#10;UEsBAhQAFAAAAAgAh07iQK7iIfT3AQAA+QMAAA4AAAAAAAAAAQAgAAAAKAEAAGRycy9lMm9Eb2Mu&#10;eG1sUEsFBgAAAAAGAAYAWQEAAJEFAAAAAA==&#10;">
                <v:fill on="f"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817984" behindDoc="0" locked="0" layoutInCell="1" allowOverlap="1">
                <wp:simplePos x="0" y="0"/>
                <wp:positionH relativeFrom="column">
                  <wp:posOffset>3161030</wp:posOffset>
                </wp:positionH>
                <wp:positionV relativeFrom="paragraph">
                  <wp:posOffset>1629410</wp:posOffset>
                </wp:positionV>
                <wp:extent cx="120650" cy="1314450"/>
                <wp:effectExtent l="4445" t="4445" r="8255" b="14605"/>
                <wp:wrapNone/>
                <wp:docPr id="145" name="矩形 145"/>
                <wp:cNvGraphicFramePr/>
                <a:graphic xmlns:a="http://schemas.openxmlformats.org/drawingml/2006/main">
                  <a:graphicData uri="http://schemas.microsoft.com/office/word/2010/wordprocessingShape">
                    <wps:wsp>
                      <wps:cNvSpPr/>
                      <wps:spPr>
                        <a:xfrm>
                          <a:off x="0" y="0"/>
                          <a:ext cx="120650" cy="131445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48.9pt;margin-top:128.3pt;height:103.5pt;width:9.5pt;z-index:251817984;mso-width-relative:page;mso-height-relative:page;" filled="f" stroked="t" coordsize="21600,21600" o:gfxdata="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HXGkX2AAAAAsBAAAPAAAAAAAAAAEAIAAAACIAAABkcnMvZG93bnJldi54bWxQ&#10;SwECFAAUAAAACACHTuJAtGUie/cBAAD5AwAADgAAAAAAAAABACAAAAAnAQAAZHJzL2Uyb0RvYy54&#10;bWxQSwUGAAAAAAYABgBZAQAAkAUAAAAA&#10;">
                <v:fill on="f"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814912" behindDoc="0" locked="0" layoutInCell="1" allowOverlap="1">
                <wp:simplePos x="0" y="0"/>
                <wp:positionH relativeFrom="column">
                  <wp:posOffset>2627630</wp:posOffset>
                </wp:positionH>
                <wp:positionV relativeFrom="paragraph">
                  <wp:posOffset>1635760</wp:posOffset>
                </wp:positionV>
                <wp:extent cx="482600" cy="1308100"/>
                <wp:effectExtent l="4445" t="4445" r="8255" b="20955"/>
                <wp:wrapNone/>
                <wp:docPr id="156" name="矩形 156"/>
                <wp:cNvGraphicFramePr/>
                <a:graphic xmlns:a="http://schemas.openxmlformats.org/drawingml/2006/main">
                  <a:graphicData uri="http://schemas.microsoft.com/office/word/2010/wordprocessingShape">
                    <wps:wsp>
                      <wps:cNvSpPr/>
                      <wps:spPr>
                        <a:xfrm>
                          <a:off x="0" y="0"/>
                          <a:ext cx="482600" cy="130810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06.9pt;margin-top:128.8pt;height:103pt;width:38pt;z-index:251814912;mso-width-relative:page;mso-height-relative:page;" filled="f" stroked="t" coordsize="21600,21600" o:gfxdata="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WM8GE2gAAAAsBAAAPAAAAAAAAAAEAIAAAACIAAABkcnMvZG93bnJldi54&#10;bWxQSwECFAAUAAAACACHTuJARYgiD/gBAAD5AwAADgAAAAAAAAABACAAAAApAQAAZHJzL2Uyb0Rv&#10;Yy54bWxQSwUGAAAAAAYABgBZAQAAkwUAAAAA&#10;">
                <v:fill on="f"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813888" behindDoc="0" locked="0" layoutInCell="1" allowOverlap="1">
                <wp:simplePos x="0" y="0"/>
                <wp:positionH relativeFrom="column">
                  <wp:posOffset>4519930</wp:posOffset>
                </wp:positionH>
                <wp:positionV relativeFrom="paragraph">
                  <wp:posOffset>1673860</wp:posOffset>
                </wp:positionV>
                <wp:extent cx="767715" cy="1320800"/>
                <wp:effectExtent l="4445" t="5080" r="8890" b="7620"/>
                <wp:wrapNone/>
                <wp:docPr id="157" name="矩形 157"/>
                <wp:cNvGraphicFramePr/>
                <a:graphic xmlns:a="http://schemas.openxmlformats.org/drawingml/2006/main">
                  <a:graphicData uri="http://schemas.microsoft.com/office/word/2010/wordprocessingShape">
                    <wps:wsp>
                      <wps:cNvSpPr/>
                      <wps:spPr>
                        <a:xfrm>
                          <a:off x="0" y="0"/>
                          <a:ext cx="767715" cy="132080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55.9pt;margin-top:131.8pt;height:104pt;width:60.45pt;z-index:251813888;mso-width-relative:page;mso-height-relative:page;" filled="f" stroked="t" coordsize="21600,21600" o:gfxdata="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6i2Q89oAAAALAQAADwAAAAAAAAABACAAAAAiAAAAZHJzL2Rvd25yZXYu&#10;eG1sUEsBAhQAFAAAAAgAh07iQLNOc7v5AQAA+QMAAA4AAAAAAAAAAQAgAAAAKQEAAGRycy9lMm9E&#10;b2MueG1sUEsFBgAAAAAGAAYAWQEAAJQFAAAAAA==&#10;">
                <v:fill on="f"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812864" behindDoc="0" locked="0" layoutInCell="1" allowOverlap="1">
                <wp:simplePos x="0" y="0"/>
                <wp:positionH relativeFrom="column">
                  <wp:posOffset>2094230</wp:posOffset>
                </wp:positionH>
                <wp:positionV relativeFrom="paragraph">
                  <wp:posOffset>1623060</wp:posOffset>
                </wp:positionV>
                <wp:extent cx="514350" cy="1320800"/>
                <wp:effectExtent l="0" t="0" r="0" b="0"/>
                <wp:wrapNone/>
                <wp:docPr id="162" name="矩形 162"/>
                <wp:cNvGraphicFramePr/>
                <a:graphic xmlns:a="http://schemas.openxmlformats.org/drawingml/2006/main">
                  <a:graphicData uri="http://schemas.microsoft.com/office/word/2010/wordprocessingShape">
                    <wps:wsp>
                      <wps:cNvSpPr/>
                      <wps:spPr>
                        <a:xfrm>
                          <a:off x="0" y="0"/>
                          <a:ext cx="514350" cy="1320800"/>
                        </a:xfrm>
                        <a:prstGeom prst="rect">
                          <a:avLst/>
                        </a:prstGeom>
                        <a:noFill/>
                        <a:ln>
                          <a:noFill/>
                        </a:ln>
                      </wps:spPr>
                      <wps:bodyPr upright="1"/>
                    </wps:wsp>
                  </a:graphicData>
                </a:graphic>
              </wp:anchor>
            </w:drawing>
          </mc:Choice>
          <mc:Fallback>
            <w:pict>
              <v:rect id="_x0000_s1026" o:spid="_x0000_s1026" o:spt="1" style="position:absolute;left:0pt;margin-left:164.9pt;margin-top:127.8pt;height:104pt;width:40.5pt;z-index:251812864;mso-width-relative:page;mso-height-relative:page;" filled="f" stroked="f" coordsize="21600,21600" o:gfxdata="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B3Z/ju3AAAAAsBAAAPAAAA&#10;AAAAAAEAIAAAACIAAABkcnMvZG93bnJldi54bWxQSwECFAAUAAAACACHTuJAafKDh58BAAA6AwAA&#10;DgAAAAAAAAABACAAAAArAQAAZHJzL2Uyb0RvYy54bWxQSwUGAAAAAAYABgBZAQAAPAUAAAAA&#10;">
                <v:fill on="f" focussize="0,0"/>
                <v:stroke on="f"/>
                <v:imagedata o:title=""/>
                <o:lock v:ext="edit" aspectratio="f"/>
              </v:rect>
            </w:pict>
          </mc:Fallback>
        </mc:AlternateContent>
      </w:r>
      <w:r>
        <w:rPr>
          <w:sz w:val="21"/>
        </w:rPr>
        <mc:AlternateContent>
          <mc:Choice Requires="wps">
            <w:drawing>
              <wp:anchor distT="0" distB="0" distL="114300" distR="114300" simplePos="0" relativeHeight="251811840" behindDoc="0" locked="0" layoutInCell="1" allowOverlap="1">
                <wp:simplePos x="0" y="0"/>
                <wp:positionH relativeFrom="column">
                  <wp:posOffset>811530</wp:posOffset>
                </wp:positionH>
                <wp:positionV relativeFrom="paragraph">
                  <wp:posOffset>861060</wp:posOffset>
                </wp:positionV>
                <wp:extent cx="7524750" cy="2311400"/>
                <wp:effectExtent l="4445" t="4445" r="14605" b="8255"/>
                <wp:wrapNone/>
                <wp:docPr id="158" name="任意多边形 158"/>
                <wp:cNvGraphicFramePr/>
                <a:graphic xmlns:a="http://schemas.openxmlformats.org/drawingml/2006/main">
                  <a:graphicData uri="http://schemas.microsoft.com/office/word/2010/wordprocessingShape">
                    <wps:wsp>
                      <wps:cNvSpPr/>
                      <wps:spPr>
                        <a:xfrm>
                          <a:off x="0" y="0"/>
                          <a:ext cx="7524750" cy="2311400"/>
                        </a:xfrm>
                        <a:custGeom>
                          <a:avLst/>
                          <a:gdLst/>
                          <a:ahLst/>
                          <a:cxnLst/>
                          <a:pathLst>
                            <a:path w="11850" h="3640">
                              <a:moveTo>
                                <a:pt x="0" y="0"/>
                              </a:moveTo>
                              <a:lnTo>
                                <a:pt x="10" y="3640"/>
                              </a:lnTo>
                              <a:lnTo>
                                <a:pt x="11850" y="3620"/>
                              </a:lnTo>
                              <a:lnTo>
                                <a:pt x="11810" y="1170"/>
                              </a:lnTo>
                              <a:lnTo>
                                <a:pt x="7950" y="1180"/>
                              </a:lnTo>
                              <a:lnTo>
                                <a:pt x="7950" y="0"/>
                              </a:lnTo>
                              <a:lnTo>
                                <a:pt x="0" y="0"/>
                              </a:lnTo>
                              <a:close/>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3.9pt;margin-top:67.8pt;height:182pt;width:592.5pt;z-index:251811840;mso-width-relative:page;mso-height-relative:page;" filled="f" stroked="t" coordsize="11850,3640" o:gfxdata="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qHPZ/bAAAADAEAAA8AAAAAAAAAAQAgAAAAIgAAAGRycy9kb3ducmV2&#10;LnhtbFBLAQIUABQAAAAIAIdO4kAFkp63awIAAGwFAAAOAAAAAAAAAAEAIAAAACoBAABkcnMvZTJv&#10;RG9jLnhtbFBLBQYAAAAABgAGAFkBAAAHBgAAAAA=&#10;" path="m0,0l10,3640,11850,3620,11810,1170,7950,1180,7950,0,0,0xe">
                <v:fill on="f" focussize="0,0"/>
                <v:stroke color="#000000" joinstyle="round"/>
                <v:imagedata o:title=""/>
                <o:lock v:ext="edit" aspectratio="f"/>
              </v:shape>
            </w:pict>
          </mc:Fallback>
        </mc:AlternateContent>
      </w:r>
    </w:p>
    <w:p w14:paraId="59D18457">
      <w:pPr>
        <w:keepNext w:val="0"/>
        <w:keepLines w:val="0"/>
        <w:widowControl/>
        <w:suppressLineNumbers w:val="0"/>
        <w:jc w:val="center"/>
        <w:rPr>
          <w:rFonts w:hint="default"/>
          <w:lang w:val="en-US" w:eastAsia="zh-CN"/>
        </w:rPr>
      </w:pPr>
    </w:p>
    <w:p w14:paraId="3DB9B4E6">
      <w:pPr>
        <w:keepNext w:val="0"/>
        <w:keepLines w:val="0"/>
        <w:widowControl/>
        <w:suppressLineNumbers w:val="0"/>
        <w:jc w:val="center"/>
        <w:rPr>
          <w:rFonts w:hint="default"/>
          <w:lang w:val="en-US" w:eastAsia="zh-CN"/>
        </w:rPr>
      </w:pPr>
      <w:r>
        <w:rPr>
          <w:sz w:val="21"/>
        </w:rPr>
        <mc:AlternateContent>
          <mc:Choice Requires="wps">
            <w:drawing>
              <wp:anchor distT="0" distB="0" distL="114300" distR="114300" simplePos="0" relativeHeight="251766784" behindDoc="1" locked="0" layoutInCell="1" allowOverlap="1">
                <wp:simplePos x="0" y="0"/>
                <wp:positionH relativeFrom="column">
                  <wp:posOffset>2753995</wp:posOffset>
                </wp:positionH>
                <wp:positionV relativeFrom="paragraph">
                  <wp:posOffset>201930</wp:posOffset>
                </wp:positionV>
                <wp:extent cx="978535" cy="714375"/>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978535" cy="714375"/>
                        </a:xfrm>
                        <a:prstGeom prst="rect">
                          <a:avLst/>
                        </a:prstGeom>
                        <a:noFill/>
                        <a:ln>
                          <a:noFill/>
                        </a:ln>
                      </wps:spPr>
                      <wps:txbx>
                        <w:txbxContent>
                          <w:p w14:paraId="4143D357">
                            <w:pPr>
                              <w:rPr>
                                <w:rFonts w:hint="default" w:eastAsia="宋体"/>
                                <w:lang w:val="en-US" w:eastAsia="zh-CN"/>
                              </w:rPr>
                            </w:pPr>
                            <w:r>
                              <w:rPr>
                                <w:rFonts w:hint="eastAsia" w:eastAsia="宋体"/>
                                <w:lang w:val="en-US" w:eastAsia="zh-CN"/>
                              </w:rPr>
                              <w:t>危废间</w:t>
                            </w:r>
                          </w:p>
                        </w:txbxContent>
                      </wps:txbx>
                      <wps:bodyPr upright="1"/>
                    </wps:wsp>
                  </a:graphicData>
                </a:graphic>
              </wp:anchor>
            </w:drawing>
          </mc:Choice>
          <mc:Fallback>
            <w:pict>
              <v:shape id="_x0000_s1026" o:spid="_x0000_s1026" o:spt="202" type="#_x0000_t202" style="position:absolute;left:0pt;margin-left:216.85pt;margin-top:15.9pt;height:56.25pt;width:77.05pt;z-index:-251549696;mso-width-relative:page;mso-height-relative:page;" filled="f" stroked="f" coordsize="21600,21600" o:gfxdata="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DA2L8/X&#10;AAAACgEAAA8AAAAAAAAAAQAgAAAAIgAAAGRycy9kb3ducmV2LnhtbFBLAQIUABQAAAAIAIdO4kAs&#10;bZvCrwEAAFEDAAAOAAAAAAAAAAEAIAAAACYBAABkcnMvZTJvRG9jLnhtbFBLBQYAAAAABgAGAFkB&#10;AABHBQAAAAA=&#10;">
                <v:fill on="f" focussize="0,0"/>
                <v:stroke on="f"/>
                <v:imagedata o:title=""/>
                <o:lock v:ext="edit" aspectratio="f"/>
                <v:textbox>
                  <w:txbxContent>
                    <w:p w14:paraId="4143D357">
                      <w:pPr>
                        <w:rPr>
                          <w:rFonts w:hint="default" w:eastAsia="宋体"/>
                          <w:lang w:val="en-US" w:eastAsia="zh-CN"/>
                        </w:rPr>
                      </w:pPr>
                      <w:r>
                        <w:rPr>
                          <w:rFonts w:hint="eastAsia" w:eastAsia="宋体"/>
                          <w:lang w:val="en-US" w:eastAsia="zh-CN"/>
                        </w:rPr>
                        <w:t>危废间</w:t>
                      </w:r>
                    </w:p>
                  </w:txbxContent>
                </v:textbox>
              </v:shape>
            </w:pict>
          </mc:Fallback>
        </mc:AlternateContent>
      </w:r>
      <w:r>
        <w:rPr>
          <w:sz w:val="21"/>
        </w:rPr>
        <mc:AlternateContent>
          <mc:Choice Requires="wps">
            <w:drawing>
              <wp:anchor distT="0" distB="0" distL="114300" distR="114300" simplePos="0" relativeHeight="251760640" behindDoc="1" locked="0" layoutInCell="1" allowOverlap="1">
                <wp:simplePos x="0" y="0"/>
                <wp:positionH relativeFrom="column">
                  <wp:posOffset>1334135</wp:posOffset>
                </wp:positionH>
                <wp:positionV relativeFrom="paragraph">
                  <wp:posOffset>196215</wp:posOffset>
                </wp:positionV>
                <wp:extent cx="978535" cy="714375"/>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978535" cy="714375"/>
                        </a:xfrm>
                        <a:prstGeom prst="rect">
                          <a:avLst/>
                        </a:prstGeom>
                        <a:noFill/>
                        <a:ln>
                          <a:noFill/>
                        </a:ln>
                      </wps:spPr>
                      <wps:txbx>
                        <w:txbxContent>
                          <w:p w14:paraId="31451D5E">
                            <w:pPr>
                              <w:rPr>
                                <w:rFonts w:hint="default" w:eastAsia="宋体"/>
                                <w:lang w:val="en-US" w:eastAsia="zh-CN"/>
                              </w:rPr>
                            </w:pPr>
                            <w:r>
                              <w:rPr>
                                <w:rFonts w:hint="eastAsia" w:eastAsia="宋体"/>
                                <w:lang w:val="en-US" w:eastAsia="zh-CN"/>
                              </w:rPr>
                              <w:t>一般固废间</w:t>
                            </w:r>
                          </w:p>
                        </w:txbxContent>
                      </wps:txbx>
                      <wps:bodyPr upright="1"/>
                    </wps:wsp>
                  </a:graphicData>
                </a:graphic>
              </wp:anchor>
            </w:drawing>
          </mc:Choice>
          <mc:Fallback>
            <w:pict>
              <v:shape id="_x0000_s1026" o:spid="_x0000_s1026" o:spt="202" type="#_x0000_t202" style="position:absolute;left:0pt;margin-left:105.05pt;margin-top:15.45pt;height:56.25pt;width:77.05pt;z-index:-251555840;mso-width-relative:page;mso-height-relative:page;" filled="f" stroked="f" coordsize="21600,21600" o:gfxdata="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4YMf9dcA&#10;AAAKAQAADwAAAAAAAAABACAAAAAiAAAAZHJzL2Rvd25yZXYueG1sUEsBAhQAFAAAAAgAh07iQC+h&#10;G72uAQAAUQMAAA4AAAAAAAAAAQAgAAAAJgEAAGRycy9lMm9Eb2MueG1sUEsFBgAAAAAGAAYAWQEA&#10;AEYFAAAAAA==&#10;">
                <v:fill on="f" focussize="0,0"/>
                <v:stroke on="f"/>
                <v:imagedata o:title=""/>
                <o:lock v:ext="edit" aspectratio="f"/>
                <v:textbox>
                  <w:txbxContent>
                    <w:p w14:paraId="31451D5E">
                      <w:pPr>
                        <w:rPr>
                          <w:rFonts w:hint="default" w:eastAsia="宋体"/>
                          <w:lang w:val="en-US" w:eastAsia="zh-CN"/>
                        </w:rPr>
                      </w:pPr>
                      <w:r>
                        <w:rPr>
                          <w:rFonts w:hint="eastAsia" w:eastAsia="宋体"/>
                          <w:lang w:val="en-US" w:eastAsia="zh-CN"/>
                        </w:rPr>
                        <w:t>一般固废间</w:t>
                      </w:r>
                    </w:p>
                  </w:txbxContent>
                </v:textbox>
              </v:shape>
            </w:pict>
          </mc:Fallback>
        </mc:AlternateContent>
      </w:r>
    </w:p>
    <w:p w14:paraId="39448D82">
      <w:pPr>
        <w:keepNext w:val="0"/>
        <w:keepLines w:val="0"/>
        <w:widowControl/>
        <w:suppressLineNumbers w:val="0"/>
        <w:jc w:val="center"/>
        <w:rPr>
          <w:rFonts w:hint="default"/>
          <w:lang w:val="en-US" w:eastAsia="zh-CN"/>
        </w:rPr>
      </w:pPr>
      <w:r>
        <w:rPr>
          <w:sz w:val="21"/>
        </w:rPr>
        <mc:AlternateContent>
          <mc:Choice Requires="wps">
            <w:drawing>
              <wp:anchor distT="0" distB="0" distL="114300" distR="114300" simplePos="0" relativeHeight="251827200" behindDoc="0" locked="0" layoutInCell="1" allowOverlap="1">
                <wp:simplePos x="0" y="0"/>
                <wp:positionH relativeFrom="column">
                  <wp:posOffset>2832100</wp:posOffset>
                </wp:positionH>
                <wp:positionV relativeFrom="paragraph">
                  <wp:posOffset>50800</wp:posOffset>
                </wp:positionV>
                <wp:extent cx="431800" cy="194945"/>
                <wp:effectExtent l="4445" t="5080" r="20955" b="9525"/>
                <wp:wrapNone/>
                <wp:docPr id="143" name="矩形 143"/>
                <wp:cNvGraphicFramePr/>
                <a:graphic xmlns:a="http://schemas.openxmlformats.org/drawingml/2006/main">
                  <a:graphicData uri="http://schemas.microsoft.com/office/word/2010/wordprocessingShape">
                    <wps:wsp>
                      <wps:cNvSpPr/>
                      <wps:spPr>
                        <a:xfrm>
                          <a:off x="0" y="0"/>
                          <a:ext cx="431800" cy="194945"/>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23pt;margin-top:4pt;height:15.35pt;width:34pt;z-index:251827200;mso-width-relative:page;mso-height-relative:page;" filled="f" stroked="t" coordsize="21600,21600" o:gfxdata="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e6k/Z1wAAAAgBAAAPAAAAAAAAAAEAIAAAACIAAABkcnMvZG93bnJldi54bWxQ&#10;SwECFAAUAAAACACHTuJAIoh6RPgBAAD4AwAADgAAAAAAAAABACAAAAAmAQAAZHJzL2Uyb0RvYy54&#10;bWxQSwUGAAAAAAYABgBZAQAAkAUAAAAA&#10;">
                <v:fill on="f" focussize="0,0"/>
                <v:stroke color="#000000" joinstyle="miter"/>
                <v:imagedata o:title=""/>
                <o:lock v:ext="edit" aspectratio="f"/>
              </v:rect>
            </w:pict>
          </mc:Fallback>
        </mc:AlternateContent>
      </w:r>
    </w:p>
    <w:p w14:paraId="2CA1D0AE">
      <w:pPr>
        <w:keepNext w:val="0"/>
        <w:keepLines w:val="0"/>
        <w:widowControl/>
        <w:suppressLineNumbers w:val="0"/>
        <w:jc w:val="center"/>
        <w:rPr>
          <w:rFonts w:hint="default"/>
          <w:lang w:val="en-US" w:eastAsia="zh-CN"/>
        </w:rPr>
      </w:pPr>
    </w:p>
    <w:p w14:paraId="74D977CF">
      <w:pPr>
        <w:keepNext w:val="0"/>
        <w:keepLines w:val="0"/>
        <w:widowControl/>
        <w:suppressLineNumbers w:val="0"/>
        <w:jc w:val="center"/>
        <w:rPr>
          <w:rFonts w:hint="default"/>
          <w:lang w:val="en-US" w:eastAsia="zh-CN"/>
        </w:rPr>
      </w:pPr>
    </w:p>
    <w:p w14:paraId="7449C952">
      <w:pPr>
        <w:keepNext w:val="0"/>
        <w:keepLines w:val="0"/>
        <w:widowControl/>
        <w:suppressLineNumbers w:val="0"/>
        <w:jc w:val="center"/>
        <w:rPr>
          <w:rFonts w:hint="default"/>
          <w:lang w:val="en-US" w:eastAsia="zh-CN"/>
        </w:rPr>
      </w:pPr>
    </w:p>
    <w:p w14:paraId="75BA60BF">
      <w:pPr>
        <w:keepNext w:val="0"/>
        <w:keepLines w:val="0"/>
        <w:widowControl/>
        <w:suppressLineNumbers w:val="0"/>
        <w:jc w:val="center"/>
        <w:rPr>
          <w:rFonts w:hint="default"/>
          <w:lang w:val="en-US" w:eastAsia="zh-CN"/>
        </w:rPr>
      </w:pPr>
      <w:r>
        <w:rPr>
          <w:sz w:val="21"/>
        </w:rPr>
        <mc:AlternateContent>
          <mc:Choice Requires="wps">
            <w:drawing>
              <wp:anchor distT="0" distB="0" distL="114300" distR="114300" simplePos="0" relativeHeight="251754496" behindDoc="1" locked="0" layoutInCell="1" allowOverlap="1">
                <wp:simplePos x="0" y="0"/>
                <wp:positionH relativeFrom="column">
                  <wp:posOffset>4001135</wp:posOffset>
                </wp:positionH>
                <wp:positionV relativeFrom="paragraph">
                  <wp:posOffset>174625</wp:posOffset>
                </wp:positionV>
                <wp:extent cx="292735" cy="956945"/>
                <wp:effectExtent l="0" t="0" r="0" b="0"/>
                <wp:wrapNone/>
                <wp:docPr id="153" name="文本框 153"/>
                <wp:cNvGraphicFramePr/>
                <a:graphic xmlns:a="http://schemas.openxmlformats.org/drawingml/2006/main">
                  <a:graphicData uri="http://schemas.microsoft.com/office/word/2010/wordprocessingShape">
                    <wps:wsp>
                      <wps:cNvSpPr txBox="1"/>
                      <wps:spPr>
                        <a:xfrm>
                          <a:off x="0" y="0"/>
                          <a:ext cx="292735" cy="956945"/>
                        </a:xfrm>
                        <a:prstGeom prst="rect">
                          <a:avLst/>
                        </a:prstGeom>
                        <a:noFill/>
                        <a:ln>
                          <a:noFill/>
                        </a:ln>
                      </wps:spPr>
                      <wps:txbx>
                        <w:txbxContent>
                          <w:p w14:paraId="197FA22F">
                            <w:pPr>
                              <w:rPr>
                                <w:rFonts w:hint="default" w:eastAsia="宋体"/>
                                <w:lang w:val="en-US" w:eastAsia="zh-CN"/>
                              </w:rPr>
                            </w:pPr>
                            <w:r>
                              <w:rPr>
                                <w:rFonts w:hint="eastAsia"/>
                                <w:lang w:val="en-US" w:eastAsia="zh-CN"/>
                              </w:rPr>
                              <w:t>封口清洗</w:t>
                            </w:r>
                          </w:p>
                        </w:txbxContent>
                      </wps:txbx>
                      <wps:bodyPr upright="1"/>
                    </wps:wsp>
                  </a:graphicData>
                </a:graphic>
              </wp:anchor>
            </w:drawing>
          </mc:Choice>
          <mc:Fallback>
            <w:pict>
              <v:shape id="_x0000_s1026" o:spid="_x0000_s1026" o:spt="202" type="#_x0000_t202" style="position:absolute;left:0pt;margin-left:315.05pt;margin-top:13.75pt;height:75.35pt;width:23.05pt;z-index:-251561984;mso-width-relative:page;mso-height-relative:page;" filled="f" stroked="f" coordsize="21600,21600" o:gfxdata="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CI6kg&#10;2AAAAAoBAAAPAAAAAAAAAAEAIAAAACIAAABkcnMvZG93bnJldi54bWxQSwECFAAUAAAACACHTuJA&#10;4rPY+a8BAABRAwAADgAAAAAAAAABACAAAAAnAQAAZHJzL2Uyb0RvYy54bWxQSwUGAAAAAAYABgBZ&#10;AQAASAUAAAAA&#10;">
                <v:fill on="f" focussize="0,0"/>
                <v:stroke on="f"/>
                <v:imagedata o:title=""/>
                <o:lock v:ext="edit" aspectratio="f"/>
                <v:textbox>
                  <w:txbxContent>
                    <w:p w14:paraId="197FA22F">
                      <w:pPr>
                        <w:rPr>
                          <w:rFonts w:hint="default" w:eastAsia="宋体"/>
                          <w:lang w:val="en-US" w:eastAsia="zh-CN"/>
                        </w:rPr>
                      </w:pPr>
                      <w:r>
                        <w:rPr>
                          <w:rFonts w:hint="eastAsia"/>
                          <w:lang w:val="en-US" w:eastAsia="zh-CN"/>
                        </w:rPr>
                        <w:t>封口清洗</w:t>
                      </w:r>
                    </w:p>
                  </w:txbxContent>
                </v:textbox>
              </v:shape>
            </w:pict>
          </mc:Fallback>
        </mc:AlternateContent>
      </w:r>
      <w:r>
        <w:rPr>
          <w:sz w:val="21"/>
        </w:rPr>
        <mc:AlternateContent>
          <mc:Choice Requires="wps">
            <w:drawing>
              <wp:anchor distT="0" distB="0" distL="114300" distR="114300" simplePos="0" relativeHeight="251832320" behindDoc="0" locked="0" layoutInCell="1" allowOverlap="1">
                <wp:simplePos x="0" y="0"/>
                <wp:positionH relativeFrom="column">
                  <wp:posOffset>5854065</wp:posOffset>
                </wp:positionH>
                <wp:positionV relativeFrom="paragraph">
                  <wp:posOffset>186055</wp:posOffset>
                </wp:positionV>
                <wp:extent cx="6985" cy="544195"/>
                <wp:effectExtent l="4445" t="0" r="7620" b="8255"/>
                <wp:wrapNone/>
                <wp:docPr id="159" name="直接连接符 159"/>
                <wp:cNvGraphicFramePr/>
                <a:graphic xmlns:a="http://schemas.openxmlformats.org/drawingml/2006/main">
                  <a:graphicData uri="http://schemas.microsoft.com/office/word/2010/wordprocessingShape">
                    <wps:wsp>
                      <wps:cNvSpPr/>
                      <wps:spPr>
                        <a:xfrm>
                          <a:off x="0" y="0"/>
                          <a:ext cx="6985" cy="54419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60.95pt;margin-top:14.65pt;height:42.85pt;width:0.55pt;z-index:251832320;mso-width-relative:page;mso-height-relative:page;" filled="f" stroked="t" coordsize="21600,21600" o:gfxdata="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e7jLXAAAACgEAAA8AAAAAAAAAAQAgAAAAIgAAAGRycy9kb3ducmV2LnhtbFBL&#10;AQIUABQAAAAIAIdO4kAOR3tl9wEAAOoDAAAOAAAAAAAAAAEAIAAAACYBAABkcnMvZTJvRG9jLnht&#10;bFBLBQYAAAAABgAGAFkBAACPBQAAAAA=&#10;">
                <v:fill on="f" focussize="0,0"/>
                <v:stroke color="#000000" joinstyle="round"/>
                <v:imagedata o:title=""/>
                <o:lock v:ext="edit" aspectratio="f"/>
              </v:line>
            </w:pict>
          </mc:Fallback>
        </mc:AlternateContent>
      </w:r>
      <w:r>
        <w:rPr>
          <w:sz w:val="21"/>
        </w:rPr>
        <mc:AlternateContent>
          <mc:Choice Requires="wps">
            <w:drawing>
              <wp:anchor distT="0" distB="0" distL="114300" distR="114300" simplePos="0" relativeHeight="251828224" behindDoc="0" locked="0" layoutInCell="1" allowOverlap="1">
                <wp:simplePos x="0" y="0"/>
                <wp:positionH relativeFrom="column">
                  <wp:posOffset>1677035</wp:posOffset>
                </wp:positionH>
                <wp:positionV relativeFrom="paragraph">
                  <wp:posOffset>188595</wp:posOffset>
                </wp:positionV>
                <wp:extent cx="6650355" cy="1576070"/>
                <wp:effectExtent l="4445" t="4445" r="12700" b="635"/>
                <wp:wrapNone/>
                <wp:docPr id="148" name="任意多边形 148"/>
                <wp:cNvGraphicFramePr/>
                <a:graphic xmlns:a="http://schemas.openxmlformats.org/drawingml/2006/main">
                  <a:graphicData uri="http://schemas.microsoft.com/office/word/2010/wordprocessingShape">
                    <wps:wsp>
                      <wps:cNvSpPr/>
                      <wps:spPr>
                        <a:xfrm>
                          <a:off x="0" y="0"/>
                          <a:ext cx="6650355" cy="1576070"/>
                        </a:xfrm>
                        <a:custGeom>
                          <a:avLst/>
                          <a:gdLst/>
                          <a:ahLst/>
                          <a:cxnLst/>
                          <a:pathLst>
                            <a:path w="10473" h="2482">
                              <a:moveTo>
                                <a:pt x="0" y="2482"/>
                              </a:moveTo>
                              <a:lnTo>
                                <a:pt x="41" y="0"/>
                              </a:lnTo>
                              <a:lnTo>
                                <a:pt x="6287" y="14"/>
                              </a:lnTo>
                              <a:lnTo>
                                <a:pt x="6273" y="1650"/>
                              </a:lnTo>
                              <a:lnTo>
                                <a:pt x="10473" y="1623"/>
                              </a:lnTo>
                            </a:path>
                          </a:pathLst>
                        </a:custGeom>
                        <a:noFill/>
                        <a:ln w="9525"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32.05pt;margin-top:14.85pt;height:124.1pt;width:523.65pt;z-index:251828224;mso-width-relative:page;mso-height-relative:page;" filled="f" stroked="t" coordsize="10473,2482" o:gfxdata="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GLQHk9oAAAALAQAADwAAAAAAAAABACAAAAAiAAAAZHJzL2Rvd25yZXYueG1sUEsBAhQAFAAA&#10;AAgAh07iQEeSuJVfAgAAFAUAAA4AAAAAAAAAAQAgAAAAKQEAAGRycy9lMm9Eb2MueG1sUEsFBgAA&#10;AAAGAAYAWQEAAPoFAAAAAA==&#10;" path="m0,2482l41,0,6287,14,6273,1650,10473,1623e">
                <v:fill on="f" focussize="0,0"/>
                <v:stroke color="#FF0000" joinstyle="round"/>
                <v:imagedata o:title=""/>
                <o:lock v:ext="edit" aspectratio="f"/>
              </v:shape>
            </w:pict>
          </mc:Fallback>
        </mc:AlternateContent>
      </w:r>
    </w:p>
    <w:p w14:paraId="2E8E9D71">
      <w:pPr>
        <w:keepNext w:val="0"/>
        <w:keepLines w:val="0"/>
        <w:widowControl/>
        <w:suppressLineNumbers w:val="0"/>
        <w:jc w:val="center"/>
        <w:rPr>
          <w:rFonts w:hint="default"/>
          <w:lang w:val="en-US" w:eastAsia="zh-CN"/>
        </w:rPr>
      </w:pPr>
      <w:r>
        <w:rPr>
          <w:sz w:val="21"/>
        </w:rPr>
        <mc:AlternateContent>
          <mc:Choice Requires="wps">
            <w:drawing>
              <wp:anchor distT="0" distB="0" distL="114300" distR="114300" simplePos="0" relativeHeight="251819008" behindDoc="0" locked="0" layoutInCell="1" allowOverlap="1">
                <wp:simplePos x="0" y="0"/>
                <wp:positionH relativeFrom="column">
                  <wp:posOffset>3920490</wp:posOffset>
                </wp:positionH>
                <wp:positionV relativeFrom="paragraph">
                  <wp:posOffset>22225</wp:posOffset>
                </wp:positionV>
                <wp:extent cx="431800" cy="755650"/>
                <wp:effectExtent l="4445" t="5080" r="20955" b="20320"/>
                <wp:wrapNone/>
                <wp:docPr id="160" name="矩形 160"/>
                <wp:cNvGraphicFramePr/>
                <a:graphic xmlns:a="http://schemas.openxmlformats.org/drawingml/2006/main">
                  <a:graphicData uri="http://schemas.microsoft.com/office/word/2010/wordprocessingShape">
                    <wps:wsp>
                      <wps:cNvSpPr/>
                      <wps:spPr>
                        <a:xfrm>
                          <a:off x="0" y="0"/>
                          <a:ext cx="431800" cy="75565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08.7pt;margin-top:1.75pt;height:59.5pt;width:34pt;z-index:251819008;mso-width-relative:page;mso-height-relative:page;" filled="f" stroked="t" coordsize="21600,21600" o:gfxdata="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5icfzWAAAACQEAAA8AAAAAAAAAAQAgAAAAIgAAAGRycy9kb3ducmV2LnhtbFBL&#10;AQIUABQAAAAIAIdO4kCHI3dB+AEAAPgDAAAOAAAAAAAAAAEAIAAAACUBAABkcnMvZTJvRG9jLnht&#10;bFBLBQYAAAAABgAGAFkBAACPBQAAAAA=&#10;">
                <v:fill on="f"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833344" behindDoc="0" locked="0" layoutInCell="1" allowOverlap="1">
                <wp:simplePos x="0" y="0"/>
                <wp:positionH relativeFrom="column">
                  <wp:posOffset>594995</wp:posOffset>
                </wp:positionH>
                <wp:positionV relativeFrom="paragraph">
                  <wp:posOffset>139700</wp:posOffset>
                </wp:positionV>
                <wp:extent cx="306070" cy="530860"/>
                <wp:effectExtent l="0" t="0" r="17780" b="2540"/>
                <wp:wrapNone/>
                <wp:docPr id="163" name="矩形 163"/>
                <wp:cNvGraphicFramePr/>
                <a:graphic xmlns:a="http://schemas.openxmlformats.org/drawingml/2006/main">
                  <a:graphicData uri="http://schemas.microsoft.com/office/word/2010/wordprocessingShape">
                    <wps:wsp>
                      <wps:cNvSpPr/>
                      <wps:spPr>
                        <a:xfrm>
                          <a:off x="0" y="0"/>
                          <a:ext cx="306070" cy="530860"/>
                        </a:xfrm>
                        <a:prstGeom prst="rect">
                          <a:avLst/>
                        </a:prstGeom>
                        <a:solidFill>
                          <a:srgbClr val="FFFFFF"/>
                        </a:solidFill>
                        <a:ln>
                          <a:noFill/>
                        </a:ln>
                      </wps:spPr>
                      <wps:txbx>
                        <w:txbxContent>
                          <w:p w14:paraId="4A4D8892">
                            <w:pPr>
                              <w:rPr>
                                <w:rFonts w:hint="eastAsia" w:eastAsia="宋体"/>
                                <w:lang w:val="en-US" w:eastAsia="zh-CN"/>
                              </w:rPr>
                            </w:pPr>
                            <w:r>
                              <w:rPr>
                                <w:rFonts w:hint="eastAsia"/>
                                <w:lang w:val="en-US" w:eastAsia="zh-CN"/>
                              </w:rPr>
                              <w:t>大门</w:t>
                            </w:r>
                          </w:p>
                        </w:txbxContent>
                      </wps:txbx>
                      <wps:bodyPr upright="1"/>
                    </wps:wsp>
                  </a:graphicData>
                </a:graphic>
              </wp:anchor>
            </w:drawing>
          </mc:Choice>
          <mc:Fallback>
            <w:pict>
              <v:rect id="_x0000_s1026" o:spid="_x0000_s1026" o:spt="1" style="position:absolute;left:0pt;margin-left:46.85pt;margin-top:11pt;height:41.8pt;width:24.1pt;z-index:251833344;mso-width-relative:page;mso-height-relative:page;" fillcolor="#FFFFFF" filled="t" stroked="f" coordsize="21600,21600" o:gfxdata="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M+GBLXAAAACQEAAA8AAAAAAAAAAQAgAAAAIgAAAGRycy9kb3ducmV2LnhtbFBLAQIUABQA&#10;AAAIAIdO4kBB2v2HuAEAAG0DAAAOAAAAAAAAAAEAIAAAACYBAABkcnMvZTJvRG9jLnhtbFBLBQYA&#10;AAAABgAGAFkBAABQBQAAAAA=&#10;">
                <v:fill on="t" focussize="0,0"/>
                <v:stroke on="f"/>
                <v:imagedata o:title=""/>
                <o:lock v:ext="edit" aspectratio="f"/>
                <v:textbox>
                  <w:txbxContent>
                    <w:p w14:paraId="4A4D8892">
                      <w:pPr>
                        <w:rPr>
                          <w:rFonts w:hint="eastAsia" w:eastAsia="宋体"/>
                          <w:lang w:val="en-US" w:eastAsia="zh-CN"/>
                        </w:rPr>
                      </w:pPr>
                      <w:r>
                        <w:rPr>
                          <w:rFonts w:hint="eastAsia"/>
                          <w:lang w:val="en-US" w:eastAsia="zh-CN"/>
                        </w:rPr>
                        <w:t>大门</w:t>
                      </w:r>
                    </w:p>
                  </w:txbxContent>
                </v:textbox>
              </v:rect>
            </w:pict>
          </mc:Fallback>
        </mc:AlternateContent>
      </w:r>
      <w:r>
        <w:rPr>
          <w:sz w:val="21"/>
        </w:rPr>
        <mc:AlternateContent>
          <mc:Choice Requires="wps">
            <w:drawing>
              <wp:anchor distT="0" distB="0" distL="114300" distR="114300" simplePos="0" relativeHeight="251768832" behindDoc="1" locked="0" layoutInCell="1" allowOverlap="1">
                <wp:simplePos x="0" y="0"/>
                <wp:positionH relativeFrom="column">
                  <wp:posOffset>6210300</wp:posOffset>
                </wp:positionH>
                <wp:positionV relativeFrom="paragraph">
                  <wp:posOffset>170180</wp:posOffset>
                </wp:positionV>
                <wp:extent cx="1417320" cy="258445"/>
                <wp:effectExtent l="0" t="0" r="0" b="0"/>
                <wp:wrapNone/>
                <wp:docPr id="169" name="文本框 169"/>
                <wp:cNvGraphicFramePr/>
                <a:graphic xmlns:a="http://schemas.openxmlformats.org/drawingml/2006/main">
                  <a:graphicData uri="http://schemas.microsoft.com/office/word/2010/wordprocessingShape">
                    <wps:wsp>
                      <wps:cNvSpPr txBox="1"/>
                      <wps:spPr>
                        <a:xfrm>
                          <a:off x="0" y="0"/>
                          <a:ext cx="1417320" cy="258445"/>
                        </a:xfrm>
                        <a:prstGeom prst="rect">
                          <a:avLst/>
                        </a:prstGeom>
                        <a:noFill/>
                        <a:ln>
                          <a:noFill/>
                        </a:ln>
                      </wps:spPr>
                      <wps:txbx>
                        <w:txbxContent>
                          <w:p w14:paraId="7D613760">
                            <w:pPr>
                              <w:rPr>
                                <w:rFonts w:hint="default" w:eastAsia="宋体"/>
                                <w:lang w:val="en-US" w:eastAsia="zh-CN"/>
                              </w:rPr>
                            </w:pPr>
                            <w:r>
                              <w:rPr>
                                <w:rFonts w:hint="eastAsia" w:eastAsia="宋体"/>
                                <w:lang w:val="en-US" w:eastAsia="zh-CN"/>
                              </w:rPr>
                              <w:t>原材料仓库</w:t>
                            </w:r>
                          </w:p>
                        </w:txbxContent>
                      </wps:txbx>
                      <wps:bodyPr upright="1"/>
                    </wps:wsp>
                  </a:graphicData>
                </a:graphic>
              </wp:anchor>
            </w:drawing>
          </mc:Choice>
          <mc:Fallback>
            <w:pict>
              <v:shape id="_x0000_s1026" o:spid="_x0000_s1026" o:spt="202" type="#_x0000_t202" style="position:absolute;left:0pt;margin-left:489pt;margin-top:13.4pt;height:20.35pt;width:111.6pt;z-index:-251547648;mso-width-relative:page;mso-height-relative:page;" filled="f" stroked="f" coordsize="21600,21600" o:gfxdata="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HNNhu&#10;2AAAAAoBAAAPAAAAAAAAAAEAIAAAACIAAABkcnMvZG93bnJldi54bWxQSwECFAAUAAAACACHTuJA&#10;4/cf9a8BAABSAwAADgAAAAAAAAABACAAAAAnAQAAZHJzL2Uyb0RvYy54bWxQSwUGAAAAAAYABgBZ&#10;AQAASAUAAAAA&#10;">
                <v:fill on="f" focussize="0,0"/>
                <v:stroke on="f"/>
                <v:imagedata o:title=""/>
                <o:lock v:ext="edit" aspectratio="f"/>
                <v:textbox>
                  <w:txbxContent>
                    <w:p w14:paraId="7D613760">
                      <w:pPr>
                        <w:rPr>
                          <w:rFonts w:hint="default" w:eastAsia="宋体"/>
                          <w:lang w:val="en-US" w:eastAsia="zh-CN"/>
                        </w:rPr>
                      </w:pPr>
                      <w:r>
                        <w:rPr>
                          <w:rFonts w:hint="eastAsia" w:eastAsia="宋体"/>
                          <w:lang w:val="en-US" w:eastAsia="zh-CN"/>
                        </w:rPr>
                        <w:t>原材料仓库</w:t>
                      </w:r>
                    </w:p>
                  </w:txbxContent>
                </v:textbox>
              </v:shape>
            </w:pict>
          </mc:Fallback>
        </mc:AlternateContent>
      </w:r>
      <w:r>
        <w:rPr>
          <w:sz w:val="21"/>
        </w:rPr>
        <mc:AlternateContent>
          <mc:Choice Requires="wps">
            <w:drawing>
              <wp:anchor distT="0" distB="0" distL="114300" distR="114300" simplePos="0" relativeHeight="251762688" behindDoc="1" locked="0" layoutInCell="1" allowOverlap="1">
                <wp:simplePos x="0" y="0"/>
                <wp:positionH relativeFrom="column">
                  <wp:posOffset>5334635</wp:posOffset>
                </wp:positionH>
                <wp:positionV relativeFrom="paragraph">
                  <wp:posOffset>137795</wp:posOffset>
                </wp:positionV>
                <wp:extent cx="292735" cy="126492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292735" cy="1264920"/>
                        </a:xfrm>
                        <a:prstGeom prst="rect">
                          <a:avLst/>
                        </a:prstGeom>
                        <a:noFill/>
                        <a:ln>
                          <a:noFill/>
                        </a:ln>
                      </wps:spPr>
                      <wps:txbx>
                        <w:txbxContent>
                          <w:p w14:paraId="31162FF1">
                            <w:pPr>
                              <w:rPr>
                                <w:rFonts w:hint="default" w:eastAsia="宋体"/>
                                <w:lang w:val="en-US" w:eastAsia="zh-CN"/>
                              </w:rPr>
                            </w:pPr>
                            <w:r>
                              <w:rPr>
                                <w:rFonts w:hint="eastAsia"/>
                                <w:lang w:val="en-US" w:eastAsia="zh-CN"/>
                              </w:rPr>
                              <w:t>正负极制片</w:t>
                            </w:r>
                          </w:p>
                        </w:txbxContent>
                      </wps:txbx>
                      <wps:bodyPr upright="1"/>
                    </wps:wsp>
                  </a:graphicData>
                </a:graphic>
              </wp:anchor>
            </w:drawing>
          </mc:Choice>
          <mc:Fallback>
            <w:pict>
              <v:shape id="_x0000_s1026" o:spid="_x0000_s1026" o:spt="202" type="#_x0000_t202" style="position:absolute;left:0pt;margin-left:420.05pt;margin-top:10.85pt;height:99.6pt;width:23.05pt;z-index:-251553792;mso-width-relative:page;mso-height-relative:page;" filled="f" stroked="f" coordsize="21600,21600" o:gfxdata="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M0+BA&#10;1wAAAAoBAAAPAAAAAAAAAAEAIAAAACIAAABkcnMvZG93bnJldi54bWxQSwECFAAUAAAACACHTuJA&#10;2qt3/LABAABSAwAADgAAAAAAAAABACAAAAAmAQAAZHJzL2Uyb0RvYy54bWxQSwUGAAAAAAYABgBZ&#10;AQAASAUAAAAA&#10;">
                <v:fill on="f" focussize="0,0"/>
                <v:stroke on="f"/>
                <v:imagedata o:title=""/>
                <o:lock v:ext="edit" aspectratio="f"/>
                <v:textbox>
                  <w:txbxContent>
                    <w:p w14:paraId="31162FF1">
                      <w:pPr>
                        <w:rPr>
                          <w:rFonts w:hint="default" w:eastAsia="宋体"/>
                          <w:lang w:val="en-US" w:eastAsia="zh-CN"/>
                        </w:rPr>
                      </w:pPr>
                      <w:r>
                        <w:rPr>
                          <w:rFonts w:hint="eastAsia"/>
                          <w:lang w:val="en-US" w:eastAsia="zh-CN"/>
                        </w:rPr>
                        <w:t>正负极制片</w:t>
                      </w:r>
                    </w:p>
                  </w:txbxContent>
                </v:textbox>
              </v:shape>
            </w:pict>
          </mc:Fallback>
        </mc:AlternateContent>
      </w:r>
      <w:r>
        <w:rPr>
          <w:sz w:val="21"/>
        </w:rPr>
        <mc:AlternateContent>
          <mc:Choice Requires="wps">
            <w:drawing>
              <wp:anchor distT="0" distB="0" distL="114300" distR="114300" simplePos="0" relativeHeight="251756544" behindDoc="1" locked="0" layoutInCell="1" allowOverlap="1">
                <wp:simplePos x="0" y="0"/>
                <wp:positionH relativeFrom="column">
                  <wp:posOffset>3065145</wp:posOffset>
                </wp:positionH>
                <wp:positionV relativeFrom="paragraph">
                  <wp:posOffset>194310</wp:posOffset>
                </wp:positionV>
                <wp:extent cx="292735" cy="1102360"/>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292735" cy="1102360"/>
                        </a:xfrm>
                        <a:prstGeom prst="rect">
                          <a:avLst/>
                        </a:prstGeom>
                        <a:noFill/>
                        <a:ln>
                          <a:noFill/>
                        </a:ln>
                      </wps:spPr>
                      <wps:txbx>
                        <w:txbxContent>
                          <w:p w14:paraId="65130D76">
                            <w:pPr>
                              <w:rPr>
                                <w:rFonts w:hint="default" w:eastAsia="宋体"/>
                                <w:lang w:val="en-US" w:eastAsia="zh-CN"/>
                              </w:rPr>
                            </w:pPr>
                            <w:r>
                              <w:rPr>
                                <w:rFonts w:hint="eastAsia"/>
                                <w:lang w:val="en-US" w:eastAsia="zh-CN"/>
                              </w:rPr>
                              <w:t>陈化</w:t>
                            </w:r>
                          </w:p>
                        </w:txbxContent>
                      </wps:txbx>
                      <wps:bodyPr upright="1"/>
                    </wps:wsp>
                  </a:graphicData>
                </a:graphic>
              </wp:anchor>
            </w:drawing>
          </mc:Choice>
          <mc:Fallback>
            <w:pict>
              <v:shape id="_x0000_s1026" o:spid="_x0000_s1026" o:spt="202" type="#_x0000_t202" style="position:absolute;left:0pt;margin-left:241.35pt;margin-top:15.3pt;height:86.8pt;width:23.05pt;z-index:-251559936;mso-width-relative:page;mso-height-relative:page;" filled="f" stroked="f" coordsize="21600,21600" o:gfxdata="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X9MXz&#10;1wAAAAoBAAAPAAAAAAAAAAEAIAAAACIAAABkcnMvZG93bnJldi54bWxQSwECFAAUAAAACACHTuJA&#10;uyJuq7ABAABSAwAADgAAAAAAAAABACAAAAAmAQAAZHJzL2Uyb0RvYy54bWxQSwUGAAAAAAYABgBZ&#10;AQAASAUAAAAA&#10;">
                <v:fill on="f" focussize="0,0"/>
                <v:stroke on="f"/>
                <v:imagedata o:title=""/>
                <o:lock v:ext="edit" aspectratio="f"/>
                <v:textbox>
                  <w:txbxContent>
                    <w:p w14:paraId="65130D76">
                      <w:pPr>
                        <w:rPr>
                          <w:rFonts w:hint="default" w:eastAsia="宋体"/>
                          <w:lang w:val="en-US" w:eastAsia="zh-CN"/>
                        </w:rPr>
                      </w:pPr>
                      <w:r>
                        <w:rPr>
                          <w:rFonts w:hint="eastAsia"/>
                          <w:lang w:val="en-US" w:eastAsia="zh-CN"/>
                        </w:rPr>
                        <w:t>陈化</w:t>
                      </w:r>
                    </w:p>
                  </w:txbxContent>
                </v:textbox>
              </v:shape>
            </w:pict>
          </mc:Fallback>
        </mc:AlternateContent>
      </w:r>
      <w:r>
        <w:rPr>
          <w:sz w:val="21"/>
        </w:rPr>
        <mc:AlternateContent>
          <mc:Choice Requires="wps">
            <w:drawing>
              <wp:anchor distT="0" distB="0" distL="114300" distR="114300" simplePos="0" relativeHeight="251758592" behindDoc="1" locked="0" layoutInCell="1" allowOverlap="1">
                <wp:simplePos x="0" y="0"/>
                <wp:positionH relativeFrom="column">
                  <wp:posOffset>2708910</wp:posOffset>
                </wp:positionH>
                <wp:positionV relativeFrom="paragraph">
                  <wp:posOffset>116840</wp:posOffset>
                </wp:positionV>
                <wp:extent cx="292735" cy="1102360"/>
                <wp:effectExtent l="0" t="0" r="0" b="0"/>
                <wp:wrapNone/>
                <wp:docPr id="164" name="文本框 164"/>
                <wp:cNvGraphicFramePr/>
                <a:graphic xmlns:a="http://schemas.openxmlformats.org/drawingml/2006/main">
                  <a:graphicData uri="http://schemas.microsoft.com/office/word/2010/wordprocessingShape">
                    <wps:wsp>
                      <wps:cNvSpPr txBox="1"/>
                      <wps:spPr>
                        <a:xfrm>
                          <a:off x="0" y="0"/>
                          <a:ext cx="292735" cy="1102360"/>
                        </a:xfrm>
                        <a:prstGeom prst="rect">
                          <a:avLst/>
                        </a:prstGeom>
                        <a:noFill/>
                        <a:ln>
                          <a:noFill/>
                        </a:ln>
                      </wps:spPr>
                      <wps:txbx>
                        <w:txbxContent>
                          <w:p w14:paraId="293B6708">
                            <w:pPr>
                              <w:rPr>
                                <w:rFonts w:hint="default" w:eastAsia="宋体"/>
                                <w:lang w:val="en-US" w:eastAsia="zh-CN"/>
                              </w:rPr>
                            </w:pPr>
                            <w:r>
                              <w:rPr>
                                <w:rFonts w:hint="eastAsia"/>
                                <w:lang w:val="en-US" w:eastAsia="zh-CN"/>
                              </w:rPr>
                              <w:t>分容化成</w:t>
                            </w:r>
                          </w:p>
                        </w:txbxContent>
                      </wps:txbx>
                      <wps:bodyPr upright="1"/>
                    </wps:wsp>
                  </a:graphicData>
                </a:graphic>
              </wp:anchor>
            </w:drawing>
          </mc:Choice>
          <mc:Fallback>
            <w:pict>
              <v:shape id="_x0000_s1026" o:spid="_x0000_s1026" o:spt="202" type="#_x0000_t202" style="position:absolute;left:0pt;margin-left:213.3pt;margin-top:9.2pt;height:86.8pt;width:23.05pt;z-index:-251557888;mso-width-relative:page;mso-height-relative:page;" filled="f" stroked="f" coordsize="21600,21600" o:gfxdata="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OlniHrX&#10;AAAACgEAAA8AAAAAAAAAAQAgAAAAIgAAAGRycy9kb3ducmV2LnhtbFBLAQIUABQAAAAIAIdO4kBS&#10;nDckrwEAAFIDAAAOAAAAAAAAAAEAIAAAACYBAABkcnMvZTJvRG9jLnhtbFBLBQYAAAAABgAGAFkB&#10;AABHBQAAAAA=&#10;">
                <v:fill on="f" focussize="0,0"/>
                <v:stroke on="f"/>
                <v:imagedata o:title=""/>
                <o:lock v:ext="edit" aspectratio="f"/>
                <v:textbox>
                  <w:txbxContent>
                    <w:p w14:paraId="293B6708">
                      <w:pPr>
                        <w:rPr>
                          <w:rFonts w:hint="default" w:eastAsia="宋体"/>
                          <w:lang w:val="en-US" w:eastAsia="zh-CN"/>
                        </w:rPr>
                      </w:pPr>
                      <w:r>
                        <w:rPr>
                          <w:rFonts w:hint="eastAsia"/>
                          <w:lang w:val="en-US" w:eastAsia="zh-CN"/>
                        </w:rPr>
                        <w:t>分容化成</w:t>
                      </w:r>
                    </w:p>
                  </w:txbxContent>
                </v:textbox>
              </v:shape>
            </w:pict>
          </mc:Fallback>
        </mc:AlternateContent>
      </w:r>
      <w:r>
        <w:rPr>
          <w:sz w:val="21"/>
        </w:rPr>
        <mc:AlternateContent>
          <mc:Choice Requires="wps">
            <w:drawing>
              <wp:anchor distT="0" distB="0" distL="114300" distR="114300" simplePos="0" relativeHeight="251816960" behindDoc="0" locked="0" layoutInCell="1" allowOverlap="1">
                <wp:simplePos x="0" y="0"/>
                <wp:positionH relativeFrom="column">
                  <wp:posOffset>1749425</wp:posOffset>
                </wp:positionH>
                <wp:positionV relativeFrom="paragraph">
                  <wp:posOffset>27940</wp:posOffset>
                </wp:positionV>
                <wp:extent cx="300355" cy="1295400"/>
                <wp:effectExtent l="5080" t="4445" r="18415" b="14605"/>
                <wp:wrapNone/>
                <wp:docPr id="170" name="矩形 170"/>
                <wp:cNvGraphicFramePr/>
                <a:graphic xmlns:a="http://schemas.openxmlformats.org/drawingml/2006/main">
                  <a:graphicData uri="http://schemas.microsoft.com/office/word/2010/wordprocessingShape">
                    <wps:wsp>
                      <wps:cNvSpPr/>
                      <wps:spPr>
                        <a:xfrm>
                          <a:off x="0" y="0"/>
                          <a:ext cx="300355" cy="129540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37.75pt;margin-top:2.2pt;height:102pt;width:23.65pt;z-index:251816960;mso-width-relative:page;mso-height-relative:page;" filled="f" stroked="t" coordsize="21600,21600" o:gfxdata="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GmGeo1wAAAAkBAAAPAAAAAAAAAAEAIAAAACIAAABkcnMvZG93bnJldi54bWxQ&#10;SwECFAAUAAAACACHTuJAfq8GJvgBAAD5AwAADgAAAAAAAAABACAAAAAmAQAAZHJzL2Uyb0RvYy54&#10;bWxQSwUGAAAAAAYABgBZAQAAkAUAAAAA&#10;">
                <v:fill on="f"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815936" behindDoc="0" locked="0" layoutInCell="1" allowOverlap="1">
                <wp:simplePos x="0" y="0"/>
                <wp:positionH relativeFrom="column">
                  <wp:posOffset>2100580</wp:posOffset>
                </wp:positionH>
                <wp:positionV relativeFrom="paragraph">
                  <wp:posOffset>37465</wp:posOffset>
                </wp:positionV>
                <wp:extent cx="508000" cy="1260475"/>
                <wp:effectExtent l="4445" t="4445" r="20955" b="11430"/>
                <wp:wrapNone/>
                <wp:docPr id="141" name="矩形 141"/>
                <wp:cNvGraphicFramePr/>
                <a:graphic xmlns:a="http://schemas.openxmlformats.org/drawingml/2006/main">
                  <a:graphicData uri="http://schemas.microsoft.com/office/word/2010/wordprocessingShape">
                    <wps:wsp>
                      <wps:cNvSpPr/>
                      <wps:spPr>
                        <a:xfrm>
                          <a:off x="0" y="0"/>
                          <a:ext cx="508000" cy="1260475"/>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65.4pt;margin-top:2.95pt;height:99.25pt;width:40pt;z-index:251815936;mso-width-relative:page;mso-height-relative:page;" filled="f" stroked="t" coordsize="21600,21600" o:gfxdata="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aRQ5r1wAAAAkBAAAPAAAAAAAAAAEAIAAAACIAAABkcnMvZG93bnJldi54bWxQ&#10;SwECFAAUAAAACACHTuJAu4fctfgBAAD5AwAADgAAAAAAAAABACAAAAAmAQAAZHJzL2Uyb0RvYy54&#10;bWxQSwUGAAAAAAYABgBZAQAAkAUAAAAA&#10;">
                <v:fill on="f" focussize="0,0"/>
                <v:stroke color="#000000" joinstyle="miter"/>
                <v:imagedata o:title=""/>
                <o:lock v:ext="edit" aspectratio="f"/>
              </v:rect>
            </w:pict>
          </mc:Fallback>
        </mc:AlternateContent>
      </w:r>
    </w:p>
    <w:p w14:paraId="4023F3CB">
      <w:pPr>
        <w:keepNext w:val="0"/>
        <w:keepLines w:val="0"/>
        <w:widowControl/>
        <w:suppressLineNumbers w:val="0"/>
        <w:jc w:val="center"/>
        <w:rPr>
          <w:rFonts w:hint="default"/>
          <w:lang w:val="en-US" w:eastAsia="zh-CN"/>
        </w:rPr>
      </w:pPr>
      <w:r>
        <w:rPr>
          <w:sz w:val="21"/>
        </w:rPr>
        <mc:AlternateContent>
          <mc:Choice Requires="wps">
            <w:drawing>
              <wp:anchor distT="0" distB="0" distL="114300" distR="114300" simplePos="0" relativeHeight="251755520" behindDoc="1" locked="0" layoutInCell="1" allowOverlap="1">
                <wp:simplePos x="0" y="0"/>
                <wp:positionH relativeFrom="column">
                  <wp:posOffset>3269615</wp:posOffset>
                </wp:positionH>
                <wp:positionV relativeFrom="paragraph">
                  <wp:posOffset>161925</wp:posOffset>
                </wp:positionV>
                <wp:extent cx="796290" cy="110236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796290" cy="1102360"/>
                        </a:xfrm>
                        <a:prstGeom prst="rect">
                          <a:avLst/>
                        </a:prstGeom>
                        <a:noFill/>
                        <a:ln>
                          <a:noFill/>
                        </a:ln>
                      </wps:spPr>
                      <wps:txbx>
                        <w:txbxContent>
                          <w:p w14:paraId="4C257161">
                            <w:pPr>
                              <w:rPr>
                                <w:rFonts w:hint="default" w:eastAsia="宋体"/>
                                <w:lang w:val="en-US" w:eastAsia="zh-CN"/>
                              </w:rPr>
                            </w:pPr>
                            <w:r>
                              <w:rPr>
                                <w:rFonts w:hint="eastAsia"/>
                                <w:lang w:val="en-US" w:eastAsia="zh-CN"/>
                              </w:rPr>
                              <w:t>封口清洗</w:t>
                            </w:r>
                          </w:p>
                        </w:txbxContent>
                      </wps:txbx>
                      <wps:bodyPr upright="1"/>
                    </wps:wsp>
                  </a:graphicData>
                </a:graphic>
              </wp:anchor>
            </w:drawing>
          </mc:Choice>
          <mc:Fallback>
            <w:pict>
              <v:shape id="_x0000_s1026" o:spid="_x0000_s1026" o:spt="202" type="#_x0000_t202" style="position:absolute;left:0pt;margin-left:257.45pt;margin-top:12.75pt;height:86.8pt;width:62.7pt;z-index:-251560960;mso-width-relative:page;mso-height-relative:page;" filled="f" stroked="f" coordsize="21600,21600" o:gfxdata="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AH3TjdcA&#10;AAAKAQAADwAAAAAAAAABACAAAAAiAAAAZHJzL2Rvd25yZXYueG1sUEsBAhQAFAAAAAgAh07iQFDx&#10;/y+uAQAAUgMAAA4AAAAAAAAAAQAgAAAAJgEAAGRycy9lMm9Eb2MueG1sUEsFBgAAAAAGAAYAWQEA&#10;AEYFAAAAAA==&#10;">
                <v:fill on="f" focussize="0,0"/>
                <v:stroke on="f"/>
                <v:imagedata o:title=""/>
                <o:lock v:ext="edit" aspectratio="f"/>
                <v:textbox>
                  <w:txbxContent>
                    <w:p w14:paraId="4C257161">
                      <w:pPr>
                        <w:rPr>
                          <w:rFonts w:hint="default" w:eastAsia="宋体"/>
                          <w:lang w:val="en-US" w:eastAsia="zh-CN"/>
                        </w:rPr>
                      </w:pPr>
                      <w:r>
                        <w:rPr>
                          <w:rFonts w:hint="eastAsia"/>
                          <w:lang w:val="en-US" w:eastAsia="zh-CN"/>
                        </w:rPr>
                        <w:t>封口清洗</w:t>
                      </w:r>
                    </w:p>
                  </w:txbxContent>
                </v:textbox>
              </v:shape>
            </w:pict>
          </mc:Fallback>
        </mc:AlternateContent>
      </w:r>
      <w:r>
        <w:rPr>
          <w:sz w:val="21"/>
        </w:rPr>
        <mc:AlternateContent>
          <mc:Choice Requires="wps">
            <w:drawing>
              <wp:anchor distT="0" distB="0" distL="114300" distR="114300" simplePos="0" relativeHeight="251763712" behindDoc="1" locked="0" layoutInCell="1" allowOverlap="1">
                <wp:simplePos x="0" y="0"/>
                <wp:positionH relativeFrom="column">
                  <wp:posOffset>2230120</wp:posOffset>
                </wp:positionH>
                <wp:positionV relativeFrom="paragraph">
                  <wp:posOffset>129540</wp:posOffset>
                </wp:positionV>
                <wp:extent cx="292735" cy="65405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292735" cy="654050"/>
                        </a:xfrm>
                        <a:prstGeom prst="rect">
                          <a:avLst/>
                        </a:prstGeom>
                        <a:noFill/>
                        <a:ln>
                          <a:noFill/>
                        </a:ln>
                      </wps:spPr>
                      <wps:txbx>
                        <w:txbxContent>
                          <w:p w14:paraId="56B5DA01">
                            <w:pPr>
                              <w:rPr>
                                <w:rFonts w:hint="default" w:eastAsia="宋体"/>
                                <w:lang w:val="en-US" w:eastAsia="zh-CN"/>
                              </w:rPr>
                            </w:pPr>
                            <w:r>
                              <w:rPr>
                                <w:rFonts w:hint="eastAsia"/>
                                <w:lang w:val="en-US" w:eastAsia="zh-CN"/>
                              </w:rPr>
                              <w:t>陈化</w:t>
                            </w:r>
                          </w:p>
                        </w:txbxContent>
                      </wps:txbx>
                      <wps:bodyPr upright="1"/>
                    </wps:wsp>
                  </a:graphicData>
                </a:graphic>
              </wp:anchor>
            </w:drawing>
          </mc:Choice>
          <mc:Fallback>
            <w:pict>
              <v:shape id="_x0000_s1026" o:spid="_x0000_s1026" o:spt="202" type="#_x0000_t202" style="position:absolute;left:0pt;margin-left:175.6pt;margin-top:10.2pt;height:51.5pt;width:23.05pt;z-index:-251552768;mso-width-relative:page;mso-height-relative:page;" filled="f" stroked="f" coordsize="21600,21600" o:gfxdata="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diYVXX&#10;AAAACgEAAA8AAAAAAAAAAQAgAAAAIgAAAGRycy9kb3ducmV2LnhtbFBLAQIUABQAAAAIAIdO4kAm&#10;EXsurwEAAFEDAAAOAAAAAAAAAAEAIAAAACYBAABkcnMvZTJvRG9jLnhtbFBLBQYAAAAABgAGAFkB&#10;AABHBQAAAAA=&#10;">
                <v:fill on="f" focussize="0,0"/>
                <v:stroke on="f"/>
                <v:imagedata o:title=""/>
                <o:lock v:ext="edit" aspectratio="f"/>
                <v:textbox>
                  <w:txbxContent>
                    <w:p w14:paraId="56B5DA01">
                      <w:pPr>
                        <w:rPr>
                          <w:rFonts w:hint="default" w:eastAsia="宋体"/>
                          <w:lang w:val="en-US" w:eastAsia="zh-CN"/>
                        </w:rPr>
                      </w:pPr>
                      <w:r>
                        <w:rPr>
                          <w:rFonts w:hint="eastAsia"/>
                          <w:lang w:val="en-US" w:eastAsia="zh-CN"/>
                        </w:rPr>
                        <w:t>陈化</w:t>
                      </w:r>
                    </w:p>
                  </w:txbxContent>
                </v:textbox>
              </v:shape>
            </w:pict>
          </mc:Fallback>
        </mc:AlternateContent>
      </w:r>
      <w:r>
        <w:rPr>
          <w:sz w:val="21"/>
        </w:rPr>
        <mc:AlternateContent>
          <mc:Choice Requires="wps">
            <w:drawing>
              <wp:anchor distT="0" distB="0" distL="114300" distR="114300" simplePos="0" relativeHeight="251757568" behindDoc="1" locked="0" layoutInCell="1" allowOverlap="1">
                <wp:simplePos x="0" y="0"/>
                <wp:positionH relativeFrom="column">
                  <wp:posOffset>1770380</wp:posOffset>
                </wp:positionH>
                <wp:positionV relativeFrom="paragraph">
                  <wp:posOffset>119380</wp:posOffset>
                </wp:positionV>
                <wp:extent cx="292735" cy="714375"/>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292735" cy="714375"/>
                        </a:xfrm>
                        <a:prstGeom prst="rect">
                          <a:avLst/>
                        </a:prstGeom>
                        <a:noFill/>
                        <a:ln>
                          <a:noFill/>
                        </a:ln>
                      </wps:spPr>
                      <wps:txbx>
                        <w:txbxContent>
                          <w:p w14:paraId="1F9FF836">
                            <w:pPr>
                              <w:rPr>
                                <w:rFonts w:hint="default" w:eastAsia="宋体"/>
                                <w:lang w:val="en-US" w:eastAsia="zh-CN"/>
                              </w:rPr>
                            </w:pPr>
                            <w:r>
                              <w:rPr>
                                <w:rFonts w:hint="eastAsia"/>
                                <w:lang w:val="en-US" w:eastAsia="zh-CN"/>
                              </w:rPr>
                              <w:t>包装</w:t>
                            </w:r>
                          </w:p>
                        </w:txbxContent>
                      </wps:txbx>
                      <wps:bodyPr upright="1"/>
                    </wps:wsp>
                  </a:graphicData>
                </a:graphic>
              </wp:anchor>
            </w:drawing>
          </mc:Choice>
          <mc:Fallback>
            <w:pict>
              <v:shape id="_x0000_s1026" o:spid="_x0000_s1026" o:spt="202" type="#_x0000_t202" style="position:absolute;left:0pt;margin-left:139.4pt;margin-top:9.4pt;height:56.25pt;width:23.05pt;z-index:-251558912;mso-width-relative:page;mso-height-relative:page;" filled="f" stroked="f" coordsize="21600,21600" o:gfxdata="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KT1wBPX&#10;AAAACgEAAA8AAAAAAAAAAQAgAAAAIgAAAGRycy9kb3ducmV2LnhtbFBLAQIUABQAAAAIAIdO4kCv&#10;i5JKrwEAAFEDAAAOAAAAAAAAAAEAIAAAACYBAABkcnMvZTJvRG9jLnhtbFBLBQYAAAAABgAGAFkB&#10;AABHBQAAAAA=&#10;">
                <v:fill on="f" focussize="0,0"/>
                <v:stroke on="f"/>
                <v:imagedata o:title=""/>
                <o:lock v:ext="edit" aspectratio="f"/>
                <v:textbox>
                  <w:txbxContent>
                    <w:p w14:paraId="1F9FF836">
                      <w:pPr>
                        <w:rPr>
                          <w:rFonts w:hint="default" w:eastAsia="宋体"/>
                          <w:lang w:val="en-US" w:eastAsia="zh-CN"/>
                        </w:rPr>
                      </w:pPr>
                      <w:r>
                        <w:rPr>
                          <w:rFonts w:hint="eastAsia"/>
                          <w:lang w:val="en-US" w:eastAsia="zh-CN"/>
                        </w:rPr>
                        <w:t>包装</w:t>
                      </w:r>
                    </w:p>
                  </w:txbxContent>
                </v:textbox>
              </v:shape>
            </w:pict>
          </mc:Fallback>
        </mc:AlternateContent>
      </w:r>
      <w:r>
        <w:rPr>
          <w:sz w:val="21"/>
        </w:rPr>
        <mc:AlternateContent>
          <mc:Choice Requires="wps">
            <w:drawing>
              <wp:anchor distT="0" distB="0" distL="114300" distR="114300" simplePos="0" relativeHeight="251829248" behindDoc="0" locked="0" layoutInCell="1" allowOverlap="1">
                <wp:simplePos x="0" y="0"/>
                <wp:positionH relativeFrom="column">
                  <wp:posOffset>1159510</wp:posOffset>
                </wp:positionH>
                <wp:positionV relativeFrom="paragraph">
                  <wp:posOffset>80010</wp:posOffset>
                </wp:positionV>
                <wp:extent cx="292735" cy="714375"/>
                <wp:effectExtent l="0" t="0" r="0" b="0"/>
                <wp:wrapNone/>
                <wp:docPr id="147" name="文本框 147"/>
                <wp:cNvGraphicFramePr/>
                <a:graphic xmlns:a="http://schemas.openxmlformats.org/drawingml/2006/main">
                  <a:graphicData uri="http://schemas.microsoft.com/office/word/2010/wordprocessingShape">
                    <wps:wsp>
                      <wps:cNvSpPr txBox="1"/>
                      <wps:spPr>
                        <a:xfrm>
                          <a:off x="0" y="0"/>
                          <a:ext cx="292735" cy="714375"/>
                        </a:xfrm>
                        <a:prstGeom prst="rect">
                          <a:avLst/>
                        </a:prstGeom>
                        <a:noFill/>
                        <a:ln>
                          <a:noFill/>
                        </a:ln>
                      </wps:spPr>
                      <wps:txbx>
                        <w:txbxContent>
                          <w:p w14:paraId="47CA3DF5">
                            <w:pPr>
                              <w:rPr>
                                <w:rFonts w:hint="eastAsia" w:eastAsia="宋体"/>
                                <w:lang w:val="en-US" w:eastAsia="zh-CN"/>
                              </w:rPr>
                            </w:pPr>
                            <w:r>
                              <w:rPr>
                                <w:rFonts w:hint="eastAsia"/>
                                <w:lang w:val="en-US" w:eastAsia="zh-CN"/>
                              </w:rPr>
                              <w:t>成品库</w:t>
                            </w:r>
                          </w:p>
                        </w:txbxContent>
                      </wps:txbx>
                      <wps:bodyPr upright="1"/>
                    </wps:wsp>
                  </a:graphicData>
                </a:graphic>
              </wp:anchor>
            </w:drawing>
          </mc:Choice>
          <mc:Fallback>
            <w:pict>
              <v:shape id="_x0000_s1026" o:spid="_x0000_s1026" o:spt="202" type="#_x0000_t202" style="position:absolute;left:0pt;margin-left:91.3pt;margin-top:6.3pt;height:56.25pt;width:23.05pt;z-index:251829248;mso-width-relative:page;mso-height-relative:page;" filled="f" stroked="f" coordsize="21600,21600" o:gfxdata="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cv81QAA&#10;AAoBAAAPAAAAAAAAAAEAIAAAACIAAABkcnMvZG93bnJldi54bWxQSwECFAAUAAAACACHTuJAi4Zg&#10;aa8BAABRAwAADgAAAAAAAAABACAAAAAkAQAAZHJzL2Uyb0RvYy54bWxQSwUGAAAAAAYABgBZAQAA&#10;RQUAAAAA&#10;">
                <v:fill on="f" focussize="0,0"/>
                <v:stroke on="f"/>
                <v:imagedata o:title=""/>
                <o:lock v:ext="edit" aspectratio="f"/>
                <v:textbox>
                  <w:txbxContent>
                    <w:p w14:paraId="47CA3DF5">
                      <w:pPr>
                        <w:rPr>
                          <w:rFonts w:hint="eastAsia" w:eastAsia="宋体"/>
                          <w:lang w:val="en-US" w:eastAsia="zh-CN"/>
                        </w:rPr>
                      </w:pPr>
                      <w:r>
                        <w:rPr>
                          <w:rFonts w:hint="eastAsia"/>
                          <w:lang w:val="en-US" w:eastAsia="zh-CN"/>
                        </w:rPr>
                        <w:t>成品库</w:t>
                      </w:r>
                    </w:p>
                  </w:txbxContent>
                </v:textbox>
              </v:shape>
            </w:pict>
          </mc:Fallback>
        </mc:AlternateContent>
      </w:r>
    </w:p>
    <w:p w14:paraId="56D5C2D3">
      <w:pPr>
        <w:keepNext w:val="0"/>
        <w:keepLines w:val="0"/>
        <w:widowControl/>
        <w:suppressLineNumbers w:val="0"/>
        <w:jc w:val="center"/>
        <w:rPr>
          <w:rFonts w:hint="default"/>
          <w:lang w:val="en-US" w:eastAsia="zh-CN"/>
        </w:rPr>
      </w:pPr>
      <w:r>
        <w:rPr>
          <w:sz w:val="21"/>
        </w:rPr>
        <mc:AlternateContent>
          <mc:Choice Requires="wps">
            <w:drawing>
              <wp:anchor distT="0" distB="0" distL="114300" distR="114300" simplePos="0" relativeHeight="251831296" behindDoc="0" locked="0" layoutInCell="1" allowOverlap="1">
                <wp:simplePos x="0" y="0"/>
                <wp:positionH relativeFrom="column">
                  <wp:posOffset>5868035</wp:posOffset>
                </wp:positionH>
                <wp:positionV relativeFrom="paragraph">
                  <wp:posOffset>122555</wp:posOffset>
                </wp:positionV>
                <wp:extent cx="2455545" cy="6985"/>
                <wp:effectExtent l="0" t="0" r="0" b="0"/>
                <wp:wrapNone/>
                <wp:docPr id="146" name="直接连接符 146"/>
                <wp:cNvGraphicFramePr/>
                <a:graphic xmlns:a="http://schemas.openxmlformats.org/drawingml/2006/main">
                  <a:graphicData uri="http://schemas.microsoft.com/office/word/2010/wordprocessingShape">
                    <wps:wsp>
                      <wps:cNvSpPr/>
                      <wps:spPr>
                        <a:xfrm>
                          <a:off x="0" y="0"/>
                          <a:ext cx="2455545" cy="698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62.05pt;margin-top:9.65pt;height:0.55pt;width:193.35pt;z-index:251831296;mso-width-relative:page;mso-height-relative:page;" filled="f" stroked="t" coordsize="21600,21600" o:gfxdata="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54RGw1wAAAAoBAAAPAAAAAAAAAAEAIAAAACIAAABkcnMvZG93bnJldi54bWxQ&#10;SwECFAAUAAAACACHTuJAauUKefgBAADrAwAADgAAAAAAAAABACAAAAAmAQAAZHJzL2Uyb0RvYy54&#10;bWxQSwUGAAAAAAYABgBZAQAAkAUAAAAA&#10;">
                <v:fill on="f" focussize="0,0"/>
                <v:stroke color="#000000" joinstyle="round"/>
                <v:imagedata o:title=""/>
                <o:lock v:ext="edit" aspectratio="f"/>
              </v:line>
            </w:pict>
          </mc:Fallback>
        </mc:AlternateContent>
      </w:r>
      <w:r>
        <w:rPr>
          <w:sz w:val="21"/>
        </w:rPr>
        <mc:AlternateContent>
          <mc:Choice Requires="wps">
            <w:drawing>
              <wp:anchor distT="0" distB="0" distL="114300" distR="114300" simplePos="0" relativeHeight="251764736" behindDoc="1" locked="0" layoutInCell="1" allowOverlap="1">
                <wp:simplePos x="0" y="0"/>
                <wp:positionH relativeFrom="column">
                  <wp:posOffset>4526915</wp:posOffset>
                </wp:positionH>
                <wp:positionV relativeFrom="paragraph">
                  <wp:posOffset>102870</wp:posOffset>
                </wp:positionV>
                <wp:extent cx="918210" cy="258445"/>
                <wp:effectExtent l="0" t="0" r="0" b="0"/>
                <wp:wrapNone/>
                <wp:docPr id="215" name="文本框 215"/>
                <wp:cNvGraphicFramePr/>
                <a:graphic xmlns:a="http://schemas.openxmlformats.org/drawingml/2006/main">
                  <a:graphicData uri="http://schemas.microsoft.com/office/word/2010/wordprocessingShape">
                    <wps:wsp>
                      <wps:cNvSpPr txBox="1"/>
                      <wps:spPr>
                        <a:xfrm>
                          <a:off x="0" y="0"/>
                          <a:ext cx="918210" cy="258445"/>
                        </a:xfrm>
                        <a:prstGeom prst="rect">
                          <a:avLst/>
                        </a:prstGeom>
                        <a:noFill/>
                        <a:ln>
                          <a:noFill/>
                        </a:ln>
                      </wps:spPr>
                      <wps:txbx>
                        <w:txbxContent>
                          <w:p w14:paraId="11B9C6A6">
                            <w:pPr>
                              <w:rPr>
                                <w:rFonts w:hint="default" w:eastAsia="宋体"/>
                                <w:lang w:val="en-US" w:eastAsia="zh-CN"/>
                              </w:rPr>
                            </w:pPr>
                            <w:r>
                              <w:rPr>
                                <w:rFonts w:hint="eastAsia"/>
                                <w:lang w:val="en-US" w:eastAsia="zh-CN"/>
                              </w:rPr>
                              <w:t>卷绕入壳</w:t>
                            </w:r>
                          </w:p>
                        </w:txbxContent>
                      </wps:txbx>
                      <wps:bodyPr upright="1"/>
                    </wps:wsp>
                  </a:graphicData>
                </a:graphic>
              </wp:anchor>
            </w:drawing>
          </mc:Choice>
          <mc:Fallback>
            <w:pict>
              <v:shape id="_x0000_s1026" o:spid="_x0000_s1026" o:spt="202" type="#_x0000_t202" style="position:absolute;left:0pt;margin-left:356.45pt;margin-top:8.1pt;height:20.35pt;width:72.3pt;z-index:-251551744;mso-width-relative:page;mso-height-relative:page;" filled="f" stroked="f" coordsize="21600,21600" o:gfxdata="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vBbPPtcA&#10;AAAJAQAADwAAAAAAAAABACAAAAAiAAAAZHJzL2Rvd25yZXYueG1sUEsBAhQAFAAAAAgAh07iQHs3&#10;CECuAQAAUQMAAA4AAAAAAAAAAQAgAAAAJgEAAGRycy9lMm9Eb2MueG1sUEsFBgAAAAAGAAYAWQEA&#10;AEYFAAAAAA==&#10;">
                <v:fill on="f" focussize="0,0"/>
                <v:stroke on="f"/>
                <v:imagedata o:title=""/>
                <o:lock v:ext="edit" aspectratio="f"/>
                <v:textbox>
                  <w:txbxContent>
                    <w:p w14:paraId="11B9C6A6">
                      <w:pPr>
                        <w:rPr>
                          <w:rFonts w:hint="default" w:eastAsia="宋体"/>
                          <w:lang w:val="en-US" w:eastAsia="zh-CN"/>
                        </w:rPr>
                      </w:pPr>
                      <w:r>
                        <w:rPr>
                          <w:rFonts w:hint="eastAsia"/>
                          <w:lang w:val="en-US" w:eastAsia="zh-CN"/>
                        </w:rPr>
                        <w:t>卷绕入壳</w:t>
                      </w:r>
                    </w:p>
                  </w:txbxContent>
                </v:textbox>
              </v:shape>
            </w:pict>
          </mc:Fallback>
        </mc:AlternateContent>
      </w:r>
    </w:p>
    <w:p w14:paraId="3FAA4646">
      <w:pPr>
        <w:keepNext w:val="0"/>
        <w:keepLines w:val="0"/>
        <w:widowControl/>
        <w:suppressLineNumbers w:val="0"/>
        <w:jc w:val="center"/>
        <w:rPr>
          <w:rFonts w:hint="default"/>
          <w:lang w:val="en-US" w:eastAsia="zh-CN"/>
        </w:rPr>
      </w:pPr>
      <w:r>
        <w:rPr>
          <w:sz w:val="21"/>
        </w:rPr>
        <mc:AlternateContent>
          <mc:Choice Requires="wps">
            <w:drawing>
              <wp:anchor distT="0" distB="0" distL="114300" distR="114300" simplePos="0" relativeHeight="251830272" behindDoc="0" locked="0" layoutInCell="1" allowOverlap="1">
                <wp:simplePos x="0" y="0"/>
                <wp:positionH relativeFrom="column">
                  <wp:posOffset>3451860</wp:posOffset>
                </wp:positionH>
                <wp:positionV relativeFrom="paragraph">
                  <wp:posOffset>97790</wp:posOffset>
                </wp:positionV>
                <wp:extent cx="633095" cy="360045"/>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633095" cy="360045"/>
                        </a:xfrm>
                        <a:prstGeom prst="rect">
                          <a:avLst/>
                        </a:prstGeom>
                        <a:noFill/>
                        <a:ln>
                          <a:noFill/>
                        </a:ln>
                      </wps:spPr>
                      <wps:txbx>
                        <w:txbxContent>
                          <w:p w14:paraId="7BA0B807">
                            <w:pPr>
                              <w:rPr>
                                <w:rFonts w:hint="default" w:eastAsia="宋体"/>
                                <w:lang w:val="en-US" w:eastAsia="zh-CN"/>
                              </w:rPr>
                            </w:pPr>
                            <w:r>
                              <w:rPr>
                                <w:rFonts w:hint="eastAsia"/>
                                <w:lang w:val="en-US" w:eastAsia="zh-CN"/>
                              </w:rPr>
                              <w:t>烘烤</w:t>
                            </w:r>
                          </w:p>
                        </w:txbxContent>
                      </wps:txbx>
                      <wps:bodyPr upright="1"/>
                    </wps:wsp>
                  </a:graphicData>
                </a:graphic>
              </wp:anchor>
            </w:drawing>
          </mc:Choice>
          <mc:Fallback>
            <w:pict>
              <v:shape id="_x0000_s1026" o:spid="_x0000_s1026" o:spt="202" type="#_x0000_t202" style="position:absolute;left:0pt;margin-left:271.8pt;margin-top:7.7pt;height:28.35pt;width:49.85pt;z-index:251830272;mso-width-relative:page;mso-height-relative:page;" filled="f" stroked="f" coordsize="21600,21600" o:gfxdata="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QKxJENYA&#10;AAAJAQAADwAAAAAAAAABACAAAAAiAAAAZHJzL2Rvd25yZXYueG1sUEsBAhQAFAAAAAgAh07iQLKj&#10;xpavAQAAUQMAAA4AAAAAAAAAAQAgAAAAJQEAAGRycy9lMm9Eb2MueG1sUEsFBgAAAAAGAAYAWQEA&#10;AEYFAAAAAA==&#10;">
                <v:fill on="f" focussize="0,0"/>
                <v:stroke on="f"/>
                <v:imagedata o:title=""/>
                <o:lock v:ext="edit" aspectratio="f"/>
                <v:textbox>
                  <w:txbxContent>
                    <w:p w14:paraId="7BA0B807">
                      <w:pPr>
                        <w:rPr>
                          <w:rFonts w:hint="default" w:eastAsia="宋体"/>
                          <w:lang w:val="en-US" w:eastAsia="zh-CN"/>
                        </w:rPr>
                      </w:pPr>
                      <w:r>
                        <w:rPr>
                          <w:rFonts w:hint="eastAsia"/>
                          <w:lang w:val="en-US" w:eastAsia="zh-CN"/>
                        </w:rPr>
                        <w:t>烘烤</w:t>
                      </w:r>
                    </w:p>
                  </w:txbxContent>
                </v:textbox>
              </v:shape>
            </w:pict>
          </mc:Fallback>
        </mc:AlternateContent>
      </w:r>
    </w:p>
    <w:p w14:paraId="724CA2ED">
      <w:pPr>
        <w:keepNext w:val="0"/>
        <w:keepLines w:val="0"/>
        <w:widowControl/>
        <w:suppressLineNumbers w:val="0"/>
        <w:jc w:val="center"/>
        <w:rPr>
          <w:rFonts w:hint="default"/>
          <w:lang w:val="en-US" w:eastAsia="zh-CN"/>
        </w:rPr>
      </w:pPr>
      <w:r>
        <w:rPr>
          <w:sz w:val="21"/>
        </w:rPr>
        <mc:AlternateContent>
          <mc:Choice Requires="wps">
            <w:drawing>
              <wp:anchor distT="0" distB="0" distL="114300" distR="114300" simplePos="0" relativeHeight="251759616" behindDoc="1" locked="0" layoutInCell="1" allowOverlap="1">
                <wp:simplePos x="0" y="0"/>
                <wp:positionH relativeFrom="column">
                  <wp:posOffset>3401695</wp:posOffset>
                </wp:positionH>
                <wp:positionV relativeFrom="paragraph">
                  <wp:posOffset>150495</wp:posOffset>
                </wp:positionV>
                <wp:extent cx="918210" cy="258445"/>
                <wp:effectExtent l="0" t="0" r="0" b="0"/>
                <wp:wrapNone/>
                <wp:docPr id="217" name="文本框 217"/>
                <wp:cNvGraphicFramePr/>
                <a:graphic xmlns:a="http://schemas.openxmlformats.org/drawingml/2006/main">
                  <a:graphicData uri="http://schemas.microsoft.com/office/word/2010/wordprocessingShape">
                    <wps:wsp>
                      <wps:cNvSpPr txBox="1"/>
                      <wps:spPr>
                        <a:xfrm>
                          <a:off x="0" y="0"/>
                          <a:ext cx="918210" cy="258445"/>
                        </a:xfrm>
                        <a:prstGeom prst="rect">
                          <a:avLst/>
                        </a:prstGeom>
                        <a:noFill/>
                        <a:ln>
                          <a:noFill/>
                        </a:ln>
                      </wps:spPr>
                      <wps:txbx>
                        <w:txbxContent>
                          <w:p w14:paraId="2CBFFF42">
                            <w:pPr>
                              <w:rPr>
                                <w:rFonts w:hint="default" w:eastAsia="宋体"/>
                                <w:lang w:val="en-US" w:eastAsia="zh-CN"/>
                              </w:rPr>
                            </w:pPr>
                            <w:r>
                              <w:rPr>
                                <w:rFonts w:hint="eastAsia"/>
                                <w:lang w:val="en-US" w:eastAsia="zh-CN"/>
                              </w:rPr>
                              <w:t>装配注液</w:t>
                            </w:r>
                          </w:p>
                        </w:txbxContent>
                      </wps:txbx>
                      <wps:bodyPr upright="1"/>
                    </wps:wsp>
                  </a:graphicData>
                </a:graphic>
              </wp:anchor>
            </w:drawing>
          </mc:Choice>
          <mc:Fallback>
            <w:pict>
              <v:shape id="_x0000_s1026" o:spid="_x0000_s1026" o:spt="202" type="#_x0000_t202" style="position:absolute;left:0pt;margin-left:267.85pt;margin-top:11.85pt;height:20.35pt;width:72.3pt;z-index:-251556864;mso-width-relative:page;mso-height-relative:page;" filled="f" stroked="f" coordsize="21600,21600" o:gfxdata="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TJsvotcA&#10;AAAJAQAADwAAAAAAAAABACAAAAAiAAAAZHJzL2Rvd25yZXYueG1sUEsBAhQAFAAAAAgAh07iQHzD&#10;hMuuAQAAUQMAAA4AAAAAAAAAAQAgAAAAJgEAAGRycy9lMm9Eb2MueG1sUEsFBgAAAAAGAAYAWQEA&#10;AEYFAAAAAA==&#10;">
                <v:fill on="f" focussize="0,0"/>
                <v:stroke on="f"/>
                <v:imagedata o:title=""/>
                <o:lock v:ext="edit" aspectratio="f"/>
                <v:textbox>
                  <w:txbxContent>
                    <w:p w14:paraId="2CBFFF42">
                      <w:pPr>
                        <w:rPr>
                          <w:rFonts w:hint="default" w:eastAsia="宋体"/>
                          <w:lang w:val="en-US" w:eastAsia="zh-CN"/>
                        </w:rPr>
                      </w:pPr>
                      <w:r>
                        <w:rPr>
                          <w:rFonts w:hint="eastAsia"/>
                          <w:lang w:val="en-US" w:eastAsia="zh-CN"/>
                        </w:rPr>
                        <w:t>装配注液</w:t>
                      </w:r>
                    </w:p>
                  </w:txbxContent>
                </v:textbox>
              </v:shape>
            </w:pict>
          </mc:Fallback>
        </mc:AlternateContent>
      </w:r>
    </w:p>
    <w:p w14:paraId="2D1BBFB8">
      <w:pPr>
        <w:keepNext w:val="0"/>
        <w:keepLines w:val="0"/>
        <w:widowControl/>
        <w:suppressLineNumbers w:val="0"/>
        <w:jc w:val="center"/>
        <w:rPr>
          <w:rFonts w:hint="default"/>
          <w:lang w:val="en-US" w:eastAsia="zh-CN"/>
        </w:rPr>
      </w:pPr>
      <w:r>
        <w:rPr>
          <w:sz w:val="21"/>
        </w:rPr>
        <mc:AlternateContent>
          <mc:Choice Requires="wps">
            <w:drawing>
              <wp:anchor distT="0" distB="0" distL="114300" distR="114300" simplePos="0" relativeHeight="251765760" behindDoc="1" locked="0" layoutInCell="1" allowOverlap="1">
                <wp:simplePos x="0" y="0"/>
                <wp:positionH relativeFrom="column">
                  <wp:posOffset>7575550</wp:posOffset>
                </wp:positionH>
                <wp:positionV relativeFrom="paragraph">
                  <wp:posOffset>99060</wp:posOffset>
                </wp:positionV>
                <wp:extent cx="938530" cy="612775"/>
                <wp:effectExtent l="0" t="0" r="0" b="0"/>
                <wp:wrapNone/>
                <wp:docPr id="221" name="文本框 221"/>
                <wp:cNvGraphicFramePr/>
                <a:graphic xmlns:a="http://schemas.openxmlformats.org/drawingml/2006/main">
                  <a:graphicData uri="http://schemas.microsoft.com/office/word/2010/wordprocessingShape">
                    <wps:wsp>
                      <wps:cNvSpPr txBox="1"/>
                      <wps:spPr>
                        <a:xfrm>
                          <a:off x="0" y="0"/>
                          <a:ext cx="938530" cy="612775"/>
                        </a:xfrm>
                        <a:prstGeom prst="rect">
                          <a:avLst/>
                        </a:prstGeom>
                        <a:noFill/>
                        <a:ln>
                          <a:noFill/>
                        </a:ln>
                      </wps:spPr>
                      <wps:txbx>
                        <w:txbxContent>
                          <w:p w14:paraId="4A3E2CBA">
                            <w:pPr>
                              <w:rPr>
                                <w:rFonts w:hint="default" w:eastAsia="宋体"/>
                                <w:lang w:val="en-US" w:eastAsia="zh-CN"/>
                              </w:rPr>
                            </w:pPr>
                            <w:r>
                              <w:rPr>
                                <w:rFonts w:hint="eastAsia"/>
                                <w:lang w:val="en-US" w:eastAsia="zh-CN"/>
                              </w:rPr>
                              <w:t>正负极配料</w:t>
                            </w:r>
                          </w:p>
                        </w:txbxContent>
                      </wps:txbx>
                      <wps:bodyPr upright="1"/>
                    </wps:wsp>
                  </a:graphicData>
                </a:graphic>
              </wp:anchor>
            </w:drawing>
          </mc:Choice>
          <mc:Fallback>
            <w:pict>
              <v:shape id="_x0000_s1026" o:spid="_x0000_s1026" o:spt="202" type="#_x0000_t202" style="position:absolute;left:0pt;margin-left:596.5pt;margin-top:7.8pt;height:48.25pt;width:73.9pt;z-index:-251550720;mso-width-relative:page;mso-height-relative:page;" filled="f" stroked="f" coordsize="21600,21600" o:gfxdata="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v3ij3X&#10;AAAADAEAAA8AAAAAAAAAAQAgAAAAIgAAAGRycy9kb3ducmV2LnhtbFBLAQIUABQAAAAIAIdO4kBU&#10;DNXHrwEAAFEDAAAOAAAAAAAAAAEAIAAAACYBAABkcnMvZTJvRG9jLnhtbFBLBQYAAAAABgAGAFkB&#10;AABHBQAAAAA=&#10;">
                <v:fill on="f" focussize="0,0"/>
                <v:stroke on="f"/>
                <v:imagedata o:title=""/>
                <o:lock v:ext="edit" aspectratio="f"/>
                <v:textbox>
                  <w:txbxContent>
                    <w:p w14:paraId="4A3E2CBA">
                      <w:pPr>
                        <w:rPr>
                          <w:rFonts w:hint="default" w:eastAsia="宋体"/>
                          <w:lang w:val="en-US" w:eastAsia="zh-CN"/>
                        </w:rPr>
                      </w:pPr>
                      <w:r>
                        <w:rPr>
                          <w:rFonts w:hint="eastAsia"/>
                          <w:lang w:val="en-US" w:eastAsia="zh-CN"/>
                        </w:rPr>
                        <w:t>正负极配料</w:t>
                      </w:r>
                    </w:p>
                  </w:txbxContent>
                </v:textbox>
              </v:shape>
            </w:pict>
          </mc:Fallback>
        </mc:AlternateContent>
      </w:r>
      <w:r>
        <w:rPr>
          <w:sz w:val="21"/>
        </w:rPr>
        <mc:AlternateContent>
          <mc:Choice Requires="wps">
            <w:drawing>
              <wp:anchor distT="0" distB="0" distL="114300" distR="114300" simplePos="0" relativeHeight="251761664" behindDoc="1" locked="0" layoutInCell="1" allowOverlap="1">
                <wp:simplePos x="0" y="0"/>
                <wp:positionH relativeFrom="column">
                  <wp:posOffset>6218555</wp:posOffset>
                </wp:positionH>
                <wp:positionV relativeFrom="paragraph">
                  <wp:posOffset>83185</wp:posOffset>
                </wp:positionV>
                <wp:extent cx="938530" cy="714375"/>
                <wp:effectExtent l="0" t="0" r="0" b="0"/>
                <wp:wrapNone/>
                <wp:docPr id="218" name="文本框 218"/>
                <wp:cNvGraphicFramePr/>
                <a:graphic xmlns:a="http://schemas.openxmlformats.org/drawingml/2006/main">
                  <a:graphicData uri="http://schemas.microsoft.com/office/word/2010/wordprocessingShape">
                    <wps:wsp>
                      <wps:cNvSpPr txBox="1"/>
                      <wps:spPr>
                        <a:xfrm>
                          <a:off x="0" y="0"/>
                          <a:ext cx="938530" cy="714375"/>
                        </a:xfrm>
                        <a:prstGeom prst="rect">
                          <a:avLst/>
                        </a:prstGeom>
                        <a:noFill/>
                        <a:ln>
                          <a:noFill/>
                        </a:ln>
                      </wps:spPr>
                      <wps:txbx>
                        <w:txbxContent>
                          <w:p w14:paraId="018B1BB5">
                            <w:pPr>
                              <w:rPr>
                                <w:rFonts w:hint="default" w:eastAsia="宋体"/>
                                <w:lang w:val="en-US" w:eastAsia="zh-CN"/>
                              </w:rPr>
                            </w:pPr>
                            <w:r>
                              <w:rPr>
                                <w:rFonts w:hint="eastAsia"/>
                                <w:lang w:val="en-US" w:eastAsia="zh-CN"/>
                              </w:rPr>
                              <w:t>涂布、烘烤</w:t>
                            </w:r>
                          </w:p>
                        </w:txbxContent>
                      </wps:txbx>
                      <wps:bodyPr upright="1"/>
                    </wps:wsp>
                  </a:graphicData>
                </a:graphic>
              </wp:anchor>
            </w:drawing>
          </mc:Choice>
          <mc:Fallback>
            <w:pict>
              <v:shape id="_x0000_s1026" o:spid="_x0000_s1026" o:spt="202" type="#_x0000_t202" style="position:absolute;left:0pt;margin-left:489.65pt;margin-top:6.55pt;height:56.25pt;width:73.9pt;z-index:-251554816;mso-width-relative:page;mso-height-relative:page;" filled="f" stroked="f" coordsize="21600,21600" o:gfxdata="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4Wj13X&#10;AAAACwEAAA8AAAAAAAAAAQAgAAAAIgAAAGRycy9kb3ducmV2LnhtbFBLAQIUABQAAAAIAIdO4kBw&#10;uys3rwEAAFEDAAAOAAAAAAAAAAEAIAAAACYBAABkcnMvZTJvRG9jLnhtbFBLBQYAAAAABgAGAFkB&#10;AABHBQAAAAA=&#10;">
                <v:fill on="f" focussize="0,0"/>
                <v:stroke on="f"/>
                <v:imagedata o:title=""/>
                <o:lock v:ext="edit" aspectratio="f"/>
                <v:textbox>
                  <w:txbxContent>
                    <w:p w14:paraId="018B1BB5">
                      <w:pPr>
                        <w:rPr>
                          <w:rFonts w:hint="default" w:eastAsia="宋体"/>
                          <w:lang w:val="en-US" w:eastAsia="zh-CN"/>
                        </w:rPr>
                      </w:pPr>
                      <w:r>
                        <w:rPr>
                          <w:rFonts w:hint="eastAsia"/>
                          <w:lang w:val="en-US" w:eastAsia="zh-CN"/>
                        </w:rPr>
                        <w:t>涂布、烘烤</w:t>
                      </w:r>
                    </w:p>
                  </w:txbxContent>
                </v:textbox>
              </v:shape>
            </w:pict>
          </mc:Fallback>
        </mc:AlternateContent>
      </w:r>
      <w:r>
        <w:rPr>
          <w:sz w:val="21"/>
        </w:rPr>
        <mc:AlternateContent>
          <mc:Choice Requires="wps">
            <w:drawing>
              <wp:anchor distT="0" distB="0" distL="114300" distR="114300" simplePos="0" relativeHeight="251767808" behindDoc="1" locked="0" layoutInCell="1" allowOverlap="1">
                <wp:simplePos x="0" y="0"/>
                <wp:positionH relativeFrom="column">
                  <wp:posOffset>5725160</wp:posOffset>
                </wp:positionH>
                <wp:positionV relativeFrom="paragraph">
                  <wp:posOffset>45085</wp:posOffset>
                </wp:positionV>
                <wp:extent cx="292735" cy="714375"/>
                <wp:effectExtent l="0" t="0" r="0" b="0"/>
                <wp:wrapNone/>
                <wp:docPr id="211" name="文本框 211"/>
                <wp:cNvGraphicFramePr/>
                <a:graphic xmlns:a="http://schemas.openxmlformats.org/drawingml/2006/main">
                  <a:graphicData uri="http://schemas.microsoft.com/office/word/2010/wordprocessingShape">
                    <wps:wsp>
                      <wps:cNvSpPr txBox="1"/>
                      <wps:spPr>
                        <a:xfrm>
                          <a:off x="0" y="0"/>
                          <a:ext cx="292735" cy="714375"/>
                        </a:xfrm>
                        <a:prstGeom prst="rect">
                          <a:avLst/>
                        </a:prstGeom>
                        <a:noFill/>
                        <a:ln>
                          <a:noFill/>
                        </a:ln>
                      </wps:spPr>
                      <wps:txbx>
                        <w:txbxContent>
                          <w:p w14:paraId="4AD8033A">
                            <w:pPr>
                              <w:rPr>
                                <w:rFonts w:hint="default" w:eastAsia="宋体"/>
                                <w:lang w:val="en-US" w:eastAsia="zh-CN"/>
                              </w:rPr>
                            </w:pPr>
                            <w:r>
                              <w:rPr>
                                <w:rFonts w:hint="eastAsia"/>
                                <w:lang w:val="en-US" w:eastAsia="zh-CN"/>
                              </w:rPr>
                              <w:t>辊压</w:t>
                            </w:r>
                          </w:p>
                        </w:txbxContent>
                      </wps:txbx>
                      <wps:bodyPr upright="1"/>
                    </wps:wsp>
                  </a:graphicData>
                </a:graphic>
              </wp:anchor>
            </w:drawing>
          </mc:Choice>
          <mc:Fallback>
            <w:pict>
              <v:shape id="_x0000_s1026" o:spid="_x0000_s1026" o:spt="202" type="#_x0000_t202" style="position:absolute;left:0pt;margin-left:450.8pt;margin-top:3.55pt;height:56.25pt;width:23.05pt;z-index:-251548672;mso-width-relative:page;mso-height-relative:page;" filled="f" stroked="f" coordsize="21600,21600" o:gfxdata="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hyxXv9YA&#10;AAAJAQAADwAAAAAAAAABACAAAAAiAAAAZHJzL2Rvd25yZXYueG1sUEsBAhQAFAAAAAgAh07iQE4Z&#10;veWvAQAAUQMAAA4AAAAAAAAAAQAgAAAAJQEAAGRycy9lMm9Eb2MueG1sUEsFBgAAAAAGAAYAWQEA&#10;AEYFAAAAAA==&#10;">
                <v:fill on="f" focussize="0,0"/>
                <v:stroke on="f"/>
                <v:imagedata o:title=""/>
                <o:lock v:ext="edit" aspectratio="f"/>
                <v:textbox>
                  <w:txbxContent>
                    <w:p w14:paraId="4AD8033A">
                      <w:pPr>
                        <w:rPr>
                          <w:rFonts w:hint="default" w:eastAsia="宋体"/>
                          <w:lang w:val="en-US" w:eastAsia="zh-CN"/>
                        </w:rPr>
                      </w:pPr>
                      <w:r>
                        <w:rPr>
                          <w:rFonts w:hint="eastAsia"/>
                          <w:lang w:val="en-US" w:eastAsia="zh-CN"/>
                        </w:rPr>
                        <w:t>辊压</w:t>
                      </w:r>
                    </w:p>
                  </w:txbxContent>
                </v:textbox>
              </v:shape>
            </w:pict>
          </mc:Fallback>
        </mc:AlternateContent>
      </w:r>
    </w:p>
    <w:p w14:paraId="3A936EA6">
      <w:pPr>
        <w:keepNext w:val="0"/>
        <w:keepLines w:val="0"/>
        <w:widowControl/>
        <w:suppressLineNumbers w:val="0"/>
        <w:jc w:val="center"/>
        <w:rPr>
          <w:rFonts w:hint="default"/>
          <w:lang w:val="en-US" w:eastAsia="zh-CN"/>
        </w:rPr>
      </w:pPr>
    </w:p>
    <w:p w14:paraId="16463168">
      <w:pPr>
        <w:keepNext w:val="0"/>
        <w:keepLines w:val="0"/>
        <w:widowControl/>
        <w:suppressLineNumbers w:val="0"/>
        <w:jc w:val="center"/>
        <w:rPr>
          <w:rFonts w:hint="default"/>
          <w:lang w:val="en-US" w:eastAsia="zh-CN"/>
        </w:rPr>
      </w:pPr>
    </w:p>
    <w:p w14:paraId="3788BB49">
      <w:pPr>
        <w:keepNext w:val="0"/>
        <w:keepLines w:val="0"/>
        <w:widowControl/>
        <w:suppressLineNumbers w:val="0"/>
        <w:jc w:val="center"/>
        <w:rPr>
          <w:rFonts w:hint="default"/>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6</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项目厂房平面布置图（比例尺：1:1800）</w:t>
      </w:r>
    </w:p>
    <w:p w14:paraId="40C309DC">
      <w:pPr>
        <w:keepNext w:val="0"/>
        <w:keepLines w:val="0"/>
        <w:widowControl/>
        <w:suppressLineNumbers w:val="0"/>
        <w:jc w:val="center"/>
        <w:rPr>
          <w:rFonts w:hint="default"/>
          <w:lang w:val="en-US" w:eastAsia="zh-CN"/>
        </w:rPr>
      </w:pPr>
    </w:p>
    <w:p w14:paraId="5071ACF6">
      <w:pPr>
        <w:keepNext w:val="0"/>
        <w:keepLines w:val="0"/>
        <w:widowControl/>
        <w:suppressLineNumbers w:val="0"/>
        <w:jc w:val="center"/>
        <w:rPr>
          <w:rFonts w:hint="default"/>
          <w:lang w:val="en-US" w:eastAsia="zh-CN"/>
        </w:rPr>
      </w:pPr>
    </w:p>
    <w:p w14:paraId="548AEB26">
      <w:pPr>
        <w:keepNext w:val="0"/>
        <w:keepLines w:val="0"/>
        <w:widowControl/>
        <w:suppressLineNumbers w:val="0"/>
        <w:jc w:val="center"/>
        <w:rPr>
          <w:rFonts w:hint="default"/>
          <w:lang w:val="en-US" w:eastAsia="zh-CN"/>
        </w:rPr>
      </w:pPr>
    </w:p>
    <w:p w14:paraId="00C087DA">
      <w:pPr>
        <w:keepNext w:val="0"/>
        <w:keepLines w:val="0"/>
        <w:widowControl/>
        <w:suppressLineNumbers w:val="0"/>
        <w:jc w:val="center"/>
        <w:rPr>
          <w:rFonts w:hint="default"/>
          <w:lang w:val="en-US" w:eastAsia="zh-CN"/>
        </w:rPr>
      </w:pPr>
    </w:p>
    <w:p w14:paraId="1DACC060">
      <w:pPr>
        <w:keepNext w:val="0"/>
        <w:keepLines w:val="0"/>
        <w:widowControl/>
        <w:suppressLineNumbers w:val="0"/>
        <w:jc w:val="center"/>
        <w:rPr>
          <w:rFonts w:hint="default"/>
          <w:lang w:val="en-US" w:eastAsia="zh-CN"/>
        </w:rPr>
      </w:pPr>
    </w:p>
    <w:p w14:paraId="6D53DBF6">
      <w:pPr>
        <w:keepNext w:val="0"/>
        <w:keepLines w:val="0"/>
        <w:widowControl/>
        <w:suppressLineNumbers w:val="0"/>
        <w:jc w:val="center"/>
        <w:rPr>
          <w:rFonts w:hint="default"/>
          <w:lang w:val="en-US" w:eastAsia="zh-CN"/>
        </w:rPr>
      </w:pPr>
    </w:p>
    <w:p w14:paraId="2B6896A4">
      <w:pPr>
        <w:keepNext w:val="0"/>
        <w:keepLines w:val="0"/>
        <w:widowControl/>
        <w:suppressLineNumbers w:val="0"/>
        <w:jc w:val="center"/>
        <w:rPr>
          <w:rFonts w:hint="default"/>
          <w:lang w:val="en-US" w:eastAsia="zh-CN"/>
        </w:rPr>
      </w:pPr>
    </w:p>
    <w:p w14:paraId="76F0F055">
      <w:pPr>
        <w:keepNext w:val="0"/>
        <w:keepLines w:val="0"/>
        <w:widowControl/>
        <w:suppressLineNumbers w:val="0"/>
        <w:jc w:val="center"/>
        <w:rPr>
          <w:rFonts w:hint="default"/>
          <w:lang w:val="en-US" w:eastAsia="zh-CN"/>
        </w:rPr>
      </w:pPr>
    </w:p>
    <w:p w14:paraId="0DE3DB16">
      <w:pPr>
        <w:keepNext w:val="0"/>
        <w:keepLines w:val="0"/>
        <w:widowControl/>
        <w:suppressLineNumbers w:val="0"/>
        <w:jc w:val="center"/>
        <w:rPr>
          <w:rFonts w:hint="default"/>
          <w:lang w:val="en-US" w:eastAsia="zh-CN"/>
        </w:rPr>
      </w:pPr>
    </w:p>
    <w:p w14:paraId="4F9EC1AA">
      <w:pPr>
        <w:keepNext w:val="0"/>
        <w:keepLines w:val="0"/>
        <w:widowControl/>
        <w:suppressLineNumbers w:val="0"/>
        <w:jc w:val="center"/>
        <w:rPr>
          <w:rFonts w:hint="default"/>
          <w:lang w:val="en-US" w:eastAsia="zh-CN"/>
        </w:rPr>
        <w:sectPr>
          <w:pgSz w:w="16838" w:h="11906" w:orient="landscape"/>
          <w:pgMar w:top="1440" w:right="1440" w:bottom="1440"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5AB61A47">
      <w:pPr>
        <w:keepNext w:val="0"/>
        <w:keepLines w:val="0"/>
        <w:widowControl/>
        <w:suppressLineNumbers w:val="0"/>
        <w:jc w:val="both"/>
        <w:rPr>
          <w:rFonts w:hint="default"/>
          <w:lang w:val="en-US" w:eastAsia="zh-CN"/>
        </w:rPr>
      </w:pPr>
    </w:p>
    <w:tbl>
      <w:tblPr>
        <w:tblStyle w:val="33"/>
        <w:tblW w:w="9750" w:type="dxa"/>
        <w:tblInd w:w="-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1"/>
        <w:gridCol w:w="4659"/>
      </w:tblGrid>
      <w:tr w14:paraId="5DFF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1" w:type="dxa"/>
            <w:noWrap w:val="0"/>
            <w:vAlign w:val="top"/>
          </w:tcPr>
          <w:p w14:paraId="676A51F8">
            <w:pPr>
              <w:keepNext w:val="0"/>
              <w:keepLines w:val="0"/>
              <w:widowControl/>
              <w:suppressLineNumbers w:val="0"/>
              <w:jc w:val="center"/>
              <w:rPr>
                <w:rFonts w:hint="default"/>
                <w:vertAlign w:val="baseline"/>
                <w:lang w:val="en-US" w:eastAsia="zh-CN"/>
              </w:rPr>
            </w:pPr>
            <w:r>
              <w:rPr>
                <w:rFonts w:hint="default"/>
                <w:vertAlign w:val="baseline"/>
                <w:lang w:val="en-US" w:eastAsia="zh-CN"/>
              </w:rPr>
              <w:drawing>
                <wp:inline distT="0" distB="0" distL="114300" distR="114300">
                  <wp:extent cx="2964815" cy="2301875"/>
                  <wp:effectExtent l="0" t="0" r="6985" b="3175"/>
                  <wp:docPr id="214" name="图片 12" descr="0e0653da9da85daf407677ca3594c6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2" descr="0e0653da9da85daf407677ca3594c62b"/>
                          <pic:cNvPicPr>
                            <a:picLocks noChangeAspect="1"/>
                          </pic:cNvPicPr>
                        </pic:nvPicPr>
                        <pic:blipFill>
                          <a:blip r:embed="rId59"/>
                          <a:stretch>
                            <a:fillRect/>
                          </a:stretch>
                        </pic:blipFill>
                        <pic:spPr>
                          <a:xfrm>
                            <a:off x="0" y="0"/>
                            <a:ext cx="2964815" cy="2301875"/>
                          </a:xfrm>
                          <a:prstGeom prst="rect">
                            <a:avLst/>
                          </a:prstGeom>
                          <a:noFill/>
                          <a:ln>
                            <a:noFill/>
                          </a:ln>
                        </pic:spPr>
                      </pic:pic>
                    </a:graphicData>
                  </a:graphic>
                </wp:inline>
              </w:drawing>
            </w:r>
          </w:p>
          <w:p w14:paraId="3B7E661B">
            <w:pPr>
              <w:keepNext w:val="0"/>
              <w:keepLines w:val="0"/>
              <w:widowControl/>
              <w:suppressLineNumbers w:val="0"/>
              <w:jc w:val="center"/>
              <w:rPr>
                <w:rFonts w:hint="default"/>
                <w:vertAlign w:val="baseline"/>
                <w:lang w:val="en-US" w:eastAsia="zh-CN"/>
              </w:rPr>
            </w:pPr>
            <w:r>
              <w:rPr>
                <w:rFonts w:hint="eastAsia"/>
                <w:vertAlign w:val="baseline"/>
                <w:lang w:val="en-US" w:eastAsia="zh-CN"/>
              </w:rPr>
              <w:t>东侧 新中大道</w:t>
            </w:r>
          </w:p>
        </w:tc>
        <w:tc>
          <w:tcPr>
            <w:tcW w:w="4659" w:type="dxa"/>
            <w:noWrap w:val="0"/>
            <w:vAlign w:val="top"/>
          </w:tcPr>
          <w:p w14:paraId="4971FE99">
            <w:pPr>
              <w:keepNext w:val="0"/>
              <w:keepLines w:val="0"/>
              <w:widowControl/>
              <w:suppressLineNumbers w:val="0"/>
              <w:jc w:val="center"/>
              <w:rPr>
                <w:rFonts w:hint="default"/>
                <w:vertAlign w:val="baseline"/>
                <w:lang w:val="en-US" w:eastAsia="zh-CN"/>
              </w:rPr>
            </w:pPr>
            <w:r>
              <w:rPr>
                <w:rFonts w:hint="default"/>
                <w:vertAlign w:val="baseline"/>
                <w:lang w:val="en-US" w:eastAsia="zh-CN"/>
              </w:rPr>
              <w:drawing>
                <wp:inline distT="0" distB="0" distL="114300" distR="114300">
                  <wp:extent cx="2786380" cy="2254250"/>
                  <wp:effectExtent l="0" t="0" r="13970" b="12700"/>
                  <wp:docPr id="220" name="图片 13" descr="6bb95e4bd1509d35aa1130d22b248b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13" descr="6bb95e4bd1509d35aa1130d22b248bb4"/>
                          <pic:cNvPicPr>
                            <a:picLocks noChangeAspect="1"/>
                          </pic:cNvPicPr>
                        </pic:nvPicPr>
                        <pic:blipFill>
                          <a:blip r:embed="rId60"/>
                          <a:stretch>
                            <a:fillRect/>
                          </a:stretch>
                        </pic:blipFill>
                        <pic:spPr>
                          <a:xfrm>
                            <a:off x="0" y="0"/>
                            <a:ext cx="2786380" cy="2254250"/>
                          </a:xfrm>
                          <a:prstGeom prst="rect">
                            <a:avLst/>
                          </a:prstGeom>
                          <a:noFill/>
                          <a:ln>
                            <a:noFill/>
                          </a:ln>
                        </pic:spPr>
                      </pic:pic>
                    </a:graphicData>
                  </a:graphic>
                </wp:inline>
              </w:drawing>
            </w:r>
          </w:p>
          <w:p w14:paraId="3B1C5503">
            <w:pPr>
              <w:keepNext w:val="0"/>
              <w:keepLines w:val="0"/>
              <w:widowControl/>
              <w:suppressLineNumbers w:val="0"/>
              <w:jc w:val="center"/>
              <w:rPr>
                <w:rFonts w:hint="default"/>
                <w:vertAlign w:val="baseline"/>
                <w:lang w:val="en-US" w:eastAsia="zh-CN"/>
              </w:rPr>
            </w:pPr>
            <w:r>
              <w:rPr>
                <w:rFonts w:hint="eastAsia"/>
                <w:vertAlign w:val="baseline"/>
                <w:lang w:val="en-US" w:eastAsia="zh-CN"/>
              </w:rPr>
              <w:t>南侧 预留厂房</w:t>
            </w:r>
          </w:p>
        </w:tc>
      </w:tr>
      <w:tr w14:paraId="2DE5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1" w:type="dxa"/>
            <w:noWrap w:val="0"/>
            <w:vAlign w:val="top"/>
          </w:tcPr>
          <w:p w14:paraId="5B8F36E6">
            <w:pPr>
              <w:keepNext w:val="0"/>
              <w:keepLines w:val="0"/>
              <w:widowControl/>
              <w:suppressLineNumbers w:val="0"/>
              <w:jc w:val="center"/>
              <w:rPr>
                <w:rFonts w:hint="default"/>
                <w:vertAlign w:val="baseline"/>
                <w:lang w:val="en-US" w:eastAsia="zh-CN"/>
              </w:rPr>
            </w:pPr>
            <w:r>
              <w:rPr>
                <w:rFonts w:hint="default"/>
                <w:vertAlign w:val="baseline"/>
                <w:lang w:val="en-US" w:eastAsia="zh-CN"/>
              </w:rPr>
              <w:drawing>
                <wp:inline distT="0" distB="0" distL="114300" distR="114300">
                  <wp:extent cx="2971800" cy="2229485"/>
                  <wp:effectExtent l="0" t="0" r="0" b="18415"/>
                  <wp:docPr id="222" name="图片 14" descr="b8d7cc1d1a4d6552f3b7d71889bdca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14" descr="b8d7cc1d1a4d6552f3b7d71889bdca84"/>
                          <pic:cNvPicPr>
                            <a:picLocks noChangeAspect="1"/>
                          </pic:cNvPicPr>
                        </pic:nvPicPr>
                        <pic:blipFill>
                          <a:blip r:embed="rId61"/>
                          <a:stretch>
                            <a:fillRect/>
                          </a:stretch>
                        </pic:blipFill>
                        <pic:spPr>
                          <a:xfrm>
                            <a:off x="0" y="0"/>
                            <a:ext cx="2971800" cy="2229485"/>
                          </a:xfrm>
                          <a:prstGeom prst="rect">
                            <a:avLst/>
                          </a:prstGeom>
                          <a:noFill/>
                          <a:ln>
                            <a:noFill/>
                          </a:ln>
                        </pic:spPr>
                      </pic:pic>
                    </a:graphicData>
                  </a:graphic>
                </wp:inline>
              </w:drawing>
            </w:r>
          </w:p>
          <w:p w14:paraId="0205EC56">
            <w:pPr>
              <w:keepNext w:val="0"/>
              <w:keepLines w:val="0"/>
              <w:widowControl/>
              <w:suppressLineNumbers w:val="0"/>
              <w:jc w:val="center"/>
              <w:rPr>
                <w:rFonts w:hint="default"/>
                <w:vertAlign w:val="baseline"/>
                <w:lang w:val="en-US" w:eastAsia="zh-CN"/>
              </w:rPr>
            </w:pPr>
            <w:r>
              <w:rPr>
                <w:rFonts w:hint="eastAsia"/>
                <w:vertAlign w:val="baseline"/>
                <w:lang w:val="en-US" w:eastAsia="zh-CN"/>
              </w:rPr>
              <w:t>西侧 新乡市</w:t>
            </w:r>
            <w:r>
              <w:rPr>
                <w:rFonts w:hint="default" w:ascii="Times New Roman" w:hAnsi="Times New Roman" w:eastAsia="宋体" w:cs="Times New Roman"/>
                <w:b w:val="0"/>
                <w:bCs w:val="0"/>
                <w:color w:val="000000"/>
                <w:kern w:val="0"/>
                <w:sz w:val="21"/>
                <w:szCs w:val="21"/>
                <w:lang w:val="en-US" w:eastAsia="zh-CN" w:bidi="ar"/>
              </w:rPr>
              <w:t>天诚航空净化设备有限公司</w:t>
            </w:r>
          </w:p>
        </w:tc>
        <w:tc>
          <w:tcPr>
            <w:tcW w:w="4659" w:type="dxa"/>
            <w:noWrap w:val="0"/>
            <w:vAlign w:val="top"/>
          </w:tcPr>
          <w:p w14:paraId="6541419C">
            <w:pPr>
              <w:keepNext w:val="0"/>
              <w:keepLines w:val="0"/>
              <w:widowControl/>
              <w:suppressLineNumbers w:val="0"/>
              <w:jc w:val="center"/>
              <w:rPr>
                <w:rFonts w:hint="default"/>
                <w:vertAlign w:val="baseline"/>
                <w:lang w:val="en-US" w:eastAsia="zh-CN"/>
              </w:rPr>
            </w:pPr>
            <w:r>
              <w:rPr>
                <w:rFonts w:hint="default"/>
                <w:vertAlign w:val="baseline"/>
                <w:lang w:val="en-US" w:eastAsia="zh-CN"/>
              </w:rPr>
              <w:drawing>
                <wp:inline distT="0" distB="0" distL="114300" distR="114300">
                  <wp:extent cx="2703195" cy="2261870"/>
                  <wp:effectExtent l="0" t="0" r="1905" b="5080"/>
                  <wp:docPr id="216" name="图片 15" descr="2aac178f71c22c58f3e429b1fb558c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15" descr="2aac178f71c22c58f3e429b1fb558c55"/>
                          <pic:cNvPicPr>
                            <a:picLocks noChangeAspect="1"/>
                          </pic:cNvPicPr>
                        </pic:nvPicPr>
                        <pic:blipFill>
                          <a:blip r:embed="rId62"/>
                          <a:stretch>
                            <a:fillRect/>
                          </a:stretch>
                        </pic:blipFill>
                        <pic:spPr>
                          <a:xfrm>
                            <a:off x="0" y="0"/>
                            <a:ext cx="2703195" cy="2261870"/>
                          </a:xfrm>
                          <a:prstGeom prst="rect">
                            <a:avLst/>
                          </a:prstGeom>
                          <a:noFill/>
                          <a:ln>
                            <a:noFill/>
                          </a:ln>
                        </pic:spPr>
                      </pic:pic>
                    </a:graphicData>
                  </a:graphic>
                </wp:inline>
              </w:drawing>
            </w:r>
          </w:p>
          <w:p w14:paraId="1299881D">
            <w:pPr>
              <w:keepNext w:val="0"/>
              <w:keepLines w:val="0"/>
              <w:widowControl/>
              <w:suppressLineNumbers w:val="0"/>
              <w:jc w:val="center"/>
              <w:rPr>
                <w:rFonts w:hint="default"/>
                <w:vertAlign w:val="baseline"/>
                <w:lang w:val="en-US" w:eastAsia="zh-CN"/>
              </w:rPr>
            </w:pPr>
            <w:r>
              <w:rPr>
                <w:rFonts w:hint="eastAsia" w:ascii="Times New Roman" w:hAnsi="Times New Roman" w:eastAsia="宋体" w:cs="Times New Roman"/>
                <w:b w:val="0"/>
                <w:bCs w:val="0"/>
                <w:color w:val="000000"/>
                <w:kern w:val="0"/>
                <w:sz w:val="21"/>
                <w:szCs w:val="21"/>
                <w:lang w:val="en-US" w:eastAsia="zh-CN" w:bidi="ar"/>
              </w:rPr>
              <w:t xml:space="preserve">西侧 </w:t>
            </w:r>
            <w:r>
              <w:rPr>
                <w:rFonts w:hint="default" w:ascii="Times New Roman" w:hAnsi="Times New Roman" w:eastAsia="宋体" w:cs="Times New Roman"/>
                <w:b w:val="0"/>
                <w:bCs w:val="0"/>
                <w:color w:val="000000"/>
                <w:kern w:val="0"/>
                <w:sz w:val="21"/>
                <w:szCs w:val="21"/>
                <w:lang w:val="en-US" w:eastAsia="zh-CN" w:bidi="ar"/>
              </w:rPr>
              <w:t>新乡市富益精密机械有限公司</w:t>
            </w:r>
          </w:p>
        </w:tc>
      </w:tr>
      <w:tr w14:paraId="2127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1" w:type="dxa"/>
            <w:noWrap w:val="0"/>
            <w:vAlign w:val="top"/>
          </w:tcPr>
          <w:p w14:paraId="6B806A45">
            <w:pPr>
              <w:keepNext w:val="0"/>
              <w:keepLines w:val="0"/>
              <w:widowControl/>
              <w:suppressLineNumbers w:val="0"/>
              <w:jc w:val="center"/>
              <w:rPr>
                <w:rFonts w:hint="default"/>
                <w:vertAlign w:val="baseline"/>
                <w:lang w:val="en-US" w:eastAsia="zh-CN"/>
              </w:rPr>
            </w:pPr>
            <w:r>
              <w:rPr>
                <w:rFonts w:hint="default"/>
                <w:vertAlign w:val="baseline"/>
                <w:lang w:val="en-US" w:eastAsia="zh-CN"/>
              </w:rPr>
              <w:drawing>
                <wp:inline distT="0" distB="0" distL="114300" distR="114300">
                  <wp:extent cx="3075305" cy="2306955"/>
                  <wp:effectExtent l="0" t="0" r="10795" b="17145"/>
                  <wp:docPr id="212" name="图片 16" descr="6bb95e4bd1509d35aa1130d22b248b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16" descr="6bb95e4bd1509d35aa1130d22b248bb4"/>
                          <pic:cNvPicPr>
                            <a:picLocks noChangeAspect="1"/>
                          </pic:cNvPicPr>
                        </pic:nvPicPr>
                        <pic:blipFill>
                          <a:blip r:embed="rId60"/>
                          <a:stretch>
                            <a:fillRect/>
                          </a:stretch>
                        </pic:blipFill>
                        <pic:spPr>
                          <a:xfrm>
                            <a:off x="0" y="0"/>
                            <a:ext cx="3075305" cy="2306955"/>
                          </a:xfrm>
                          <a:prstGeom prst="rect">
                            <a:avLst/>
                          </a:prstGeom>
                          <a:noFill/>
                          <a:ln>
                            <a:noFill/>
                          </a:ln>
                        </pic:spPr>
                      </pic:pic>
                    </a:graphicData>
                  </a:graphic>
                </wp:inline>
              </w:drawing>
            </w:r>
          </w:p>
          <w:p w14:paraId="3BAB716D">
            <w:pPr>
              <w:keepNext w:val="0"/>
              <w:keepLines w:val="0"/>
              <w:widowControl/>
              <w:suppressLineNumbers w:val="0"/>
              <w:jc w:val="center"/>
              <w:rPr>
                <w:rFonts w:hint="eastAsia"/>
                <w:vertAlign w:val="baseline"/>
                <w:lang w:val="en-US" w:eastAsia="zh-CN"/>
              </w:rPr>
            </w:pPr>
            <w:r>
              <w:rPr>
                <w:rFonts w:hint="eastAsia"/>
                <w:vertAlign w:val="baseline"/>
                <w:lang w:val="en-US" w:eastAsia="zh-CN"/>
              </w:rPr>
              <w:t>北侧  预留厂房</w:t>
            </w:r>
          </w:p>
        </w:tc>
        <w:tc>
          <w:tcPr>
            <w:tcW w:w="4659" w:type="dxa"/>
            <w:noWrap w:val="0"/>
            <w:vAlign w:val="top"/>
          </w:tcPr>
          <w:p w14:paraId="6919D70B">
            <w:pPr>
              <w:keepNext w:val="0"/>
              <w:keepLines w:val="0"/>
              <w:widowControl/>
              <w:suppressLineNumbers w:val="0"/>
              <w:jc w:val="center"/>
              <w:rPr>
                <w:rFonts w:hint="eastAsia"/>
                <w:vertAlign w:val="baseline"/>
                <w:lang w:val="en-US" w:eastAsia="zh-CN"/>
              </w:rPr>
            </w:pPr>
            <w:r>
              <w:rPr>
                <w:rFonts w:hint="eastAsia"/>
                <w:vertAlign w:val="baseline"/>
                <w:lang w:val="en-US" w:eastAsia="zh-CN"/>
              </w:rPr>
              <w:drawing>
                <wp:inline distT="0" distB="0" distL="114300" distR="114300">
                  <wp:extent cx="2767330" cy="2274570"/>
                  <wp:effectExtent l="0" t="0" r="13970" b="11430"/>
                  <wp:docPr id="219" name="图片 17" descr="8cf621fdc81f19160b531f611cde34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17" descr="8cf621fdc81f19160b531f611cde34e0"/>
                          <pic:cNvPicPr>
                            <a:picLocks noChangeAspect="1"/>
                          </pic:cNvPicPr>
                        </pic:nvPicPr>
                        <pic:blipFill>
                          <a:blip r:embed="rId63"/>
                          <a:stretch>
                            <a:fillRect/>
                          </a:stretch>
                        </pic:blipFill>
                        <pic:spPr>
                          <a:xfrm>
                            <a:off x="0" y="0"/>
                            <a:ext cx="2767330" cy="2274570"/>
                          </a:xfrm>
                          <a:prstGeom prst="rect">
                            <a:avLst/>
                          </a:prstGeom>
                          <a:noFill/>
                          <a:ln>
                            <a:noFill/>
                          </a:ln>
                        </pic:spPr>
                      </pic:pic>
                    </a:graphicData>
                  </a:graphic>
                </wp:inline>
              </w:drawing>
            </w:r>
          </w:p>
          <w:p w14:paraId="2B4CDAA8">
            <w:pPr>
              <w:keepNext w:val="0"/>
              <w:keepLines w:val="0"/>
              <w:widowControl/>
              <w:suppressLineNumbers w:val="0"/>
              <w:jc w:val="center"/>
              <w:rPr>
                <w:rFonts w:hint="default"/>
                <w:vertAlign w:val="baseline"/>
                <w:lang w:val="en-US" w:eastAsia="zh-CN"/>
              </w:rPr>
            </w:pPr>
            <w:r>
              <w:rPr>
                <w:rFonts w:hint="eastAsia"/>
                <w:vertAlign w:val="baseline"/>
                <w:lang w:val="en-US" w:eastAsia="zh-CN"/>
              </w:rPr>
              <w:t>本项目厂房</w:t>
            </w:r>
          </w:p>
        </w:tc>
      </w:tr>
    </w:tbl>
    <w:p w14:paraId="341178DC">
      <w:pPr>
        <w:keepNext w:val="0"/>
        <w:keepLines w:val="0"/>
        <w:widowControl/>
        <w:suppressLineNumbers w:val="0"/>
        <w:jc w:val="center"/>
        <w:rPr>
          <w:rFonts w:hint="default"/>
          <w:lang w:val="en-US" w:eastAsia="zh-CN"/>
        </w:rPr>
      </w:pPr>
      <w:r>
        <w:rPr>
          <w:rFonts w:hint="default" w:ascii="Times New Roman" w:hAnsi="Times New Roman" w:eastAsia="宋体" w:cs="Times New Roman"/>
          <w:b/>
          <w:bCs/>
          <w:sz w:val="24"/>
          <w:szCs w:val="24"/>
          <w:lang w:val="en-US" w:eastAsia="zh-CN"/>
        </w:rPr>
        <w:t>附图</w:t>
      </w:r>
      <w:r>
        <w:rPr>
          <w:rFonts w:hint="eastAsia" w:ascii="Times New Roman" w:hAnsi="Times New Roman" w:eastAsia="宋体" w:cs="Times New Roman"/>
          <w:b/>
          <w:bCs/>
          <w:sz w:val="24"/>
          <w:szCs w:val="24"/>
          <w:lang w:val="en-US" w:eastAsia="zh-CN"/>
        </w:rPr>
        <w:t>7</w:t>
      </w:r>
      <w:r>
        <w:rPr>
          <w:rFonts w:hint="default" w:ascii="Times New Roman" w:hAnsi="Times New Roman" w:eastAsia="宋体" w:cs="Times New Roman"/>
          <w:b/>
          <w:bCs/>
          <w:sz w:val="24"/>
          <w:szCs w:val="24"/>
          <w:lang w:val="en-US" w:eastAsia="zh-CN"/>
        </w:rPr>
        <w:t xml:space="preserve">  </w:t>
      </w:r>
      <w:r>
        <w:rPr>
          <w:rFonts w:hint="eastAsia" w:ascii="Times New Roman" w:hAnsi="Times New Roman" w:eastAsia="宋体" w:cs="Times New Roman"/>
          <w:b/>
          <w:bCs/>
          <w:sz w:val="24"/>
          <w:szCs w:val="24"/>
          <w:lang w:val="en-US" w:eastAsia="zh-CN"/>
        </w:rPr>
        <w:t>现场照片</w:t>
      </w:r>
    </w:p>
    <w:p w14:paraId="41FFB47F">
      <w:pPr>
        <w:rPr>
          <w:u w:val="none" w:color="auto"/>
        </w:rPr>
        <w:sectPr>
          <w:pgSz w:w="11906" w:h="16838"/>
          <w:pgMar w:top="1440" w:right="1440" w:bottom="1440"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27236791">
      <w:pPr>
        <w:spacing w:line="360" w:lineRule="auto"/>
        <w:jc w:val="left"/>
        <w:rPr>
          <w:rFonts w:hint="eastAsia" w:ascii="Times New Roman" w:hAnsi="Times New Roman"/>
          <w:b/>
          <w:sz w:val="52"/>
          <w:szCs w:val="28"/>
        </w:rPr>
      </w:pPr>
      <w:r>
        <w:rPr>
          <w:rFonts w:hint="eastAsia"/>
          <w:b/>
          <w:sz w:val="28"/>
          <w:szCs w:val="28"/>
          <w:lang w:val="en-US" w:eastAsia="zh-CN"/>
        </w:rPr>
        <w:t>附件一</w:t>
      </w:r>
      <w:r>
        <w:rPr>
          <w:rFonts w:hint="eastAsia" w:ascii="Times New Roman" w:hAnsi="Times New Roman"/>
          <w:b/>
          <w:sz w:val="52"/>
          <w:szCs w:val="28"/>
        </w:rPr>
        <w:drawing>
          <wp:inline distT="0" distB="0" distL="114300" distR="114300">
            <wp:extent cx="5711825" cy="8074025"/>
            <wp:effectExtent l="0" t="0" r="3175" b="3175"/>
            <wp:docPr id="225" name="图片 225" descr="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descr="1_05"/>
                    <pic:cNvPicPr>
                      <a:picLocks noChangeAspect="1"/>
                    </pic:cNvPicPr>
                  </pic:nvPicPr>
                  <pic:blipFill>
                    <a:blip r:embed="rId64"/>
                    <a:stretch>
                      <a:fillRect/>
                    </a:stretch>
                  </pic:blipFill>
                  <pic:spPr>
                    <a:xfrm>
                      <a:off x="0" y="0"/>
                      <a:ext cx="5711825" cy="8074025"/>
                    </a:xfrm>
                    <a:prstGeom prst="rect">
                      <a:avLst/>
                    </a:prstGeom>
                  </pic:spPr>
                </pic:pic>
              </a:graphicData>
            </a:graphic>
          </wp:inline>
        </w:drawing>
      </w:r>
    </w:p>
    <w:p w14:paraId="0E0FA870">
      <w:pPr>
        <w:spacing w:line="360" w:lineRule="auto"/>
        <w:jc w:val="both"/>
        <w:rPr>
          <w:rFonts w:hint="eastAsia"/>
          <w:b/>
          <w:sz w:val="28"/>
          <w:szCs w:val="28"/>
          <w:lang w:val="en-US" w:eastAsia="zh-CN"/>
        </w:rPr>
      </w:pPr>
    </w:p>
    <w:p w14:paraId="3D3D2479">
      <w:pPr>
        <w:spacing w:line="360" w:lineRule="auto"/>
        <w:jc w:val="both"/>
        <w:rPr>
          <w:rFonts w:hint="default" w:ascii="Times New Roman" w:hAnsi="Times New Roman" w:eastAsia="宋体"/>
          <w:b/>
          <w:sz w:val="28"/>
          <w:szCs w:val="28"/>
          <w:lang w:val="en-US" w:eastAsia="zh-CN"/>
        </w:rPr>
      </w:pPr>
      <w:r>
        <w:rPr>
          <w:rFonts w:hint="eastAsia"/>
          <w:b/>
          <w:sz w:val="28"/>
          <w:szCs w:val="28"/>
          <w:lang w:val="en-US" w:eastAsia="zh-CN"/>
        </w:rPr>
        <w:t>附件二</w:t>
      </w:r>
    </w:p>
    <w:p w14:paraId="28A88C46">
      <w:pPr>
        <w:rPr>
          <w:rFonts w:hint="eastAsia" w:eastAsia="宋体"/>
          <w:lang w:eastAsia="zh-CN"/>
        </w:rPr>
        <w:sectPr>
          <w:footerReference r:id="rId18" w:type="default"/>
          <w:pgSz w:w="11906" w:h="16838"/>
          <w:pgMar w:top="1440" w:right="1440" w:bottom="1440"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eastAsia" w:eastAsia="宋体"/>
          <w:lang w:eastAsia="zh-CN"/>
        </w:rPr>
        <w:drawing>
          <wp:inline distT="0" distB="0" distL="114300" distR="114300">
            <wp:extent cx="5711825" cy="8084820"/>
            <wp:effectExtent l="0" t="0" r="3175" b="11430"/>
            <wp:docPr id="224" name="图片 224" descr="年产6亿支锂离子电池技改项目备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年产6亿支锂离子电池技改项目备案_01"/>
                    <pic:cNvPicPr>
                      <a:picLocks noChangeAspect="1"/>
                    </pic:cNvPicPr>
                  </pic:nvPicPr>
                  <pic:blipFill>
                    <a:blip r:embed="rId65"/>
                    <a:stretch>
                      <a:fillRect/>
                    </a:stretch>
                  </pic:blipFill>
                  <pic:spPr>
                    <a:xfrm>
                      <a:off x="0" y="0"/>
                      <a:ext cx="5711825" cy="8084820"/>
                    </a:xfrm>
                    <a:prstGeom prst="rect">
                      <a:avLst/>
                    </a:prstGeom>
                  </pic:spPr>
                </pic:pic>
              </a:graphicData>
            </a:graphic>
          </wp:inline>
        </w:drawing>
      </w:r>
    </w:p>
    <w:p w14:paraId="6FD8DE38">
      <w:pPr>
        <w:spacing w:line="360" w:lineRule="auto"/>
        <w:jc w:val="both"/>
        <w:rPr>
          <w:rFonts w:hint="eastAsia"/>
          <w:b/>
          <w:sz w:val="28"/>
          <w:szCs w:val="28"/>
          <w:lang w:val="en-US" w:eastAsia="zh-CN"/>
        </w:rPr>
      </w:pPr>
      <w:r>
        <w:rPr>
          <w:rFonts w:hint="eastAsia"/>
          <w:b/>
          <w:sz w:val="28"/>
          <w:szCs w:val="28"/>
          <w:lang w:val="en-US" w:eastAsia="zh-CN"/>
        </w:rPr>
        <w:t>附件三</w:t>
      </w:r>
    </w:p>
    <w:p w14:paraId="2A77AE91">
      <w:pPr>
        <w:spacing w:beforeLines="0" w:afterLines="0"/>
        <w:jc w:val="right"/>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eastAsia="zh-CN"/>
        </w:rPr>
        <w:drawing>
          <wp:inline distT="0" distB="0" distL="114300" distR="114300">
            <wp:extent cx="5711825" cy="8074025"/>
            <wp:effectExtent l="0" t="0" r="3175" b="3175"/>
            <wp:docPr id="226" name="图片 226" descr="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descr="1_04"/>
                    <pic:cNvPicPr>
                      <a:picLocks noChangeAspect="1"/>
                    </pic:cNvPicPr>
                  </pic:nvPicPr>
                  <pic:blipFill>
                    <a:blip r:embed="rId66"/>
                    <a:stretch>
                      <a:fillRect/>
                    </a:stretch>
                  </pic:blipFill>
                  <pic:spPr>
                    <a:xfrm>
                      <a:off x="0" y="0"/>
                      <a:ext cx="5711825" cy="8074025"/>
                    </a:xfrm>
                    <a:prstGeom prst="rect">
                      <a:avLst/>
                    </a:prstGeom>
                  </pic:spPr>
                </pic:pic>
              </a:graphicData>
            </a:graphic>
          </wp:inline>
        </w:drawing>
      </w:r>
    </w:p>
    <w:p w14:paraId="7130AF09">
      <w:pPr>
        <w:rPr>
          <w:u w:val="none" w:color="auto"/>
        </w:rPr>
      </w:pPr>
    </w:p>
    <w:sectPr>
      <w:pgSz w:w="11906" w:h="16838"/>
      <w:pgMar w:top="1440" w:right="1440" w:bottom="1440"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4D007C5-2A5A-41B8-A4AA-85C0B86F57A7}"/>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6CEF87F-334E-4E9E-9D8B-019B195948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8FF37F98-10C8-40CA-89E1-8466CA335E26}"/>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大标宋简体">
    <w:altName w:val="宋体"/>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4" w:fontKey="{93102CD6-F5E2-4322-8BE4-EC4AE37FAEB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10" w:usb3="00000000" w:csb0="00040001" w:csb1="00000000"/>
    <w:embedRegular r:id="rId5" w:fontKey="{249C2543-BE9B-44BA-B3E2-D0759D9FD0AC}"/>
  </w:font>
  <w:font w:name="Wingdings 2">
    <w:panose1 w:val="05020102010507070707"/>
    <w:charset w:val="02"/>
    <w:family w:val="auto"/>
    <w:pitch w:val="default"/>
    <w:sig w:usb0="00000000" w:usb1="00000000" w:usb2="00000000" w:usb3="00000000" w:csb0="80000000" w:csb1="00000000"/>
    <w:embedRegular r:id="rId6" w:fontKey="{98B9157E-DF73-4263-B9D4-C4B1F2D37497}"/>
  </w:font>
  <w:font w:name="Times New Roman PS MT">
    <w:altName w:val="Times"/>
    <w:panose1 w:val="00000000000000000000"/>
    <w:charset w:val="00"/>
    <w:family w:val="auto"/>
    <w:pitch w:val="default"/>
    <w:sig w:usb0="00000000" w:usb1="00000000" w:usb2="00000000" w:usb3="00000000" w:csb0="00000000" w:csb1="00000000"/>
    <w:embedRegular r:id="rId7" w:fontKey="{A039AF32-3276-49E8-A6F9-42AAAF448B25}"/>
  </w:font>
  <w:font w:name="Times">
    <w:altName w:val="CG Times"/>
    <w:panose1 w:val="00000000000000000000"/>
    <w:charset w:val="00"/>
    <w:family w:val="auto"/>
    <w:pitch w:val="default"/>
    <w:sig w:usb0="00000000" w:usb1="00000000" w:usb2="00000000" w:usb3="00000000" w:csb0="00000000" w:csb1="00000000"/>
  </w:font>
  <w:font w:name="CG Times">
    <w:panose1 w:val="02020603050405020304"/>
    <w:charset w:val="00"/>
    <w:family w:val="auto"/>
    <w:pitch w:val="default"/>
    <w:sig w:usb0="00000007" w:usb1="00000000" w:usb2="00000000" w:usb3="00000000" w:csb0="00000093" w:csb1="00000000"/>
  </w:font>
  <w:font w:name="Cambria Math">
    <w:panose1 w:val="02040503050406030204"/>
    <w:charset w:val="00"/>
    <w:family w:val="roman"/>
    <w:pitch w:val="default"/>
    <w:sig w:usb0="E00006FF" w:usb1="420024FF" w:usb2="02000000" w:usb3="00000000" w:csb0="2000019F" w:csb1="00000000"/>
    <w:embedRegular r:id="rId8" w:fontKey="{03E07AF6-594C-4BBD-BC64-33AF9E8D3FF4}"/>
  </w:font>
  <w:font w:name="方正小标宋_GBK">
    <w:panose1 w:val="02000000000000000000"/>
    <w:charset w:val="86"/>
    <w:family w:val="script"/>
    <w:pitch w:val="default"/>
    <w:sig w:usb0="A00002BF" w:usb1="38CF7CFA" w:usb2="00082016" w:usb3="00000000" w:csb0="00040001" w:csb1="00000000"/>
    <w:embedRegular r:id="rId9" w:fontKey="{0FB8FA61-3EEE-480C-9A43-A0F4A5296A10}"/>
  </w:font>
  <w:font w:name="隶书">
    <w:panose1 w:val="02010509060101010101"/>
    <w:charset w:val="86"/>
    <w:family w:val="auto"/>
    <w:pitch w:val="default"/>
    <w:sig w:usb0="00000001" w:usb1="080E0000" w:usb2="00000000" w:usb3="00000000" w:csb0="00040000" w:csb1="00000000"/>
    <w:embedRegular r:id="rId10" w:fontKey="{19F1AA81-D8F9-403C-82B3-C1E3AE05E824}"/>
  </w:font>
  <w:font w:name="Segoe UI Emoji">
    <w:panose1 w:val="020B0502040204020203"/>
    <w:charset w:val="00"/>
    <w:family w:val="auto"/>
    <w:pitch w:val="default"/>
    <w:sig w:usb0="00000001" w:usb1="02000000" w:usb2="00000000" w:usb3="00000000" w:csb0="00000001" w:csb1="00000000"/>
    <w:embedRegular r:id="rId11" w:fontKey="{B50C3789-3DB8-42B0-809B-274C8644241E}"/>
  </w:font>
  <w:font w:name="方正公文仿宋">
    <w:panose1 w:val="02000500000000000000"/>
    <w:charset w:val="86"/>
    <w:family w:val="auto"/>
    <w:pitch w:val="default"/>
    <w:sig w:usb0="A00002BF" w:usb1="38CF7CFA" w:usb2="00000016" w:usb3="00000000" w:csb0="00040001" w:csb1="00000000"/>
    <w:embedRegular r:id="rId12" w:fontKey="{A9682E89-2980-4D02-AD1A-197F4794349E}"/>
  </w:font>
  <w:font w:name="MS Gothic">
    <w:panose1 w:val="020B0609070205080204"/>
    <w:charset w:val="86"/>
    <w:family w:val="auto"/>
    <w:pitch w:val="default"/>
    <w:sig w:usb0="E00002FF" w:usb1="6AC7FDFB" w:usb2="08000012" w:usb3="00000000" w:csb0="4002009F" w:csb1="DFD70000"/>
    <w:embedRegular r:id="rId13" w:fontKey="{CB3442B9-3DF9-4AA7-9BB5-5C60CCB500C3}"/>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202A1">
    <w:pPr>
      <w:pStyle w:val="2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E7E51">
    <w:pPr>
      <w:tabs>
        <w:tab w:val="center" w:pos="6619"/>
        <w:tab w:val="right" w:pos="8306"/>
      </w:tabs>
      <w:spacing w:line="460" w:lineRule="exact"/>
      <w:ind w:firstLine="480" w:firstLineChars="200"/>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2BF88">
    <w:pPr>
      <w:tabs>
        <w:tab w:val="center" w:pos="6619"/>
        <w:tab w:val="right" w:pos="8306"/>
      </w:tabs>
      <w:spacing w:line="460" w:lineRule="exact"/>
      <w:ind w:firstLine="480" w:firstLineChars="200"/>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ab/>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E0AEB">
    <w:pPr>
      <w:tabs>
        <w:tab w:val="center" w:pos="6619"/>
        <w:tab w:val="right" w:pos="8306"/>
      </w:tabs>
    </w:pPr>
    <w:r>
      <w:rPr>
        <w:rFonts w:hint="eastAsia"/>
        <w:lang w:eastAsia="zh-CN"/>
      </w:rP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E4FF3">
    <w:pPr>
      <w:pStyle w:val="2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361A8">
    <w:pPr>
      <w:pStyle w:val="2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A8B90">
    <w:pPr>
      <w:pStyle w:val="21"/>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6950B">
    <w:pPr>
      <w:pStyle w:val="2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3145B">
    <w:pPr>
      <w:pStyle w:val="21"/>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A148F">
    <w:pPr>
      <w:pStyle w:val="21"/>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A12D7">
    <w:pPr>
      <w:pStyle w:val="21"/>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20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4DA7A4">
                          <w:pPr>
                            <w:pStyle w:val="21"/>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wps:txbx>
                    <wps:bodyPr vert="horz" wrap="none" lIns="0" tIns="0" rIns="0" bIns="0" anchor="t" anchorCtr="0" upright="0">
                      <a:spAutoFit/>
                    </wps:bodyPr>
                  </wps:wsp>
                </a:graphicData>
              </a:graphic>
            </wp:anchor>
          </w:drawing>
        </mc:Choice>
        <mc:Fallback>
          <w:pict>
            <v:shape id="文本框 205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riqYh4QEAAMIDAAAOAAAA&#10;AAAAAAEAIAAAAB4BAABkcnMvZTJvRG9jLnhtbFBLBQYAAAAABgAGAFkBAABxBQAAAAA=&#10;">
              <v:fill on="f" focussize="0,0"/>
              <v:stroke on="f"/>
              <v:imagedata o:title=""/>
              <o:lock v:ext="edit" aspectratio="f"/>
              <v:textbox inset="0mm,0mm,0mm,0mm" style="mso-fit-shape-to-text:t;">
                <w:txbxContent>
                  <w:p w14:paraId="444DA7A4">
                    <w:pPr>
                      <w:pStyle w:val="21"/>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79AF4">
    <w:pPr>
      <w:pStyle w:val="21"/>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C120E0">
                          <w:pPr>
                            <w:pStyle w:val="21"/>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- 24 -</w:t>
                          </w:r>
                          <w:r>
                            <w:rPr>
                              <w:sz w:val="21"/>
                              <w:szCs w:val="21"/>
                            </w:rPr>
                            <w:fldChar w:fldCharType="end"/>
                          </w:r>
                        </w:p>
                      </w:txbxContent>
                    </wps:txbx>
                    <wps:bodyPr vert="horz" wrap="none" lIns="0" tIns="0" rIns="0" bIns="0" anchor="t" anchorCtr="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u80NeeIBAADDAwAADgAA&#10;AAAAAAABACAAAAAeAQAAZHJzL2Uyb0RvYy54bWxQSwUGAAAAAAYABgBZAQAAcgUAAAAA&#10;">
              <v:fill on="f" focussize="0,0"/>
              <v:stroke on="f"/>
              <v:imagedata o:title=""/>
              <o:lock v:ext="edit" aspectratio="f"/>
              <v:textbox inset="0mm,0mm,0mm,0mm" style="mso-fit-shape-to-text:t;">
                <w:txbxContent>
                  <w:p w14:paraId="7FC120E0">
                    <w:pPr>
                      <w:pStyle w:val="21"/>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- 24 -</w:t>
                    </w:r>
                    <w:r>
                      <w:rPr>
                        <w:sz w:val="21"/>
                        <w:szCs w:val="21"/>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142D4">
    <w:pPr>
      <w:pStyle w:val="21"/>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4F319">
    <w:pPr>
      <w:pStyle w:val="2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9F19D">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360" w:firstLineChars="200"/>
      <w:jc w:val="center"/>
      <w:outlineLvl w:val="9"/>
      <w:rPr>
        <w:rFonts w:ascii="Times New Roman" w:hAnsi="Times New Roman" w:eastAsia="宋体" w:cs="Times New Roman"/>
        <w:color w:val="000000"/>
        <w:kern w:val="2"/>
        <w:sz w:val="18"/>
        <w:szCs w:val="24"/>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9CF0A">
    <w:pPr>
      <w:pStyle w:val="22"/>
      <w:pBdr>
        <w:bottom w:val="none" w:color="auto" w:sz="0" w:space="1"/>
      </w:pBd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E6F212"/>
    <w:multiLevelType w:val="multilevel"/>
    <w:tmpl w:val="8BE6F212"/>
    <w:lvl w:ilvl="0" w:tentative="0">
      <w:start w:val="1"/>
      <w:numFmt w:val="decimal"/>
      <w:pStyle w:val="123"/>
      <w:suff w:val="nothing"/>
      <w:lvlText w:val="%1、"/>
      <w:lvlJc w:val="left"/>
      <w:pPr>
        <w:tabs>
          <w:tab w:val="left" w:pos="0"/>
        </w:tabs>
        <w:ind w:left="0" w:firstLine="0"/>
      </w:pPr>
      <w:rPr>
        <w:rFonts w:hint="default"/>
      </w:rPr>
    </w:lvl>
    <w:lvl w:ilvl="1" w:tentative="0">
      <w:start w:val="1"/>
      <w:numFmt w:val="decimal"/>
      <w:pStyle w:val="129"/>
      <w:suff w:val="space"/>
      <w:lvlText w:val="%1.%2"/>
      <w:lvlJc w:val="left"/>
      <w:pPr>
        <w:tabs>
          <w:tab w:val="left" w:pos="420"/>
        </w:tabs>
        <w:ind w:left="0" w:firstLine="0"/>
      </w:pPr>
      <w:rPr>
        <w:rFonts w:hint="default"/>
      </w:rPr>
    </w:lvl>
    <w:lvl w:ilvl="2" w:tentative="0">
      <w:start w:val="1"/>
      <w:numFmt w:val="decimal"/>
      <w:pStyle w:val="128"/>
      <w:suff w:val="space"/>
      <w:lvlText w:val="%1.%2.%3"/>
      <w:lvlJc w:val="left"/>
      <w:pPr>
        <w:tabs>
          <w:tab w:val="left" w:pos="420"/>
        </w:tabs>
        <w:ind w:left="0" w:firstLine="0"/>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A253D6D8"/>
    <w:multiLevelType w:val="singleLevel"/>
    <w:tmpl w:val="A253D6D8"/>
    <w:lvl w:ilvl="0" w:tentative="0">
      <w:start w:val="2"/>
      <w:numFmt w:val="chineseCounting"/>
      <w:suff w:val="nothing"/>
      <w:lvlText w:val="（%1）"/>
      <w:lvlJc w:val="left"/>
      <w:rPr>
        <w:rFonts w:hint="eastAsia"/>
      </w:rPr>
    </w:lvl>
  </w:abstractNum>
  <w:abstractNum w:abstractNumId="2">
    <w:nsid w:val="A4C4133A"/>
    <w:multiLevelType w:val="singleLevel"/>
    <w:tmpl w:val="A4C4133A"/>
    <w:lvl w:ilvl="0" w:tentative="0">
      <w:start w:val="1"/>
      <w:numFmt w:val="decimal"/>
      <w:suff w:val="nothing"/>
      <w:lvlText w:val="（%1）"/>
      <w:lvlJc w:val="left"/>
    </w:lvl>
  </w:abstractNum>
  <w:abstractNum w:abstractNumId="3">
    <w:nsid w:val="AA03A336"/>
    <w:multiLevelType w:val="singleLevel"/>
    <w:tmpl w:val="AA03A336"/>
    <w:lvl w:ilvl="0" w:tentative="0">
      <w:start w:val="1"/>
      <w:numFmt w:val="decimal"/>
      <w:suff w:val="nothing"/>
      <w:lvlText w:val="%1、"/>
      <w:lvlJc w:val="left"/>
    </w:lvl>
  </w:abstractNum>
  <w:abstractNum w:abstractNumId="4">
    <w:nsid w:val="B79FBECA"/>
    <w:multiLevelType w:val="singleLevel"/>
    <w:tmpl w:val="B79FBECA"/>
    <w:lvl w:ilvl="0" w:tentative="0">
      <w:start w:val="8"/>
      <w:numFmt w:val="decimal"/>
      <w:suff w:val="nothing"/>
      <w:lvlText w:val="（%1）"/>
      <w:lvlJc w:val="left"/>
    </w:lvl>
  </w:abstractNum>
  <w:abstractNum w:abstractNumId="5">
    <w:nsid w:val="C099CCBA"/>
    <w:multiLevelType w:val="singleLevel"/>
    <w:tmpl w:val="C099CCBA"/>
    <w:lvl w:ilvl="0" w:tentative="0">
      <w:start w:val="1"/>
      <w:numFmt w:val="chineseCounting"/>
      <w:suff w:val="space"/>
      <w:lvlText w:val="第%1条"/>
      <w:lvlJc w:val="left"/>
      <w:rPr>
        <w:rFonts w:hint="eastAsia"/>
      </w:rPr>
    </w:lvl>
  </w:abstractNum>
  <w:abstractNum w:abstractNumId="6">
    <w:nsid w:val="C7C9242D"/>
    <w:multiLevelType w:val="multilevel"/>
    <w:tmpl w:val="C7C9242D"/>
    <w:lvl w:ilvl="0" w:tentative="0">
      <w:start w:val="1"/>
      <w:numFmt w:val="decimal"/>
      <w:pStyle w:val="124"/>
      <w:suff w:val="nothing"/>
      <w:lvlText w:val="表%1"/>
      <w:lvlJc w:val="left"/>
      <w:pPr>
        <w:tabs>
          <w:tab w:val="left" w:pos="420"/>
        </w:tabs>
        <w:ind w:left="0" w:firstLine="476"/>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D07B884F"/>
    <w:multiLevelType w:val="singleLevel"/>
    <w:tmpl w:val="D07B884F"/>
    <w:lvl w:ilvl="0" w:tentative="0">
      <w:start w:val="1"/>
      <w:numFmt w:val="decimal"/>
      <w:suff w:val="nothing"/>
      <w:lvlText w:val="%1、"/>
      <w:lvlJc w:val="left"/>
      <w:pPr>
        <w:ind w:left="480" w:firstLine="0"/>
      </w:pPr>
    </w:lvl>
  </w:abstractNum>
  <w:abstractNum w:abstractNumId="8">
    <w:nsid w:val="DB0DD73F"/>
    <w:multiLevelType w:val="singleLevel"/>
    <w:tmpl w:val="DB0DD73F"/>
    <w:lvl w:ilvl="0" w:tentative="0">
      <w:start w:val="2"/>
      <w:numFmt w:val="decimal"/>
      <w:suff w:val="nothing"/>
      <w:lvlText w:val="（%1）"/>
      <w:lvlJc w:val="left"/>
    </w:lvl>
  </w:abstractNum>
  <w:abstractNum w:abstractNumId="9">
    <w:nsid w:val="E121F83F"/>
    <w:multiLevelType w:val="singleLevel"/>
    <w:tmpl w:val="E121F83F"/>
    <w:lvl w:ilvl="0" w:tentative="0">
      <w:start w:val="1"/>
      <w:numFmt w:val="decimal"/>
      <w:suff w:val="nothing"/>
      <w:lvlText w:val="%1、"/>
      <w:lvlJc w:val="left"/>
    </w:lvl>
  </w:abstractNum>
  <w:abstractNum w:abstractNumId="10">
    <w:nsid w:val="E4432FC8"/>
    <w:multiLevelType w:val="singleLevel"/>
    <w:tmpl w:val="E4432FC8"/>
    <w:lvl w:ilvl="0" w:tentative="0">
      <w:start w:val="2"/>
      <w:numFmt w:val="chineseCounting"/>
      <w:suff w:val="nothing"/>
      <w:lvlText w:val="%1、"/>
      <w:lvlJc w:val="left"/>
      <w:pPr>
        <w:ind w:left="172"/>
      </w:pPr>
      <w:rPr>
        <w:rFonts w:hint="eastAsia"/>
      </w:rPr>
    </w:lvl>
  </w:abstractNum>
  <w:abstractNum w:abstractNumId="11">
    <w:nsid w:val="E7C283D0"/>
    <w:multiLevelType w:val="singleLevel"/>
    <w:tmpl w:val="E7C283D0"/>
    <w:lvl w:ilvl="0" w:tentative="0">
      <w:start w:val="1"/>
      <w:numFmt w:val="decimal"/>
      <w:suff w:val="nothing"/>
      <w:lvlText w:val="%1、"/>
      <w:lvlJc w:val="left"/>
    </w:lvl>
  </w:abstractNum>
  <w:abstractNum w:abstractNumId="12">
    <w:nsid w:val="ECD71CEF"/>
    <w:multiLevelType w:val="singleLevel"/>
    <w:tmpl w:val="ECD71CEF"/>
    <w:lvl w:ilvl="0" w:tentative="0">
      <w:start w:val="1"/>
      <w:numFmt w:val="decimal"/>
      <w:suff w:val="nothing"/>
      <w:lvlText w:val="%1、"/>
      <w:lvlJc w:val="left"/>
    </w:lvl>
  </w:abstractNum>
  <w:abstractNum w:abstractNumId="13">
    <w:nsid w:val="FFCF9ECF"/>
    <w:multiLevelType w:val="singleLevel"/>
    <w:tmpl w:val="FFCF9ECF"/>
    <w:lvl w:ilvl="0" w:tentative="0">
      <w:start w:val="1"/>
      <w:numFmt w:val="decimal"/>
      <w:suff w:val="nothing"/>
      <w:lvlText w:val="%1、"/>
      <w:lvlJc w:val="left"/>
    </w:lvl>
  </w:abstractNum>
  <w:abstractNum w:abstractNumId="14">
    <w:nsid w:val="0082AC23"/>
    <w:multiLevelType w:val="singleLevel"/>
    <w:tmpl w:val="0082AC23"/>
    <w:lvl w:ilvl="0" w:tentative="0">
      <w:start w:val="4"/>
      <w:numFmt w:val="decimal"/>
      <w:suff w:val="nothing"/>
      <w:lvlText w:val="%1、"/>
      <w:lvlJc w:val="left"/>
    </w:lvl>
  </w:abstractNum>
  <w:abstractNum w:abstractNumId="15">
    <w:nsid w:val="15F73059"/>
    <w:multiLevelType w:val="singleLevel"/>
    <w:tmpl w:val="15F73059"/>
    <w:lvl w:ilvl="0" w:tentative="0">
      <w:start w:val="1"/>
      <w:numFmt w:val="decimal"/>
      <w:suff w:val="nothing"/>
      <w:lvlText w:val="%1、"/>
      <w:lvlJc w:val="left"/>
    </w:lvl>
  </w:abstractNum>
  <w:abstractNum w:abstractNumId="16">
    <w:nsid w:val="205A4F56"/>
    <w:multiLevelType w:val="multilevel"/>
    <w:tmpl w:val="205A4F56"/>
    <w:lvl w:ilvl="0" w:tentative="0">
      <w:start w:val="1"/>
      <w:numFmt w:val="decimal"/>
      <w:suff w:val="space"/>
      <w:lvlText w:val="%1"/>
      <w:lvlJc w:val="left"/>
      <w:pPr>
        <w:ind w:left="0" w:firstLine="0"/>
      </w:pPr>
      <w:rPr>
        <w:rFonts w:hint="default" w:ascii="Times New Roman" w:hAnsi="Times New Roman"/>
        <w:b/>
        <w:i w:val="0"/>
        <w:sz w:val="32"/>
        <w:szCs w:val="32"/>
      </w:rPr>
    </w:lvl>
    <w:lvl w:ilvl="1" w:tentative="0">
      <w:start w:val="2"/>
      <w:numFmt w:val="decimal"/>
      <w:suff w:val="space"/>
      <w:lvlText w:val="%1.%2"/>
      <w:lvlJc w:val="left"/>
      <w:pPr>
        <w:ind w:left="0" w:firstLine="0"/>
      </w:pPr>
      <w:rPr>
        <w:rFonts w:hint="eastAsia" w:ascii="Times New Roman" w:hAnsi="Times New Roman" w:cs="Times New Roman"/>
        <w:b/>
        <w:bCs w:val="0"/>
        <w:i w:val="0"/>
        <w:iCs w:val="0"/>
        <w:caps w:val="0"/>
        <w:smallCaps w:val="0"/>
        <w:strike w:val="0"/>
        <w:dstrike w:val="0"/>
        <w:outline w:val="0"/>
        <w:shadow w:val="0"/>
        <w:emboss w:val="0"/>
        <w:imprint w:val="0"/>
        <w:snapToGrid w:val="0"/>
        <w:vanish w:val="0"/>
        <w:spacing w:val="0"/>
        <w:kern w:val="0"/>
        <w:position w:val="0"/>
        <w:sz w:val="24"/>
        <w:szCs w:val="24"/>
        <w:u w:val="none"/>
        <w:vertAlign w:val="baseline"/>
      </w:rPr>
    </w:lvl>
    <w:lvl w:ilvl="2" w:tentative="0">
      <w:start w:val="1"/>
      <w:numFmt w:val="decimal"/>
      <w:suff w:val="space"/>
      <w:lvlText w:val="%1.%2.%3"/>
      <w:lvlJc w:val="left"/>
      <w:pPr>
        <w:ind w:left="120" w:firstLine="0"/>
      </w:pPr>
      <w:rPr>
        <w:rFonts w:hint="default" w:ascii="Times New Roman" w:hAnsi="Times New Roman" w:eastAsia="宋体"/>
        <w:b w:val="0"/>
        <w:i w:val="0"/>
        <w:caps w:val="0"/>
        <w:strike w:val="0"/>
        <w:dstrike w:val="0"/>
        <w:outline w:val="0"/>
        <w:shadow w:val="0"/>
        <w:emboss w:val="0"/>
        <w:imprint w:val="0"/>
        <w:snapToGrid w:val="0"/>
        <w:vanish w:val="0"/>
        <w:color w:val="auto"/>
        <w:kern w:val="0"/>
        <w:sz w:val="24"/>
        <w:szCs w:val="24"/>
        <w:u w:val="none"/>
        <w:vertAlign w:val="baseline"/>
      </w:rPr>
    </w:lvl>
    <w:lvl w:ilvl="3" w:tentative="0">
      <w:start w:val="1"/>
      <w:numFmt w:val="decimal"/>
      <w:pStyle w:val="8"/>
      <w:lvlText w:val="%1.%2.%3.%4"/>
      <w:lvlJc w:val="left"/>
      <w:pPr>
        <w:tabs>
          <w:tab w:val="left" w:pos="851"/>
        </w:tabs>
        <w:ind w:left="851" w:hanging="851"/>
      </w:pPr>
      <w:rPr>
        <w:rFonts w:hint="default" w:ascii="Times New Roman" w:hAnsi="Times New Roman"/>
        <w:b w:val="0"/>
        <w:i w:val="0"/>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7">
    <w:nsid w:val="215D93B7"/>
    <w:multiLevelType w:val="singleLevel"/>
    <w:tmpl w:val="215D93B7"/>
    <w:lvl w:ilvl="0" w:tentative="0">
      <w:start w:val="2"/>
      <w:numFmt w:val="decimal"/>
      <w:suff w:val="space"/>
      <w:lvlText w:val="%1."/>
      <w:lvlJc w:val="left"/>
    </w:lvl>
  </w:abstractNum>
  <w:abstractNum w:abstractNumId="18">
    <w:nsid w:val="224EA307"/>
    <w:multiLevelType w:val="singleLevel"/>
    <w:tmpl w:val="224EA307"/>
    <w:lvl w:ilvl="0" w:tentative="0">
      <w:start w:val="1"/>
      <w:numFmt w:val="chineseCounting"/>
      <w:suff w:val="nothing"/>
      <w:lvlText w:val="%1、"/>
      <w:lvlJc w:val="left"/>
      <w:rPr>
        <w:rFonts w:hint="eastAsia"/>
      </w:rPr>
    </w:lvl>
  </w:abstractNum>
  <w:abstractNum w:abstractNumId="19">
    <w:nsid w:val="38EB600B"/>
    <w:multiLevelType w:val="singleLevel"/>
    <w:tmpl w:val="38EB600B"/>
    <w:lvl w:ilvl="0" w:tentative="0">
      <w:start w:val="5"/>
      <w:numFmt w:val="chineseCounting"/>
      <w:suff w:val="space"/>
      <w:lvlText w:val="第%1条"/>
      <w:lvlJc w:val="left"/>
      <w:rPr>
        <w:rFonts w:hint="eastAsia"/>
      </w:rPr>
    </w:lvl>
  </w:abstractNum>
  <w:abstractNum w:abstractNumId="20">
    <w:nsid w:val="4B5A9EF0"/>
    <w:multiLevelType w:val="singleLevel"/>
    <w:tmpl w:val="4B5A9EF0"/>
    <w:lvl w:ilvl="0" w:tentative="0">
      <w:start w:val="2"/>
      <w:numFmt w:val="chineseCounting"/>
      <w:suff w:val="nothing"/>
      <w:lvlText w:val="%1、"/>
      <w:lvlJc w:val="left"/>
      <w:rPr>
        <w:rFonts w:hint="eastAsia"/>
      </w:rPr>
    </w:lvl>
  </w:abstractNum>
  <w:abstractNum w:abstractNumId="21">
    <w:nsid w:val="4F980C91"/>
    <w:multiLevelType w:val="singleLevel"/>
    <w:tmpl w:val="4F980C91"/>
    <w:lvl w:ilvl="0" w:tentative="0">
      <w:start w:val="9"/>
      <w:numFmt w:val="chineseCounting"/>
      <w:suff w:val="nothing"/>
      <w:lvlText w:val="（%1）"/>
      <w:lvlJc w:val="left"/>
      <w:rPr>
        <w:rFonts w:hint="eastAsia"/>
      </w:rPr>
    </w:lvl>
  </w:abstractNum>
  <w:abstractNum w:abstractNumId="22">
    <w:nsid w:val="5F2CCB04"/>
    <w:multiLevelType w:val="singleLevel"/>
    <w:tmpl w:val="5F2CCB04"/>
    <w:lvl w:ilvl="0" w:tentative="0">
      <w:start w:val="1"/>
      <w:numFmt w:val="decimal"/>
      <w:suff w:val="nothing"/>
      <w:lvlText w:val="（%1）"/>
      <w:lvlJc w:val="left"/>
    </w:lvl>
  </w:abstractNum>
  <w:abstractNum w:abstractNumId="23">
    <w:nsid w:val="700305BF"/>
    <w:multiLevelType w:val="singleLevel"/>
    <w:tmpl w:val="700305BF"/>
    <w:lvl w:ilvl="0" w:tentative="0">
      <w:start w:val="3"/>
      <w:numFmt w:val="decimal"/>
      <w:suff w:val="nothing"/>
      <w:lvlText w:val="（%1）"/>
      <w:lvlJc w:val="left"/>
    </w:lvl>
  </w:abstractNum>
  <w:abstractNum w:abstractNumId="24">
    <w:nsid w:val="76BDDF58"/>
    <w:multiLevelType w:val="singleLevel"/>
    <w:tmpl w:val="76BDDF58"/>
    <w:lvl w:ilvl="0" w:tentative="0">
      <w:start w:val="1"/>
      <w:numFmt w:val="decimal"/>
      <w:suff w:val="nothing"/>
      <w:lvlText w:val="%1、"/>
      <w:lvlJc w:val="left"/>
    </w:lvl>
  </w:abstractNum>
  <w:abstractNum w:abstractNumId="25">
    <w:nsid w:val="7C33365A"/>
    <w:multiLevelType w:val="singleLevel"/>
    <w:tmpl w:val="7C33365A"/>
    <w:lvl w:ilvl="0" w:tentative="0">
      <w:start w:val="1"/>
      <w:numFmt w:val="decimal"/>
      <w:pStyle w:val="106"/>
      <w:suff w:val="nothing"/>
      <w:lvlText w:val="表%1"/>
      <w:lvlJc w:val="left"/>
      <w:pPr>
        <w:ind w:left="0" w:firstLine="420"/>
      </w:pPr>
      <w:rPr>
        <w:rFonts w:hint="default" w:ascii="Times New Roman" w:hAnsi="Times New Roman" w:cs="Times New Roman"/>
        <w:sz w:val="24"/>
        <w:szCs w:val="24"/>
      </w:rPr>
    </w:lvl>
  </w:abstractNum>
  <w:abstractNum w:abstractNumId="26">
    <w:nsid w:val="7CC1483F"/>
    <w:multiLevelType w:val="multilevel"/>
    <w:tmpl w:val="7CC1483F"/>
    <w:lvl w:ilvl="0" w:tentative="0">
      <w:start w:val="1"/>
      <w:numFmt w:val="decimal"/>
      <w:pStyle w:val="75"/>
      <w:lvlText w:val="表%1"/>
      <w:lvlJc w:val="left"/>
      <w:pPr>
        <w:ind w:left="410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26"/>
  </w:num>
  <w:num w:numId="3">
    <w:abstractNumId w:val="25"/>
  </w:num>
  <w:num w:numId="4">
    <w:abstractNumId w:val="0"/>
  </w:num>
  <w:num w:numId="5">
    <w:abstractNumId w:val="6"/>
  </w:num>
  <w:num w:numId="6">
    <w:abstractNumId w:val="12"/>
  </w:num>
  <w:num w:numId="7">
    <w:abstractNumId w:val="21"/>
  </w:num>
  <w:num w:numId="8">
    <w:abstractNumId w:val="9"/>
  </w:num>
  <w:num w:numId="9">
    <w:abstractNumId w:val="11"/>
  </w:num>
  <w:num w:numId="10">
    <w:abstractNumId w:val="15"/>
  </w:num>
  <w:num w:numId="11">
    <w:abstractNumId w:val="3"/>
  </w:num>
  <w:num w:numId="12">
    <w:abstractNumId w:val="5"/>
  </w:num>
  <w:num w:numId="13">
    <w:abstractNumId w:val="19"/>
  </w:num>
  <w:num w:numId="14">
    <w:abstractNumId w:val="13"/>
  </w:num>
  <w:num w:numId="15">
    <w:abstractNumId w:val="20"/>
  </w:num>
  <w:num w:numId="16">
    <w:abstractNumId w:val="10"/>
  </w:num>
  <w:num w:numId="17">
    <w:abstractNumId w:val="7"/>
  </w:num>
  <w:num w:numId="18">
    <w:abstractNumId w:val="14"/>
  </w:num>
  <w:num w:numId="19">
    <w:abstractNumId w:val="18"/>
  </w:num>
  <w:num w:numId="20">
    <w:abstractNumId w:val="1"/>
  </w:num>
  <w:num w:numId="21">
    <w:abstractNumId w:val="2"/>
  </w:num>
  <w:num w:numId="22">
    <w:abstractNumId w:val="24"/>
  </w:num>
  <w:num w:numId="23">
    <w:abstractNumId w:val="23"/>
  </w:num>
  <w:num w:numId="24">
    <w:abstractNumId w:val="4"/>
  </w:num>
  <w:num w:numId="25">
    <w:abstractNumId w:val="8"/>
  </w:num>
  <w:num w:numId="26">
    <w:abstractNumId w:val="2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zODhhZDc2Nzk0OGMwYWQxNTQwZDMwMDc2YWQxZDkifQ=="/>
  </w:docVars>
  <w:rsids>
    <w:rsidRoot w:val="00172A27"/>
    <w:rsid w:val="000060B3"/>
    <w:rsid w:val="00016D8E"/>
    <w:rsid w:val="00023806"/>
    <w:rsid w:val="00023E99"/>
    <w:rsid w:val="00025E46"/>
    <w:rsid w:val="0004364B"/>
    <w:rsid w:val="00061B1F"/>
    <w:rsid w:val="00064163"/>
    <w:rsid w:val="000733C4"/>
    <w:rsid w:val="00074783"/>
    <w:rsid w:val="000749E3"/>
    <w:rsid w:val="0008070B"/>
    <w:rsid w:val="000810AC"/>
    <w:rsid w:val="00081A02"/>
    <w:rsid w:val="00082231"/>
    <w:rsid w:val="00085BF9"/>
    <w:rsid w:val="00092D38"/>
    <w:rsid w:val="0009377B"/>
    <w:rsid w:val="000A20C9"/>
    <w:rsid w:val="000B058F"/>
    <w:rsid w:val="000B4467"/>
    <w:rsid w:val="000B4DB9"/>
    <w:rsid w:val="000C09AC"/>
    <w:rsid w:val="000C37CA"/>
    <w:rsid w:val="000C767F"/>
    <w:rsid w:val="000D5A44"/>
    <w:rsid w:val="000E3ED2"/>
    <w:rsid w:val="0010216E"/>
    <w:rsid w:val="00126924"/>
    <w:rsid w:val="00131F42"/>
    <w:rsid w:val="00132CB8"/>
    <w:rsid w:val="001357F1"/>
    <w:rsid w:val="00140FA8"/>
    <w:rsid w:val="00142FEB"/>
    <w:rsid w:val="00143A2D"/>
    <w:rsid w:val="00145A41"/>
    <w:rsid w:val="00151675"/>
    <w:rsid w:val="00152B14"/>
    <w:rsid w:val="00157435"/>
    <w:rsid w:val="00161AE1"/>
    <w:rsid w:val="00164C26"/>
    <w:rsid w:val="0017504D"/>
    <w:rsid w:val="0017671A"/>
    <w:rsid w:val="00177422"/>
    <w:rsid w:val="00184590"/>
    <w:rsid w:val="001870D1"/>
    <w:rsid w:val="0018781E"/>
    <w:rsid w:val="0019262D"/>
    <w:rsid w:val="00193B78"/>
    <w:rsid w:val="001A1B35"/>
    <w:rsid w:val="001A48A2"/>
    <w:rsid w:val="001A6F61"/>
    <w:rsid w:val="001B2017"/>
    <w:rsid w:val="001B72B8"/>
    <w:rsid w:val="001C69B3"/>
    <w:rsid w:val="001D5595"/>
    <w:rsid w:val="001D569D"/>
    <w:rsid w:val="001D7874"/>
    <w:rsid w:val="001D7F22"/>
    <w:rsid w:val="001F0F17"/>
    <w:rsid w:val="001F3347"/>
    <w:rsid w:val="001F69E4"/>
    <w:rsid w:val="002125B4"/>
    <w:rsid w:val="00214197"/>
    <w:rsid w:val="002155B8"/>
    <w:rsid w:val="00217DBF"/>
    <w:rsid w:val="002234E4"/>
    <w:rsid w:val="00224839"/>
    <w:rsid w:val="002249B2"/>
    <w:rsid w:val="00226574"/>
    <w:rsid w:val="002278EC"/>
    <w:rsid w:val="0023280E"/>
    <w:rsid w:val="002377D1"/>
    <w:rsid w:val="002506BC"/>
    <w:rsid w:val="00251093"/>
    <w:rsid w:val="00254345"/>
    <w:rsid w:val="00264557"/>
    <w:rsid w:val="002805AB"/>
    <w:rsid w:val="00284204"/>
    <w:rsid w:val="00291773"/>
    <w:rsid w:val="002A168C"/>
    <w:rsid w:val="002A3DC7"/>
    <w:rsid w:val="002B49E2"/>
    <w:rsid w:val="002B7B00"/>
    <w:rsid w:val="002B7C44"/>
    <w:rsid w:val="002C2B17"/>
    <w:rsid w:val="002D3DD0"/>
    <w:rsid w:val="002E1F3A"/>
    <w:rsid w:val="002E298A"/>
    <w:rsid w:val="002F2790"/>
    <w:rsid w:val="00301978"/>
    <w:rsid w:val="0030332C"/>
    <w:rsid w:val="003051C2"/>
    <w:rsid w:val="00312296"/>
    <w:rsid w:val="00313701"/>
    <w:rsid w:val="00314F0E"/>
    <w:rsid w:val="00321D8E"/>
    <w:rsid w:val="00325928"/>
    <w:rsid w:val="00332863"/>
    <w:rsid w:val="00335F9C"/>
    <w:rsid w:val="0033684D"/>
    <w:rsid w:val="00337586"/>
    <w:rsid w:val="00337B42"/>
    <w:rsid w:val="00341B42"/>
    <w:rsid w:val="0034348F"/>
    <w:rsid w:val="00351550"/>
    <w:rsid w:val="003523A2"/>
    <w:rsid w:val="00356653"/>
    <w:rsid w:val="0035743F"/>
    <w:rsid w:val="00357BE2"/>
    <w:rsid w:val="0036170C"/>
    <w:rsid w:val="00366E0F"/>
    <w:rsid w:val="00381A72"/>
    <w:rsid w:val="00384676"/>
    <w:rsid w:val="00390857"/>
    <w:rsid w:val="00391DC2"/>
    <w:rsid w:val="003A4BF3"/>
    <w:rsid w:val="003A4DB8"/>
    <w:rsid w:val="003B420D"/>
    <w:rsid w:val="003C468C"/>
    <w:rsid w:val="003C6C16"/>
    <w:rsid w:val="003D794D"/>
    <w:rsid w:val="003E3058"/>
    <w:rsid w:val="003E76A9"/>
    <w:rsid w:val="003F0809"/>
    <w:rsid w:val="003F23CE"/>
    <w:rsid w:val="003F6A8C"/>
    <w:rsid w:val="003F755C"/>
    <w:rsid w:val="00406F01"/>
    <w:rsid w:val="00416D50"/>
    <w:rsid w:val="00416FD5"/>
    <w:rsid w:val="00417772"/>
    <w:rsid w:val="00420E6A"/>
    <w:rsid w:val="00425A9E"/>
    <w:rsid w:val="00426D6B"/>
    <w:rsid w:val="00431E6C"/>
    <w:rsid w:val="00433CE7"/>
    <w:rsid w:val="00446DD3"/>
    <w:rsid w:val="00452738"/>
    <w:rsid w:val="00456091"/>
    <w:rsid w:val="0046550B"/>
    <w:rsid w:val="00466321"/>
    <w:rsid w:val="00473031"/>
    <w:rsid w:val="00484B9B"/>
    <w:rsid w:val="004855F6"/>
    <w:rsid w:val="0048661E"/>
    <w:rsid w:val="00493960"/>
    <w:rsid w:val="00494670"/>
    <w:rsid w:val="004A3823"/>
    <w:rsid w:val="004B48CF"/>
    <w:rsid w:val="004B5E9D"/>
    <w:rsid w:val="004C60FD"/>
    <w:rsid w:val="004E0AFB"/>
    <w:rsid w:val="004E0B1D"/>
    <w:rsid w:val="004E6946"/>
    <w:rsid w:val="004F1AD8"/>
    <w:rsid w:val="00501EE6"/>
    <w:rsid w:val="005039CB"/>
    <w:rsid w:val="0050558F"/>
    <w:rsid w:val="00506286"/>
    <w:rsid w:val="00510813"/>
    <w:rsid w:val="00511990"/>
    <w:rsid w:val="00511DE0"/>
    <w:rsid w:val="00514870"/>
    <w:rsid w:val="00514B9B"/>
    <w:rsid w:val="00517F02"/>
    <w:rsid w:val="00524303"/>
    <w:rsid w:val="005258A2"/>
    <w:rsid w:val="00527B38"/>
    <w:rsid w:val="00532404"/>
    <w:rsid w:val="005401AE"/>
    <w:rsid w:val="00542E07"/>
    <w:rsid w:val="00545424"/>
    <w:rsid w:val="00554A7B"/>
    <w:rsid w:val="0055572C"/>
    <w:rsid w:val="0056106A"/>
    <w:rsid w:val="005720AE"/>
    <w:rsid w:val="00594D77"/>
    <w:rsid w:val="005969E4"/>
    <w:rsid w:val="00597BF5"/>
    <w:rsid w:val="005A06B7"/>
    <w:rsid w:val="005A1759"/>
    <w:rsid w:val="005A288B"/>
    <w:rsid w:val="005A2D64"/>
    <w:rsid w:val="005A68A7"/>
    <w:rsid w:val="005D36AB"/>
    <w:rsid w:val="005D4522"/>
    <w:rsid w:val="005E4270"/>
    <w:rsid w:val="00617CC3"/>
    <w:rsid w:val="006377A6"/>
    <w:rsid w:val="00637A3D"/>
    <w:rsid w:val="006411EF"/>
    <w:rsid w:val="00661A9F"/>
    <w:rsid w:val="00665819"/>
    <w:rsid w:val="006707F8"/>
    <w:rsid w:val="006748B8"/>
    <w:rsid w:val="006775C3"/>
    <w:rsid w:val="006916EE"/>
    <w:rsid w:val="00692780"/>
    <w:rsid w:val="0069290A"/>
    <w:rsid w:val="0069775A"/>
    <w:rsid w:val="00697813"/>
    <w:rsid w:val="006A3EE8"/>
    <w:rsid w:val="006A72BF"/>
    <w:rsid w:val="006B03F2"/>
    <w:rsid w:val="006B37DC"/>
    <w:rsid w:val="006B4F68"/>
    <w:rsid w:val="006C0592"/>
    <w:rsid w:val="006C272E"/>
    <w:rsid w:val="006C5479"/>
    <w:rsid w:val="006D13B5"/>
    <w:rsid w:val="006E12FF"/>
    <w:rsid w:val="006E607E"/>
    <w:rsid w:val="006F1E1E"/>
    <w:rsid w:val="00706C5D"/>
    <w:rsid w:val="0072237D"/>
    <w:rsid w:val="00732922"/>
    <w:rsid w:val="00741087"/>
    <w:rsid w:val="0075162E"/>
    <w:rsid w:val="00754034"/>
    <w:rsid w:val="007561DE"/>
    <w:rsid w:val="00756556"/>
    <w:rsid w:val="007618C4"/>
    <w:rsid w:val="00767980"/>
    <w:rsid w:val="00770B19"/>
    <w:rsid w:val="007744F9"/>
    <w:rsid w:val="0077463F"/>
    <w:rsid w:val="0078143C"/>
    <w:rsid w:val="007836EA"/>
    <w:rsid w:val="00784CDA"/>
    <w:rsid w:val="007906C4"/>
    <w:rsid w:val="007940EA"/>
    <w:rsid w:val="007967E8"/>
    <w:rsid w:val="007A2170"/>
    <w:rsid w:val="007A22BF"/>
    <w:rsid w:val="007A3323"/>
    <w:rsid w:val="007B72B8"/>
    <w:rsid w:val="007B7A58"/>
    <w:rsid w:val="007C21B5"/>
    <w:rsid w:val="007E4BD2"/>
    <w:rsid w:val="007E4CA5"/>
    <w:rsid w:val="00801393"/>
    <w:rsid w:val="00802F88"/>
    <w:rsid w:val="00805F8D"/>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A5661"/>
    <w:rsid w:val="009A5857"/>
    <w:rsid w:val="009B0897"/>
    <w:rsid w:val="009B7BD9"/>
    <w:rsid w:val="009C7DD5"/>
    <w:rsid w:val="009E227D"/>
    <w:rsid w:val="009E5019"/>
    <w:rsid w:val="009E5DF9"/>
    <w:rsid w:val="009E6384"/>
    <w:rsid w:val="00A04F1B"/>
    <w:rsid w:val="00A0501B"/>
    <w:rsid w:val="00A10993"/>
    <w:rsid w:val="00A14947"/>
    <w:rsid w:val="00A32A83"/>
    <w:rsid w:val="00A368DB"/>
    <w:rsid w:val="00A42231"/>
    <w:rsid w:val="00A423AA"/>
    <w:rsid w:val="00A53EC6"/>
    <w:rsid w:val="00A55C0F"/>
    <w:rsid w:val="00A73328"/>
    <w:rsid w:val="00A8390C"/>
    <w:rsid w:val="00A8713F"/>
    <w:rsid w:val="00A90BA1"/>
    <w:rsid w:val="00A97A9A"/>
    <w:rsid w:val="00AA0671"/>
    <w:rsid w:val="00AA2531"/>
    <w:rsid w:val="00AB1E09"/>
    <w:rsid w:val="00AB318E"/>
    <w:rsid w:val="00AB5330"/>
    <w:rsid w:val="00AB7747"/>
    <w:rsid w:val="00AC14CE"/>
    <w:rsid w:val="00AC2A56"/>
    <w:rsid w:val="00AD055E"/>
    <w:rsid w:val="00AD47A7"/>
    <w:rsid w:val="00AE62BA"/>
    <w:rsid w:val="00AF0CBF"/>
    <w:rsid w:val="00AF257F"/>
    <w:rsid w:val="00AF33CF"/>
    <w:rsid w:val="00AF4AD4"/>
    <w:rsid w:val="00AF4D50"/>
    <w:rsid w:val="00AF6179"/>
    <w:rsid w:val="00B06E28"/>
    <w:rsid w:val="00B1029E"/>
    <w:rsid w:val="00B1295A"/>
    <w:rsid w:val="00B20A45"/>
    <w:rsid w:val="00B22C5C"/>
    <w:rsid w:val="00B24F30"/>
    <w:rsid w:val="00B31ABF"/>
    <w:rsid w:val="00B33BE3"/>
    <w:rsid w:val="00B53B5D"/>
    <w:rsid w:val="00B6055E"/>
    <w:rsid w:val="00B6317D"/>
    <w:rsid w:val="00B7723F"/>
    <w:rsid w:val="00B80534"/>
    <w:rsid w:val="00B8433C"/>
    <w:rsid w:val="00B87491"/>
    <w:rsid w:val="00B96273"/>
    <w:rsid w:val="00BA29E9"/>
    <w:rsid w:val="00BA7142"/>
    <w:rsid w:val="00BB237C"/>
    <w:rsid w:val="00BB41A3"/>
    <w:rsid w:val="00BC32DC"/>
    <w:rsid w:val="00BC35B6"/>
    <w:rsid w:val="00BC3A1F"/>
    <w:rsid w:val="00BC74BE"/>
    <w:rsid w:val="00BD1B51"/>
    <w:rsid w:val="00BD4596"/>
    <w:rsid w:val="00BE1405"/>
    <w:rsid w:val="00BE312D"/>
    <w:rsid w:val="00BE3A24"/>
    <w:rsid w:val="00BE61B3"/>
    <w:rsid w:val="00BF1C20"/>
    <w:rsid w:val="00BF4599"/>
    <w:rsid w:val="00C10578"/>
    <w:rsid w:val="00C135BC"/>
    <w:rsid w:val="00C15C95"/>
    <w:rsid w:val="00C2596A"/>
    <w:rsid w:val="00C27537"/>
    <w:rsid w:val="00C328FE"/>
    <w:rsid w:val="00C33507"/>
    <w:rsid w:val="00C34DAD"/>
    <w:rsid w:val="00C40010"/>
    <w:rsid w:val="00C41A64"/>
    <w:rsid w:val="00C4409D"/>
    <w:rsid w:val="00C44E72"/>
    <w:rsid w:val="00C45A06"/>
    <w:rsid w:val="00C47E5B"/>
    <w:rsid w:val="00C53C5A"/>
    <w:rsid w:val="00C61E4B"/>
    <w:rsid w:val="00C64BFF"/>
    <w:rsid w:val="00C704E9"/>
    <w:rsid w:val="00C763C9"/>
    <w:rsid w:val="00C80057"/>
    <w:rsid w:val="00C82232"/>
    <w:rsid w:val="00C82913"/>
    <w:rsid w:val="00C972B1"/>
    <w:rsid w:val="00CA2CCE"/>
    <w:rsid w:val="00CA43FD"/>
    <w:rsid w:val="00CA7EF8"/>
    <w:rsid w:val="00CB0A3F"/>
    <w:rsid w:val="00CB5A10"/>
    <w:rsid w:val="00CC489B"/>
    <w:rsid w:val="00CD2BCD"/>
    <w:rsid w:val="00CD3A4C"/>
    <w:rsid w:val="00CE10E9"/>
    <w:rsid w:val="00CE2910"/>
    <w:rsid w:val="00CE5393"/>
    <w:rsid w:val="00CF36BE"/>
    <w:rsid w:val="00CF6000"/>
    <w:rsid w:val="00D003F3"/>
    <w:rsid w:val="00D02529"/>
    <w:rsid w:val="00D0364F"/>
    <w:rsid w:val="00D06834"/>
    <w:rsid w:val="00D308ED"/>
    <w:rsid w:val="00D3196F"/>
    <w:rsid w:val="00D36D86"/>
    <w:rsid w:val="00D428AA"/>
    <w:rsid w:val="00D5033B"/>
    <w:rsid w:val="00D50A34"/>
    <w:rsid w:val="00D52E6B"/>
    <w:rsid w:val="00D53EFA"/>
    <w:rsid w:val="00D94A7C"/>
    <w:rsid w:val="00D95896"/>
    <w:rsid w:val="00DB2983"/>
    <w:rsid w:val="00DC1257"/>
    <w:rsid w:val="00DC3DC0"/>
    <w:rsid w:val="00DC5B2B"/>
    <w:rsid w:val="00DC7C1D"/>
    <w:rsid w:val="00DD318D"/>
    <w:rsid w:val="00DF2E12"/>
    <w:rsid w:val="00DF514A"/>
    <w:rsid w:val="00DF6690"/>
    <w:rsid w:val="00DF6804"/>
    <w:rsid w:val="00E0358D"/>
    <w:rsid w:val="00E04323"/>
    <w:rsid w:val="00E047F1"/>
    <w:rsid w:val="00E070A2"/>
    <w:rsid w:val="00E2656A"/>
    <w:rsid w:val="00E412D0"/>
    <w:rsid w:val="00E52F76"/>
    <w:rsid w:val="00E56322"/>
    <w:rsid w:val="00E60982"/>
    <w:rsid w:val="00E60A9C"/>
    <w:rsid w:val="00E62C62"/>
    <w:rsid w:val="00E654C1"/>
    <w:rsid w:val="00E65D97"/>
    <w:rsid w:val="00E67A44"/>
    <w:rsid w:val="00E71E62"/>
    <w:rsid w:val="00E72A5A"/>
    <w:rsid w:val="00E73354"/>
    <w:rsid w:val="00E8703B"/>
    <w:rsid w:val="00E9242D"/>
    <w:rsid w:val="00E94148"/>
    <w:rsid w:val="00EB5255"/>
    <w:rsid w:val="00EB5C47"/>
    <w:rsid w:val="00EC3DC8"/>
    <w:rsid w:val="00ED0639"/>
    <w:rsid w:val="00ED3BD8"/>
    <w:rsid w:val="00ED721A"/>
    <w:rsid w:val="00EF4755"/>
    <w:rsid w:val="00EF7135"/>
    <w:rsid w:val="00F027DB"/>
    <w:rsid w:val="00F05477"/>
    <w:rsid w:val="00F14A7A"/>
    <w:rsid w:val="00F22985"/>
    <w:rsid w:val="00F27441"/>
    <w:rsid w:val="00F3383E"/>
    <w:rsid w:val="00F465A7"/>
    <w:rsid w:val="00F50B7C"/>
    <w:rsid w:val="00F550E6"/>
    <w:rsid w:val="00F61176"/>
    <w:rsid w:val="00F74345"/>
    <w:rsid w:val="00F80A0A"/>
    <w:rsid w:val="00F82B19"/>
    <w:rsid w:val="00F9212D"/>
    <w:rsid w:val="00F965DA"/>
    <w:rsid w:val="00FA406A"/>
    <w:rsid w:val="00FB503A"/>
    <w:rsid w:val="00FB516C"/>
    <w:rsid w:val="00FD0236"/>
    <w:rsid w:val="00FD18F4"/>
    <w:rsid w:val="00FD54DB"/>
    <w:rsid w:val="00FD619F"/>
    <w:rsid w:val="00FF0FC7"/>
    <w:rsid w:val="01035D01"/>
    <w:rsid w:val="01066A48"/>
    <w:rsid w:val="01147A20"/>
    <w:rsid w:val="0119677B"/>
    <w:rsid w:val="012121D5"/>
    <w:rsid w:val="012339ED"/>
    <w:rsid w:val="01253372"/>
    <w:rsid w:val="01290F7E"/>
    <w:rsid w:val="013435B5"/>
    <w:rsid w:val="0136732D"/>
    <w:rsid w:val="01401F5A"/>
    <w:rsid w:val="01422176"/>
    <w:rsid w:val="01437C9C"/>
    <w:rsid w:val="01443BEC"/>
    <w:rsid w:val="01543215"/>
    <w:rsid w:val="015D1E09"/>
    <w:rsid w:val="015E2524"/>
    <w:rsid w:val="015E4E2C"/>
    <w:rsid w:val="01602B40"/>
    <w:rsid w:val="0167398B"/>
    <w:rsid w:val="01733B49"/>
    <w:rsid w:val="01787946"/>
    <w:rsid w:val="017A36FD"/>
    <w:rsid w:val="017C6910"/>
    <w:rsid w:val="017D31AE"/>
    <w:rsid w:val="0184463B"/>
    <w:rsid w:val="01877B89"/>
    <w:rsid w:val="0188579B"/>
    <w:rsid w:val="018C33F1"/>
    <w:rsid w:val="018C519F"/>
    <w:rsid w:val="019127B6"/>
    <w:rsid w:val="019220F0"/>
    <w:rsid w:val="01947667"/>
    <w:rsid w:val="01987FE8"/>
    <w:rsid w:val="019B1886"/>
    <w:rsid w:val="019D115B"/>
    <w:rsid w:val="01A108DC"/>
    <w:rsid w:val="01A3100D"/>
    <w:rsid w:val="01AB3751"/>
    <w:rsid w:val="01AF65DB"/>
    <w:rsid w:val="01B110AA"/>
    <w:rsid w:val="01B43872"/>
    <w:rsid w:val="01B446F6"/>
    <w:rsid w:val="01B52AB1"/>
    <w:rsid w:val="01B666C0"/>
    <w:rsid w:val="01C04E49"/>
    <w:rsid w:val="01C32F00"/>
    <w:rsid w:val="01D4798B"/>
    <w:rsid w:val="01DF4468"/>
    <w:rsid w:val="01E105A7"/>
    <w:rsid w:val="01E23011"/>
    <w:rsid w:val="01E50D53"/>
    <w:rsid w:val="01E7468C"/>
    <w:rsid w:val="01EF572E"/>
    <w:rsid w:val="01F571E8"/>
    <w:rsid w:val="01F87F50"/>
    <w:rsid w:val="01F90AE9"/>
    <w:rsid w:val="020236B3"/>
    <w:rsid w:val="020F676D"/>
    <w:rsid w:val="02225B04"/>
    <w:rsid w:val="022278B2"/>
    <w:rsid w:val="02274EC8"/>
    <w:rsid w:val="02290C40"/>
    <w:rsid w:val="022B2C0A"/>
    <w:rsid w:val="02324C7A"/>
    <w:rsid w:val="023410FA"/>
    <w:rsid w:val="023B4560"/>
    <w:rsid w:val="023C41F5"/>
    <w:rsid w:val="023E4D71"/>
    <w:rsid w:val="023F2212"/>
    <w:rsid w:val="02405D31"/>
    <w:rsid w:val="02443CCC"/>
    <w:rsid w:val="024617F2"/>
    <w:rsid w:val="024A62FC"/>
    <w:rsid w:val="024C61BE"/>
    <w:rsid w:val="02535CBD"/>
    <w:rsid w:val="02581525"/>
    <w:rsid w:val="025F28B4"/>
    <w:rsid w:val="02641C78"/>
    <w:rsid w:val="02663C42"/>
    <w:rsid w:val="02697903"/>
    <w:rsid w:val="0277301A"/>
    <w:rsid w:val="02775E4F"/>
    <w:rsid w:val="027E0CDB"/>
    <w:rsid w:val="02873BB9"/>
    <w:rsid w:val="02930F82"/>
    <w:rsid w:val="029702A0"/>
    <w:rsid w:val="02A037F9"/>
    <w:rsid w:val="02A17D0B"/>
    <w:rsid w:val="02A265DA"/>
    <w:rsid w:val="02AE0254"/>
    <w:rsid w:val="02AF1B94"/>
    <w:rsid w:val="02C24BF1"/>
    <w:rsid w:val="02CC4CA2"/>
    <w:rsid w:val="02CD5A6F"/>
    <w:rsid w:val="02CD7CAC"/>
    <w:rsid w:val="02DF17FB"/>
    <w:rsid w:val="02E01C47"/>
    <w:rsid w:val="02E0598D"/>
    <w:rsid w:val="02E14B74"/>
    <w:rsid w:val="02E64D83"/>
    <w:rsid w:val="02ED48CD"/>
    <w:rsid w:val="02ED7EC0"/>
    <w:rsid w:val="02F96569"/>
    <w:rsid w:val="02FC45A7"/>
    <w:rsid w:val="02FE2E82"/>
    <w:rsid w:val="03011BBD"/>
    <w:rsid w:val="030671D3"/>
    <w:rsid w:val="030904ED"/>
    <w:rsid w:val="030D0562"/>
    <w:rsid w:val="03101E00"/>
    <w:rsid w:val="03115D87"/>
    <w:rsid w:val="03122CDA"/>
    <w:rsid w:val="031511C4"/>
    <w:rsid w:val="03165668"/>
    <w:rsid w:val="032064E7"/>
    <w:rsid w:val="03261624"/>
    <w:rsid w:val="03273A92"/>
    <w:rsid w:val="03321D76"/>
    <w:rsid w:val="03376277"/>
    <w:rsid w:val="03381166"/>
    <w:rsid w:val="033F6A84"/>
    <w:rsid w:val="0341635D"/>
    <w:rsid w:val="03471115"/>
    <w:rsid w:val="034F2928"/>
    <w:rsid w:val="03504AAD"/>
    <w:rsid w:val="03681C3C"/>
    <w:rsid w:val="036824A4"/>
    <w:rsid w:val="036A1510"/>
    <w:rsid w:val="03710AF1"/>
    <w:rsid w:val="0374238F"/>
    <w:rsid w:val="03771E7F"/>
    <w:rsid w:val="03775A66"/>
    <w:rsid w:val="03795BF7"/>
    <w:rsid w:val="037C1244"/>
    <w:rsid w:val="037E4FBC"/>
    <w:rsid w:val="03800D34"/>
    <w:rsid w:val="03824AAC"/>
    <w:rsid w:val="03884C34"/>
    <w:rsid w:val="038C592B"/>
    <w:rsid w:val="03906A9D"/>
    <w:rsid w:val="039842CF"/>
    <w:rsid w:val="03A50209"/>
    <w:rsid w:val="03A8790B"/>
    <w:rsid w:val="03AA5DB1"/>
    <w:rsid w:val="03AD57A4"/>
    <w:rsid w:val="03B629A7"/>
    <w:rsid w:val="03BE2349"/>
    <w:rsid w:val="03C230FA"/>
    <w:rsid w:val="03C51A7A"/>
    <w:rsid w:val="03C70711"/>
    <w:rsid w:val="03C7077C"/>
    <w:rsid w:val="03CA6453"/>
    <w:rsid w:val="03D2588F"/>
    <w:rsid w:val="03D40135"/>
    <w:rsid w:val="03D80C28"/>
    <w:rsid w:val="03D8291E"/>
    <w:rsid w:val="03DB06E3"/>
    <w:rsid w:val="03DB4E5F"/>
    <w:rsid w:val="03EA7B21"/>
    <w:rsid w:val="03F43C22"/>
    <w:rsid w:val="03F4527E"/>
    <w:rsid w:val="03F84D6E"/>
    <w:rsid w:val="03F877BC"/>
    <w:rsid w:val="03FA6D38"/>
    <w:rsid w:val="04071455"/>
    <w:rsid w:val="04096F7B"/>
    <w:rsid w:val="040C6EF6"/>
    <w:rsid w:val="04106C53"/>
    <w:rsid w:val="041E22FB"/>
    <w:rsid w:val="042B64D1"/>
    <w:rsid w:val="042C4A18"/>
    <w:rsid w:val="04330473"/>
    <w:rsid w:val="04353A97"/>
    <w:rsid w:val="043E1FEF"/>
    <w:rsid w:val="04400B08"/>
    <w:rsid w:val="04510D49"/>
    <w:rsid w:val="045126D0"/>
    <w:rsid w:val="0451447E"/>
    <w:rsid w:val="04587FEB"/>
    <w:rsid w:val="046046C1"/>
    <w:rsid w:val="046248DD"/>
    <w:rsid w:val="04635D75"/>
    <w:rsid w:val="046E6DDE"/>
    <w:rsid w:val="0475016D"/>
    <w:rsid w:val="04754611"/>
    <w:rsid w:val="04762137"/>
    <w:rsid w:val="047C5421"/>
    <w:rsid w:val="047C599F"/>
    <w:rsid w:val="047D34C5"/>
    <w:rsid w:val="047F5733"/>
    <w:rsid w:val="048B5043"/>
    <w:rsid w:val="04932CE9"/>
    <w:rsid w:val="04934A97"/>
    <w:rsid w:val="04942090"/>
    <w:rsid w:val="04A22F2C"/>
    <w:rsid w:val="04A46CA4"/>
    <w:rsid w:val="04B0613C"/>
    <w:rsid w:val="04B14F1D"/>
    <w:rsid w:val="04B36EE7"/>
    <w:rsid w:val="04C81265"/>
    <w:rsid w:val="04D04AEA"/>
    <w:rsid w:val="04D550AF"/>
    <w:rsid w:val="04DA4474"/>
    <w:rsid w:val="04DF5F2E"/>
    <w:rsid w:val="04E672BC"/>
    <w:rsid w:val="04E90B5B"/>
    <w:rsid w:val="04E92909"/>
    <w:rsid w:val="04EB6681"/>
    <w:rsid w:val="04F25C61"/>
    <w:rsid w:val="04F4385D"/>
    <w:rsid w:val="04F46E71"/>
    <w:rsid w:val="04FD2761"/>
    <w:rsid w:val="050D2A9B"/>
    <w:rsid w:val="05151950"/>
    <w:rsid w:val="051B0BD8"/>
    <w:rsid w:val="051C284C"/>
    <w:rsid w:val="051C7496"/>
    <w:rsid w:val="051E25B2"/>
    <w:rsid w:val="05235E1B"/>
    <w:rsid w:val="052A6C40"/>
    <w:rsid w:val="052C4833"/>
    <w:rsid w:val="052E0709"/>
    <w:rsid w:val="052E47BF"/>
    <w:rsid w:val="05353DA0"/>
    <w:rsid w:val="053B1859"/>
    <w:rsid w:val="053E0EA6"/>
    <w:rsid w:val="05432019"/>
    <w:rsid w:val="05465FAD"/>
    <w:rsid w:val="054664F7"/>
    <w:rsid w:val="05561E22"/>
    <w:rsid w:val="055C1E64"/>
    <w:rsid w:val="05687CD1"/>
    <w:rsid w:val="056976B3"/>
    <w:rsid w:val="056D52E8"/>
    <w:rsid w:val="05793C8D"/>
    <w:rsid w:val="057B742F"/>
    <w:rsid w:val="057F5003"/>
    <w:rsid w:val="058F34B0"/>
    <w:rsid w:val="05906AAF"/>
    <w:rsid w:val="0596483F"/>
    <w:rsid w:val="059A473E"/>
    <w:rsid w:val="05AD305E"/>
    <w:rsid w:val="05AD3936"/>
    <w:rsid w:val="05B607CF"/>
    <w:rsid w:val="05B8226D"/>
    <w:rsid w:val="05C34C63"/>
    <w:rsid w:val="05C80770"/>
    <w:rsid w:val="05CF0410"/>
    <w:rsid w:val="05CF1AFF"/>
    <w:rsid w:val="05D04778"/>
    <w:rsid w:val="05D672D5"/>
    <w:rsid w:val="05D90BCF"/>
    <w:rsid w:val="05E337FC"/>
    <w:rsid w:val="05E41A4E"/>
    <w:rsid w:val="05E7743A"/>
    <w:rsid w:val="05EB69E8"/>
    <w:rsid w:val="05F83EAE"/>
    <w:rsid w:val="05F856BC"/>
    <w:rsid w:val="05FC6C80"/>
    <w:rsid w:val="06187B53"/>
    <w:rsid w:val="061E4834"/>
    <w:rsid w:val="063C2ECC"/>
    <w:rsid w:val="063E7D85"/>
    <w:rsid w:val="063F6C84"/>
    <w:rsid w:val="064707DC"/>
    <w:rsid w:val="064E336B"/>
    <w:rsid w:val="06510766"/>
    <w:rsid w:val="065B0A8F"/>
    <w:rsid w:val="065B3392"/>
    <w:rsid w:val="065C3D91"/>
    <w:rsid w:val="066345CE"/>
    <w:rsid w:val="066761DB"/>
    <w:rsid w:val="06691F53"/>
    <w:rsid w:val="067A30DF"/>
    <w:rsid w:val="067B69AD"/>
    <w:rsid w:val="067C1A24"/>
    <w:rsid w:val="067F7FE1"/>
    <w:rsid w:val="06800A5D"/>
    <w:rsid w:val="0680104B"/>
    <w:rsid w:val="06846D8D"/>
    <w:rsid w:val="068A3C77"/>
    <w:rsid w:val="068B1EC9"/>
    <w:rsid w:val="069E0E1D"/>
    <w:rsid w:val="06B156A8"/>
    <w:rsid w:val="06BB1C10"/>
    <w:rsid w:val="06BB2083"/>
    <w:rsid w:val="06C4362D"/>
    <w:rsid w:val="06CE0008"/>
    <w:rsid w:val="06D51397"/>
    <w:rsid w:val="06D84275"/>
    <w:rsid w:val="06DD3025"/>
    <w:rsid w:val="06E635A4"/>
    <w:rsid w:val="06E67100"/>
    <w:rsid w:val="06ED4932"/>
    <w:rsid w:val="06EE4206"/>
    <w:rsid w:val="06F7755F"/>
    <w:rsid w:val="06F86B11"/>
    <w:rsid w:val="06FA0F65"/>
    <w:rsid w:val="06FC6923"/>
    <w:rsid w:val="070103DE"/>
    <w:rsid w:val="07041C7C"/>
    <w:rsid w:val="07043A2A"/>
    <w:rsid w:val="070B669B"/>
    <w:rsid w:val="070E365E"/>
    <w:rsid w:val="070F0ADC"/>
    <w:rsid w:val="071C34B5"/>
    <w:rsid w:val="0722013F"/>
    <w:rsid w:val="072365A6"/>
    <w:rsid w:val="07237076"/>
    <w:rsid w:val="07247C28"/>
    <w:rsid w:val="07263B21"/>
    <w:rsid w:val="07293586"/>
    <w:rsid w:val="07295285"/>
    <w:rsid w:val="072E6CF9"/>
    <w:rsid w:val="072F046E"/>
    <w:rsid w:val="07302A71"/>
    <w:rsid w:val="073267E9"/>
    <w:rsid w:val="07373DFF"/>
    <w:rsid w:val="0737795B"/>
    <w:rsid w:val="07442078"/>
    <w:rsid w:val="076342F4"/>
    <w:rsid w:val="07636392"/>
    <w:rsid w:val="07702E6D"/>
    <w:rsid w:val="07723089"/>
    <w:rsid w:val="07770C56"/>
    <w:rsid w:val="078608E3"/>
    <w:rsid w:val="078D3A1F"/>
    <w:rsid w:val="07936306"/>
    <w:rsid w:val="07984455"/>
    <w:rsid w:val="079C3C62"/>
    <w:rsid w:val="07A121DD"/>
    <w:rsid w:val="07A313C1"/>
    <w:rsid w:val="07A62D2F"/>
    <w:rsid w:val="07AD2313"/>
    <w:rsid w:val="07AD5E6F"/>
    <w:rsid w:val="07B4246A"/>
    <w:rsid w:val="07B45450"/>
    <w:rsid w:val="07B62F76"/>
    <w:rsid w:val="07C43D4D"/>
    <w:rsid w:val="07C515D8"/>
    <w:rsid w:val="07CC723D"/>
    <w:rsid w:val="07CD02C0"/>
    <w:rsid w:val="07CD6512"/>
    <w:rsid w:val="07D54D8E"/>
    <w:rsid w:val="07DA2338"/>
    <w:rsid w:val="07E04497"/>
    <w:rsid w:val="07F10452"/>
    <w:rsid w:val="07F229FF"/>
    <w:rsid w:val="07F27D26"/>
    <w:rsid w:val="07FA2A90"/>
    <w:rsid w:val="07FE2B6F"/>
    <w:rsid w:val="07FE66CB"/>
    <w:rsid w:val="08033CE1"/>
    <w:rsid w:val="080812F8"/>
    <w:rsid w:val="080A32C2"/>
    <w:rsid w:val="080C528C"/>
    <w:rsid w:val="080C703A"/>
    <w:rsid w:val="0816790B"/>
    <w:rsid w:val="08193505"/>
    <w:rsid w:val="081952B3"/>
    <w:rsid w:val="081A3FD2"/>
    <w:rsid w:val="08251EAA"/>
    <w:rsid w:val="08270A0A"/>
    <w:rsid w:val="08275C22"/>
    <w:rsid w:val="082828D2"/>
    <w:rsid w:val="08326375"/>
    <w:rsid w:val="08357123"/>
    <w:rsid w:val="08381BDD"/>
    <w:rsid w:val="08404F36"/>
    <w:rsid w:val="08412AED"/>
    <w:rsid w:val="08422A5C"/>
    <w:rsid w:val="08457112"/>
    <w:rsid w:val="084F6F27"/>
    <w:rsid w:val="085551BB"/>
    <w:rsid w:val="0858402D"/>
    <w:rsid w:val="085A2F60"/>
    <w:rsid w:val="085B3309"/>
    <w:rsid w:val="085D7896"/>
    <w:rsid w:val="08602EE2"/>
    <w:rsid w:val="086230FE"/>
    <w:rsid w:val="08685804"/>
    <w:rsid w:val="0869448C"/>
    <w:rsid w:val="086A1FB2"/>
    <w:rsid w:val="086B2D03"/>
    <w:rsid w:val="08713341"/>
    <w:rsid w:val="08730E67"/>
    <w:rsid w:val="0878022B"/>
    <w:rsid w:val="087C2D8F"/>
    <w:rsid w:val="08843074"/>
    <w:rsid w:val="0895702F"/>
    <w:rsid w:val="08962DA7"/>
    <w:rsid w:val="089808CE"/>
    <w:rsid w:val="08986B20"/>
    <w:rsid w:val="089B4CD6"/>
    <w:rsid w:val="08A92ADB"/>
    <w:rsid w:val="08AE4D12"/>
    <w:rsid w:val="08AF68CB"/>
    <w:rsid w:val="08B55224"/>
    <w:rsid w:val="08BC0A60"/>
    <w:rsid w:val="08C462FC"/>
    <w:rsid w:val="08C6543B"/>
    <w:rsid w:val="08C70A3B"/>
    <w:rsid w:val="08CE2541"/>
    <w:rsid w:val="08D15B8E"/>
    <w:rsid w:val="08E142E5"/>
    <w:rsid w:val="08EA21A0"/>
    <w:rsid w:val="08EB1DAB"/>
    <w:rsid w:val="08EE4992"/>
    <w:rsid w:val="090221EB"/>
    <w:rsid w:val="090D61B1"/>
    <w:rsid w:val="09101C07"/>
    <w:rsid w:val="09146B42"/>
    <w:rsid w:val="09216807"/>
    <w:rsid w:val="092217DD"/>
    <w:rsid w:val="0923007D"/>
    <w:rsid w:val="09256609"/>
    <w:rsid w:val="09287EA3"/>
    <w:rsid w:val="092D54BA"/>
    <w:rsid w:val="093305F6"/>
    <w:rsid w:val="093A1985"/>
    <w:rsid w:val="093A7294"/>
    <w:rsid w:val="093D0906"/>
    <w:rsid w:val="093E7E78"/>
    <w:rsid w:val="0940210D"/>
    <w:rsid w:val="09410F65"/>
    <w:rsid w:val="09524F20"/>
    <w:rsid w:val="09581E0B"/>
    <w:rsid w:val="095D0BB7"/>
    <w:rsid w:val="096B4801"/>
    <w:rsid w:val="096F639D"/>
    <w:rsid w:val="097519FF"/>
    <w:rsid w:val="097C01EF"/>
    <w:rsid w:val="098470A4"/>
    <w:rsid w:val="098B1147"/>
    <w:rsid w:val="098D41AA"/>
    <w:rsid w:val="098F0954"/>
    <w:rsid w:val="098F1CD1"/>
    <w:rsid w:val="09976DD7"/>
    <w:rsid w:val="099866AB"/>
    <w:rsid w:val="09986BA8"/>
    <w:rsid w:val="099C619C"/>
    <w:rsid w:val="099C7CF2"/>
    <w:rsid w:val="09A6701A"/>
    <w:rsid w:val="09AD03A9"/>
    <w:rsid w:val="09B15ED3"/>
    <w:rsid w:val="09B74D83"/>
    <w:rsid w:val="09BF59D6"/>
    <w:rsid w:val="09C219D3"/>
    <w:rsid w:val="09D26E62"/>
    <w:rsid w:val="09D771D4"/>
    <w:rsid w:val="09D83D52"/>
    <w:rsid w:val="09DC0C8E"/>
    <w:rsid w:val="09DD7853"/>
    <w:rsid w:val="09DF42DA"/>
    <w:rsid w:val="09E665B5"/>
    <w:rsid w:val="09E97DE1"/>
    <w:rsid w:val="09FC6C3A"/>
    <w:rsid w:val="09FD689E"/>
    <w:rsid w:val="0A00497C"/>
    <w:rsid w:val="0A0124A3"/>
    <w:rsid w:val="0A034091"/>
    <w:rsid w:val="0A0420EC"/>
    <w:rsid w:val="0A0501E5"/>
    <w:rsid w:val="0A0B50CF"/>
    <w:rsid w:val="0A193000"/>
    <w:rsid w:val="0A263993"/>
    <w:rsid w:val="0A2D3AC2"/>
    <w:rsid w:val="0A314B36"/>
    <w:rsid w:val="0A374116"/>
    <w:rsid w:val="0A3B5F47"/>
    <w:rsid w:val="0A3D1595"/>
    <w:rsid w:val="0A3E54A5"/>
    <w:rsid w:val="0A535D87"/>
    <w:rsid w:val="0A544CC8"/>
    <w:rsid w:val="0A590531"/>
    <w:rsid w:val="0A64315D"/>
    <w:rsid w:val="0A7333A0"/>
    <w:rsid w:val="0A74615E"/>
    <w:rsid w:val="0A766000"/>
    <w:rsid w:val="0A79447B"/>
    <w:rsid w:val="0A7964DD"/>
    <w:rsid w:val="0A825391"/>
    <w:rsid w:val="0A8455AD"/>
    <w:rsid w:val="0A8A2498"/>
    <w:rsid w:val="0A8C23B2"/>
    <w:rsid w:val="0A9B0751"/>
    <w:rsid w:val="0A9B28F7"/>
    <w:rsid w:val="0AA755DF"/>
    <w:rsid w:val="0AA95014"/>
    <w:rsid w:val="0AAC240E"/>
    <w:rsid w:val="0AB13EC9"/>
    <w:rsid w:val="0AB17A25"/>
    <w:rsid w:val="0ABB791F"/>
    <w:rsid w:val="0AC459AA"/>
    <w:rsid w:val="0AC97464"/>
    <w:rsid w:val="0ADD4EFD"/>
    <w:rsid w:val="0ADF0A36"/>
    <w:rsid w:val="0AE26A44"/>
    <w:rsid w:val="0AE93015"/>
    <w:rsid w:val="0AEA1189"/>
    <w:rsid w:val="0AEA2F37"/>
    <w:rsid w:val="0AEC3153"/>
    <w:rsid w:val="0AF1457B"/>
    <w:rsid w:val="0AF165D9"/>
    <w:rsid w:val="0AFF2E86"/>
    <w:rsid w:val="0B0142F8"/>
    <w:rsid w:val="0B020EC4"/>
    <w:rsid w:val="0B071D3B"/>
    <w:rsid w:val="0B0A45E2"/>
    <w:rsid w:val="0B0C60DD"/>
    <w:rsid w:val="0B100E30"/>
    <w:rsid w:val="0B120D44"/>
    <w:rsid w:val="0B1C0F00"/>
    <w:rsid w:val="0B1F52D6"/>
    <w:rsid w:val="0B1F7084"/>
    <w:rsid w:val="0B204BAA"/>
    <w:rsid w:val="0B251E2B"/>
    <w:rsid w:val="0B270CFA"/>
    <w:rsid w:val="0B2E72C7"/>
    <w:rsid w:val="0B3F3282"/>
    <w:rsid w:val="0B41524D"/>
    <w:rsid w:val="0B4165BF"/>
    <w:rsid w:val="0B424B21"/>
    <w:rsid w:val="0B433E58"/>
    <w:rsid w:val="0B446AEB"/>
    <w:rsid w:val="0B4529B6"/>
    <w:rsid w:val="0B460A68"/>
    <w:rsid w:val="0B460AB5"/>
    <w:rsid w:val="0B5A4560"/>
    <w:rsid w:val="0B653E82"/>
    <w:rsid w:val="0B6A36BD"/>
    <w:rsid w:val="0B6E1DBA"/>
    <w:rsid w:val="0B6E5AC2"/>
    <w:rsid w:val="0B756CA4"/>
    <w:rsid w:val="0B7A69B0"/>
    <w:rsid w:val="0B7F172C"/>
    <w:rsid w:val="0B7F7B23"/>
    <w:rsid w:val="0B866DCA"/>
    <w:rsid w:val="0B9335CE"/>
    <w:rsid w:val="0B9A2BAF"/>
    <w:rsid w:val="0B9D6E8A"/>
    <w:rsid w:val="0B9E444D"/>
    <w:rsid w:val="0B9F01C5"/>
    <w:rsid w:val="0B9F3D21"/>
    <w:rsid w:val="0B9F682F"/>
    <w:rsid w:val="0BA61553"/>
    <w:rsid w:val="0BA650B0"/>
    <w:rsid w:val="0BA9152D"/>
    <w:rsid w:val="0BAF7E97"/>
    <w:rsid w:val="0BB238F6"/>
    <w:rsid w:val="0BB27EF8"/>
    <w:rsid w:val="0BBA4FFF"/>
    <w:rsid w:val="0BC820E2"/>
    <w:rsid w:val="0BCB0FBA"/>
    <w:rsid w:val="0BCB68A3"/>
    <w:rsid w:val="0BCC3883"/>
    <w:rsid w:val="0BD27BF6"/>
    <w:rsid w:val="0BD53BE7"/>
    <w:rsid w:val="0BDA3382"/>
    <w:rsid w:val="0BDE2A9B"/>
    <w:rsid w:val="0BE634AB"/>
    <w:rsid w:val="0BE81B6C"/>
    <w:rsid w:val="0BEA07ED"/>
    <w:rsid w:val="0BF91F82"/>
    <w:rsid w:val="0BF95399"/>
    <w:rsid w:val="0C012C2E"/>
    <w:rsid w:val="0C013B43"/>
    <w:rsid w:val="0C0B7609"/>
    <w:rsid w:val="0C0D3381"/>
    <w:rsid w:val="0C0F534B"/>
    <w:rsid w:val="0C1748AA"/>
    <w:rsid w:val="0C230DF6"/>
    <w:rsid w:val="0C2B3573"/>
    <w:rsid w:val="0C3B3C7D"/>
    <w:rsid w:val="0C4274CE"/>
    <w:rsid w:val="0C460641"/>
    <w:rsid w:val="0C48260B"/>
    <w:rsid w:val="0C541138"/>
    <w:rsid w:val="0C590374"/>
    <w:rsid w:val="0C5D60B6"/>
    <w:rsid w:val="0C5F5716"/>
    <w:rsid w:val="0C61547A"/>
    <w:rsid w:val="0C6A2581"/>
    <w:rsid w:val="0C6C256D"/>
    <w:rsid w:val="0C6C62F9"/>
    <w:rsid w:val="0C6D3E1F"/>
    <w:rsid w:val="0C7C4062"/>
    <w:rsid w:val="0C841BE8"/>
    <w:rsid w:val="0C963376"/>
    <w:rsid w:val="0CA43CE5"/>
    <w:rsid w:val="0CA718DA"/>
    <w:rsid w:val="0CA912FB"/>
    <w:rsid w:val="0CAA0BCF"/>
    <w:rsid w:val="0CAB2EAE"/>
    <w:rsid w:val="0CAC0DEC"/>
    <w:rsid w:val="0CAE6912"/>
    <w:rsid w:val="0CB8153E"/>
    <w:rsid w:val="0CB828BE"/>
    <w:rsid w:val="0CBC3A23"/>
    <w:rsid w:val="0CBE7041"/>
    <w:rsid w:val="0CC30264"/>
    <w:rsid w:val="0CC55A09"/>
    <w:rsid w:val="0CC908AE"/>
    <w:rsid w:val="0CCE0D62"/>
    <w:rsid w:val="0CD143AE"/>
    <w:rsid w:val="0CD82D86"/>
    <w:rsid w:val="0CDB522D"/>
    <w:rsid w:val="0CDD2D53"/>
    <w:rsid w:val="0CE642FD"/>
    <w:rsid w:val="0CE73BD2"/>
    <w:rsid w:val="0CED32C9"/>
    <w:rsid w:val="0CED6C86"/>
    <w:rsid w:val="0CF53ED9"/>
    <w:rsid w:val="0CF622E2"/>
    <w:rsid w:val="0CF85E10"/>
    <w:rsid w:val="0CFA3905"/>
    <w:rsid w:val="0CFC0DE2"/>
    <w:rsid w:val="0CFF4FFE"/>
    <w:rsid w:val="0D0429D6"/>
    <w:rsid w:val="0D042FCD"/>
    <w:rsid w:val="0D127B87"/>
    <w:rsid w:val="0D1B6EEC"/>
    <w:rsid w:val="0D1D5845"/>
    <w:rsid w:val="0D272220"/>
    <w:rsid w:val="0D31309F"/>
    <w:rsid w:val="0D366907"/>
    <w:rsid w:val="0D38267F"/>
    <w:rsid w:val="0D4032E2"/>
    <w:rsid w:val="0D413D61"/>
    <w:rsid w:val="0D4903E8"/>
    <w:rsid w:val="0D505697"/>
    <w:rsid w:val="0D505E96"/>
    <w:rsid w:val="0D576FA9"/>
    <w:rsid w:val="0D5F19BA"/>
    <w:rsid w:val="0D60111E"/>
    <w:rsid w:val="0D621C7D"/>
    <w:rsid w:val="0D662D48"/>
    <w:rsid w:val="0D6E1E2C"/>
    <w:rsid w:val="0D6E60A1"/>
    <w:rsid w:val="0D735465"/>
    <w:rsid w:val="0D746889"/>
    <w:rsid w:val="0D757F40"/>
    <w:rsid w:val="0D760C5B"/>
    <w:rsid w:val="0D780CCE"/>
    <w:rsid w:val="0D817B82"/>
    <w:rsid w:val="0D837D9E"/>
    <w:rsid w:val="0D841421"/>
    <w:rsid w:val="0D85354A"/>
    <w:rsid w:val="0D8D29CB"/>
    <w:rsid w:val="0D904269"/>
    <w:rsid w:val="0D94069D"/>
    <w:rsid w:val="0D9553DC"/>
    <w:rsid w:val="0D9773A6"/>
    <w:rsid w:val="0D98311E"/>
    <w:rsid w:val="0D9F44AC"/>
    <w:rsid w:val="0D9F625A"/>
    <w:rsid w:val="0DA10E0B"/>
    <w:rsid w:val="0DA11FD2"/>
    <w:rsid w:val="0DA54F9A"/>
    <w:rsid w:val="0DAD0977"/>
    <w:rsid w:val="0DC44FF5"/>
    <w:rsid w:val="0DCE5703"/>
    <w:rsid w:val="0DD51C7C"/>
    <w:rsid w:val="0DD55108"/>
    <w:rsid w:val="0DD87EF6"/>
    <w:rsid w:val="0DE1042A"/>
    <w:rsid w:val="0DE3083D"/>
    <w:rsid w:val="0DE620DB"/>
    <w:rsid w:val="0DE819AF"/>
    <w:rsid w:val="0DF216C0"/>
    <w:rsid w:val="0DFC18FF"/>
    <w:rsid w:val="0E032C8D"/>
    <w:rsid w:val="0E0D1416"/>
    <w:rsid w:val="0E0F1632"/>
    <w:rsid w:val="0E102C91"/>
    <w:rsid w:val="0E1A1D85"/>
    <w:rsid w:val="0E1E3623"/>
    <w:rsid w:val="0E223278"/>
    <w:rsid w:val="0E241B55"/>
    <w:rsid w:val="0E246692"/>
    <w:rsid w:val="0E2A646C"/>
    <w:rsid w:val="0E2D1AB8"/>
    <w:rsid w:val="0E32581D"/>
    <w:rsid w:val="0E3A4EE9"/>
    <w:rsid w:val="0E3C686D"/>
    <w:rsid w:val="0E4D215A"/>
    <w:rsid w:val="0E5B4877"/>
    <w:rsid w:val="0E5C6FB3"/>
    <w:rsid w:val="0E5E4367"/>
    <w:rsid w:val="0E623C11"/>
    <w:rsid w:val="0E686F94"/>
    <w:rsid w:val="0E6F20D1"/>
    <w:rsid w:val="0E715E49"/>
    <w:rsid w:val="0E73034D"/>
    <w:rsid w:val="0E7341B1"/>
    <w:rsid w:val="0E7D5ADD"/>
    <w:rsid w:val="0E805562"/>
    <w:rsid w:val="0E873A37"/>
    <w:rsid w:val="0E8A6F0A"/>
    <w:rsid w:val="0E8C2C83"/>
    <w:rsid w:val="0E8D2557"/>
    <w:rsid w:val="0E975183"/>
    <w:rsid w:val="0E9D6C3E"/>
    <w:rsid w:val="0EA0672E"/>
    <w:rsid w:val="0EA72A82"/>
    <w:rsid w:val="0EAB5603"/>
    <w:rsid w:val="0EB560AA"/>
    <w:rsid w:val="0EB67D00"/>
    <w:rsid w:val="0EB81C95"/>
    <w:rsid w:val="0EC22F25"/>
    <w:rsid w:val="0EC37D32"/>
    <w:rsid w:val="0EC73CBB"/>
    <w:rsid w:val="0EC75A69"/>
    <w:rsid w:val="0ECE16AA"/>
    <w:rsid w:val="0ECE4FC2"/>
    <w:rsid w:val="0EDB32C2"/>
    <w:rsid w:val="0EDD34DE"/>
    <w:rsid w:val="0EEE56EB"/>
    <w:rsid w:val="0EF12AE6"/>
    <w:rsid w:val="0EFA4842"/>
    <w:rsid w:val="0EFF17F4"/>
    <w:rsid w:val="0EFF59D8"/>
    <w:rsid w:val="0F026AA1"/>
    <w:rsid w:val="0F061063"/>
    <w:rsid w:val="0F0E7B3C"/>
    <w:rsid w:val="0F10467D"/>
    <w:rsid w:val="0F130CAE"/>
    <w:rsid w:val="0F135841"/>
    <w:rsid w:val="0F136F00"/>
    <w:rsid w:val="0F13775A"/>
    <w:rsid w:val="0F152C78"/>
    <w:rsid w:val="0F16079E"/>
    <w:rsid w:val="0F1F0C82"/>
    <w:rsid w:val="0F211F00"/>
    <w:rsid w:val="0F242EBB"/>
    <w:rsid w:val="0F264E85"/>
    <w:rsid w:val="0F276507"/>
    <w:rsid w:val="0F29227F"/>
    <w:rsid w:val="0F2C1D70"/>
    <w:rsid w:val="0F302FD5"/>
    <w:rsid w:val="0F303B5A"/>
    <w:rsid w:val="0F39623B"/>
    <w:rsid w:val="0F3C03E0"/>
    <w:rsid w:val="0F4B4599"/>
    <w:rsid w:val="0F5003B6"/>
    <w:rsid w:val="0F565430"/>
    <w:rsid w:val="0F5A2494"/>
    <w:rsid w:val="0F5F45FE"/>
    <w:rsid w:val="0F6634D4"/>
    <w:rsid w:val="0F670AA7"/>
    <w:rsid w:val="0F6C4862"/>
    <w:rsid w:val="0F7436E4"/>
    <w:rsid w:val="0F7554C5"/>
    <w:rsid w:val="0F760080"/>
    <w:rsid w:val="0F786D63"/>
    <w:rsid w:val="0F84395A"/>
    <w:rsid w:val="0F8B4CE8"/>
    <w:rsid w:val="0F8E47D8"/>
    <w:rsid w:val="0F9104D0"/>
    <w:rsid w:val="0F9A112B"/>
    <w:rsid w:val="0F9F0794"/>
    <w:rsid w:val="0FA3022D"/>
    <w:rsid w:val="0FA61825"/>
    <w:rsid w:val="0FA81ECA"/>
    <w:rsid w:val="0FA97B3A"/>
    <w:rsid w:val="0FAB7138"/>
    <w:rsid w:val="0FAD1102"/>
    <w:rsid w:val="0FAD2ACE"/>
    <w:rsid w:val="0FB54297"/>
    <w:rsid w:val="0FB6788B"/>
    <w:rsid w:val="0FB74F6A"/>
    <w:rsid w:val="0FBD067D"/>
    <w:rsid w:val="0FD045B4"/>
    <w:rsid w:val="0FD451CD"/>
    <w:rsid w:val="0FD83CA6"/>
    <w:rsid w:val="0FE91A0F"/>
    <w:rsid w:val="0FEB1C2B"/>
    <w:rsid w:val="0FF3058C"/>
    <w:rsid w:val="0FF54858"/>
    <w:rsid w:val="0FF705D0"/>
    <w:rsid w:val="0FFA00C0"/>
    <w:rsid w:val="0FFA3C1C"/>
    <w:rsid w:val="0FFC1742"/>
    <w:rsid w:val="10011D74"/>
    <w:rsid w:val="10026F41"/>
    <w:rsid w:val="10042CED"/>
    <w:rsid w:val="100910F7"/>
    <w:rsid w:val="100C7CD7"/>
    <w:rsid w:val="100D6DA1"/>
    <w:rsid w:val="101763EA"/>
    <w:rsid w:val="101C0036"/>
    <w:rsid w:val="10264A11"/>
    <w:rsid w:val="10284C2D"/>
    <w:rsid w:val="102D5D9F"/>
    <w:rsid w:val="102F7D69"/>
    <w:rsid w:val="10316966"/>
    <w:rsid w:val="10327C7C"/>
    <w:rsid w:val="103A04BC"/>
    <w:rsid w:val="10431188"/>
    <w:rsid w:val="10437371"/>
    <w:rsid w:val="104430E9"/>
    <w:rsid w:val="10481722"/>
    <w:rsid w:val="104A4BA3"/>
    <w:rsid w:val="104D01F0"/>
    <w:rsid w:val="1054157E"/>
    <w:rsid w:val="10563E79"/>
    <w:rsid w:val="10575305"/>
    <w:rsid w:val="10594DE6"/>
    <w:rsid w:val="105E4FFE"/>
    <w:rsid w:val="10615A49"/>
    <w:rsid w:val="106317C1"/>
    <w:rsid w:val="1069757F"/>
    <w:rsid w:val="106D2F64"/>
    <w:rsid w:val="10703EDE"/>
    <w:rsid w:val="10710382"/>
    <w:rsid w:val="10790FE5"/>
    <w:rsid w:val="107E2A9F"/>
    <w:rsid w:val="107E469F"/>
    <w:rsid w:val="10837292"/>
    <w:rsid w:val="10850F13"/>
    <w:rsid w:val="10851825"/>
    <w:rsid w:val="108628B1"/>
    <w:rsid w:val="108856CC"/>
    <w:rsid w:val="108F0808"/>
    <w:rsid w:val="10951309"/>
    <w:rsid w:val="109830FE"/>
    <w:rsid w:val="109E3733"/>
    <w:rsid w:val="10A1053B"/>
    <w:rsid w:val="10A2678D"/>
    <w:rsid w:val="10A5002C"/>
    <w:rsid w:val="10A535EC"/>
    <w:rsid w:val="10B63710"/>
    <w:rsid w:val="10BB1D7A"/>
    <w:rsid w:val="10C1473A"/>
    <w:rsid w:val="10C5422A"/>
    <w:rsid w:val="10C54E30"/>
    <w:rsid w:val="10C93AB4"/>
    <w:rsid w:val="10D426BF"/>
    <w:rsid w:val="10DB1C9F"/>
    <w:rsid w:val="10E50428"/>
    <w:rsid w:val="10E87F18"/>
    <w:rsid w:val="10EA0134"/>
    <w:rsid w:val="10EE19D3"/>
    <w:rsid w:val="10F10820"/>
    <w:rsid w:val="10F16DCD"/>
    <w:rsid w:val="10F259CB"/>
    <w:rsid w:val="10F5757C"/>
    <w:rsid w:val="10FD39C4"/>
    <w:rsid w:val="11060CF5"/>
    <w:rsid w:val="110B2335"/>
    <w:rsid w:val="11131439"/>
    <w:rsid w:val="111625F3"/>
    <w:rsid w:val="111C2F7A"/>
    <w:rsid w:val="11207761"/>
    <w:rsid w:val="112371A2"/>
    <w:rsid w:val="112609DE"/>
    <w:rsid w:val="112E1562"/>
    <w:rsid w:val="11317B11"/>
    <w:rsid w:val="11357601"/>
    <w:rsid w:val="11365128"/>
    <w:rsid w:val="113E264C"/>
    <w:rsid w:val="11421D1E"/>
    <w:rsid w:val="114535BD"/>
    <w:rsid w:val="114A0BD3"/>
    <w:rsid w:val="11515ABE"/>
    <w:rsid w:val="11566901"/>
    <w:rsid w:val="11586C58"/>
    <w:rsid w:val="11621A79"/>
    <w:rsid w:val="11641C95"/>
    <w:rsid w:val="11665CA1"/>
    <w:rsid w:val="116752E1"/>
    <w:rsid w:val="11692E07"/>
    <w:rsid w:val="116E2B13"/>
    <w:rsid w:val="11783D0A"/>
    <w:rsid w:val="117B2B3A"/>
    <w:rsid w:val="117D4B05"/>
    <w:rsid w:val="117D5CC4"/>
    <w:rsid w:val="11844B5F"/>
    <w:rsid w:val="118B363A"/>
    <w:rsid w:val="119360D6"/>
    <w:rsid w:val="119B5D70"/>
    <w:rsid w:val="119F4A7B"/>
    <w:rsid w:val="11A16A45"/>
    <w:rsid w:val="11A227BD"/>
    <w:rsid w:val="11B60016"/>
    <w:rsid w:val="11B85B3D"/>
    <w:rsid w:val="11BA3663"/>
    <w:rsid w:val="11BC3D26"/>
    <w:rsid w:val="11BE3977"/>
    <w:rsid w:val="11C444E1"/>
    <w:rsid w:val="11C646FD"/>
    <w:rsid w:val="11C95F9C"/>
    <w:rsid w:val="11D5049D"/>
    <w:rsid w:val="11D84431"/>
    <w:rsid w:val="11EC57E6"/>
    <w:rsid w:val="11EE77B0"/>
    <w:rsid w:val="11F02371"/>
    <w:rsid w:val="11F755A9"/>
    <w:rsid w:val="11FF19BD"/>
    <w:rsid w:val="120314AE"/>
    <w:rsid w:val="12086AC4"/>
    <w:rsid w:val="12130FC5"/>
    <w:rsid w:val="121637A0"/>
    <w:rsid w:val="1222745A"/>
    <w:rsid w:val="122430B0"/>
    <w:rsid w:val="1226519C"/>
    <w:rsid w:val="122D02D9"/>
    <w:rsid w:val="122D652B"/>
    <w:rsid w:val="12311C0F"/>
    <w:rsid w:val="12320CAD"/>
    <w:rsid w:val="12357A5D"/>
    <w:rsid w:val="12395518"/>
    <w:rsid w:val="12396910"/>
    <w:rsid w:val="123F64BD"/>
    <w:rsid w:val="12411FD6"/>
    <w:rsid w:val="12435D4E"/>
    <w:rsid w:val="1247170C"/>
    <w:rsid w:val="12494C76"/>
    <w:rsid w:val="12551229"/>
    <w:rsid w:val="125D0492"/>
    <w:rsid w:val="126B23CA"/>
    <w:rsid w:val="12837EF9"/>
    <w:rsid w:val="128D0D77"/>
    <w:rsid w:val="128F4AEF"/>
    <w:rsid w:val="12977E48"/>
    <w:rsid w:val="12A52565"/>
    <w:rsid w:val="12A53315"/>
    <w:rsid w:val="12A61E39"/>
    <w:rsid w:val="12A77C9B"/>
    <w:rsid w:val="12AF1A64"/>
    <w:rsid w:val="12B207DE"/>
    <w:rsid w:val="12B96010"/>
    <w:rsid w:val="12C10A21"/>
    <w:rsid w:val="12C56763"/>
    <w:rsid w:val="12C9599F"/>
    <w:rsid w:val="12CA1FCB"/>
    <w:rsid w:val="12E02B90"/>
    <w:rsid w:val="12E66E96"/>
    <w:rsid w:val="12EC3B0A"/>
    <w:rsid w:val="12F136B3"/>
    <w:rsid w:val="12F26E2C"/>
    <w:rsid w:val="12F64B6E"/>
    <w:rsid w:val="12F9465F"/>
    <w:rsid w:val="12FB2185"/>
    <w:rsid w:val="130354DD"/>
    <w:rsid w:val="130F36D3"/>
    <w:rsid w:val="13105AF1"/>
    <w:rsid w:val="13113756"/>
    <w:rsid w:val="13117BFA"/>
    <w:rsid w:val="1312127D"/>
    <w:rsid w:val="13140AAC"/>
    <w:rsid w:val="131905E4"/>
    <w:rsid w:val="13207E3D"/>
    <w:rsid w:val="132E6E8D"/>
    <w:rsid w:val="1331115E"/>
    <w:rsid w:val="133556B3"/>
    <w:rsid w:val="13391AF9"/>
    <w:rsid w:val="133B6A25"/>
    <w:rsid w:val="134A6C68"/>
    <w:rsid w:val="134F0723"/>
    <w:rsid w:val="1353537A"/>
    <w:rsid w:val="1356560D"/>
    <w:rsid w:val="136021D9"/>
    <w:rsid w:val="13752560"/>
    <w:rsid w:val="13785584"/>
    <w:rsid w:val="1379754E"/>
    <w:rsid w:val="138165B6"/>
    <w:rsid w:val="138419BE"/>
    <w:rsid w:val="13893C35"/>
    <w:rsid w:val="138E56DF"/>
    <w:rsid w:val="13914897"/>
    <w:rsid w:val="13936861"/>
    <w:rsid w:val="13951726"/>
    <w:rsid w:val="13954387"/>
    <w:rsid w:val="13A02D2C"/>
    <w:rsid w:val="13A520F1"/>
    <w:rsid w:val="13A621BE"/>
    <w:rsid w:val="13AE5449"/>
    <w:rsid w:val="13B10A95"/>
    <w:rsid w:val="13B50FB2"/>
    <w:rsid w:val="13CC58CF"/>
    <w:rsid w:val="13D843CC"/>
    <w:rsid w:val="13DB5B12"/>
    <w:rsid w:val="13E23345"/>
    <w:rsid w:val="13EC1BEE"/>
    <w:rsid w:val="13F1600C"/>
    <w:rsid w:val="13F2221A"/>
    <w:rsid w:val="13F6294C"/>
    <w:rsid w:val="13FA41EA"/>
    <w:rsid w:val="140212F1"/>
    <w:rsid w:val="14065285"/>
    <w:rsid w:val="14074B59"/>
    <w:rsid w:val="14092680"/>
    <w:rsid w:val="140C2170"/>
    <w:rsid w:val="14117786"/>
    <w:rsid w:val="141259D8"/>
    <w:rsid w:val="14141102"/>
    <w:rsid w:val="14186D67"/>
    <w:rsid w:val="142179C9"/>
    <w:rsid w:val="14261483"/>
    <w:rsid w:val="14311620"/>
    <w:rsid w:val="14333BA0"/>
    <w:rsid w:val="1436237D"/>
    <w:rsid w:val="1437543F"/>
    <w:rsid w:val="1439089B"/>
    <w:rsid w:val="14396509"/>
    <w:rsid w:val="143C1209"/>
    <w:rsid w:val="143F2545"/>
    <w:rsid w:val="144237A3"/>
    <w:rsid w:val="1446116C"/>
    <w:rsid w:val="14481D3D"/>
    <w:rsid w:val="144B2C98"/>
    <w:rsid w:val="144D0B5D"/>
    <w:rsid w:val="14506500"/>
    <w:rsid w:val="14531B4D"/>
    <w:rsid w:val="145853B5"/>
    <w:rsid w:val="14595E98"/>
    <w:rsid w:val="14636234"/>
    <w:rsid w:val="14661880"/>
    <w:rsid w:val="14665D24"/>
    <w:rsid w:val="146B333A"/>
    <w:rsid w:val="146F2E2A"/>
    <w:rsid w:val="14795722"/>
    <w:rsid w:val="147C72F5"/>
    <w:rsid w:val="147F2942"/>
    <w:rsid w:val="148A114C"/>
    <w:rsid w:val="148B7538"/>
    <w:rsid w:val="148E0DD7"/>
    <w:rsid w:val="149724A9"/>
    <w:rsid w:val="149B2C89"/>
    <w:rsid w:val="149C0AB2"/>
    <w:rsid w:val="14A13D1F"/>
    <w:rsid w:val="14A26068"/>
    <w:rsid w:val="14AA5673"/>
    <w:rsid w:val="14AB3737"/>
    <w:rsid w:val="14AD5E03"/>
    <w:rsid w:val="14B4083D"/>
    <w:rsid w:val="14BF71E2"/>
    <w:rsid w:val="14C00824"/>
    <w:rsid w:val="14D902A4"/>
    <w:rsid w:val="14DA6A78"/>
    <w:rsid w:val="14DC1B42"/>
    <w:rsid w:val="14DD2C3C"/>
    <w:rsid w:val="14E4201D"/>
    <w:rsid w:val="14E46C49"/>
    <w:rsid w:val="14FE5F5C"/>
    <w:rsid w:val="14FE7D0A"/>
    <w:rsid w:val="15003A82"/>
    <w:rsid w:val="15082937"/>
    <w:rsid w:val="151237B6"/>
    <w:rsid w:val="151439D2"/>
    <w:rsid w:val="15194B44"/>
    <w:rsid w:val="151A6A28"/>
    <w:rsid w:val="151D59B2"/>
    <w:rsid w:val="15227E9D"/>
    <w:rsid w:val="15252A82"/>
    <w:rsid w:val="15311E8E"/>
    <w:rsid w:val="15353E9B"/>
    <w:rsid w:val="1537321C"/>
    <w:rsid w:val="153C3F53"/>
    <w:rsid w:val="15436065"/>
    <w:rsid w:val="154C590A"/>
    <w:rsid w:val="1551600D"/>
    <w:rsid w:val="155362A8"/>
    <w:rsid w:val="15577A73"/>
    <w:rsid w:val="155C2C83"/>
    <w:rsid w:val="155D7127"/>
    <w:rsid w:val="1560191E"/>
    <w:rsid w:val="157306F8"/>
    <w:rsid w:val="157B135B"/>
    <w:rsid w:val="157B75AD"/>
    <w:rsid w:val="15907B65"/>
    <w:rsid w:val="15915022"/>
    <w:rsid w:val="15A07014"/>
    <w:rsid w:val="15A64FE4"/>
    <w:rsid w:val="15A831E8"/>
    <w:rsid w:val="15AE34DE"/>
    <w:rsid w:val="15B50D11"/>
    <w:rsid w:val="15BB209F"/>
    <w:rsid w:val="15BD7BC5"/>
    <w:rsid w:val="15BF56EC"/>
    <w:rsid w:val="15C962CC"/>
    <w:rsid w:val="15CA22E2"/>
    <w:rsid w:val="15CF3257"/>
    <w:rsid w:val="15DC59A2"/>
    <w:rsid w:val="15DD10A5"/>
    <w:rsid w:val="15DD3DC4"/>
    <w:rsid w:val="15DF7B3C"/>
    <w:rsid w:val="15FB249C"/>
    <w:rsid w:val="15FF01DE"/>
    <w:rsid w:val="15FF1F8C"/>
    <w:rsid w:val="16087E1D"/>
    <w:rsid w:val="160C46A9"/>
    <w:rsid w:val="16101E1D"/>
    <w:rsid w:val="16117F11"/>
    <w:rsid w:val="161504B0"/>
    <w:rsid w:val="162714E3"/>
    <w:rsid w:val="162A7DE2"/>
    <w:rsid w:val="162B0FD3"/>
    <w:rsid w:val="16302145"/>
    <w:rsid w:val="16322361"/>
    <w:rsid w:val="16353C00"/>
    <w:rsid w:val="163657C8"/>
    <w:rsid w:val="16377978"/>
    <w:rsid w:val="163F682C"/>
    <w:rsid w:val="16425791"/>
    <w:rsid w:val="16465E0D"/>
    <w:rsid w:val="164A731D"/>
    <w:rsid w:val="16575323"/>
    <w:rsid w:val="165A3666"/>
    <w:rsid w:val="165C73DE"/>
    <w:rsid w:val="16670DD7"/>
    <w:rsid w:val="16674055"/>
    <w:rsid w:val="167130FF"/>
    <w:rsid w:val="1675224E"/>
    <w:rsid w:val="16775FC6"/>
    <w:rsid w:val="167C182F"/>
    <w:rsid w:val="168801D3"/>
    <w:rsid w:val="16963635"/>
    <w:rsid w:val="169A74ED"/>
    <w:rsid w:val="169C5A2D"/>
    <w:rsid w:val="16A91EF8"/>
    <w:rsid w:val="16AD3796"/>
    <w:rsid w:val="16AF02C4"/>
    <w:rsid w:val="16BE3BF5"/>
    <w:rsid w:val="16BE59A3"/>
    <w:rsid w:val="16BF34C9"/>
    <w:rsid w:val="16CC35CC"/>
    <w:rsid w:val="16D80378"/>
    <w:rsid w:val="16DE255E"/>
    <w:rsid w:val="16DE4297"/>
    <w:rsid w:val="16E60821"/>
    <w:rsid w:val="16E96798"/>
    <w:rsid w:val="16F05D79"/>
    <w:rsid w:val="16F615E1"/>
    <w:rsid w:val="16F77107"/>
    <w:rsid w:val="16F92E7F"/>
    <w:rsid w:val="16FB1BF9"/>
    <w:rsid w:val="16FB5D37"/>
    <w:rsid w:val="16FC01E9"/>
    <w:rsid w:val="16FC296F"/>
    <w:rsid w:val="17052ADF"/>
    <w:rsid w:val="17092996"/>
    <w:rsid w:val="170B4961"/>
    <w:rsid w:val="170E4685"/>
    <w:rsid w:val="17171557"/>
    <w:rsid w:val="171D6872"/>
    <w:rsid w:val="17255A22"/>
    <w:rsid w:val="172674EC"/>
    <w:rsid w:val="17285513"/>
    <w:rsid w:val="172F4AF3"/>
    <w:rsid w:val="173043C7"/>
    <w:rsid w:val="17342109"/>
    <w:rsid w:val="1739327C"/>
    <w:rsid w:val="1740460A"/>
    <w:rsid w:val="17425967"/>
    <w:rsid w:val="174A7237"/>
    <w:rsid w:val="174B44C7"/>
    <w:rsid w:val="174F2A9F"/>
    <w:rsid w:val="175E3CFD"/>
    <w:rsid w:val="176127D3"/>
    <w:rsid w:val="176234E6"/>
    <w:rsid w:val="1765661D"/>
    <w:rsid w:val="17681DB3"/>
    <w:rsid w:val="176A78D9"/>
    <w:rsid w:val="176E561B"/>
    <w:rsid w:val="17701D14"/>
    <w:rsid w:val="17735226"/>
    <w:rsid w:val="177A5491"/>
    <w:rsid w:val="177B3209"/>
    <w:rsid w:val="17826121"/>
    <w:rsid w:val="178502B5"/>
    <w:rsid w:val="17896140"/>
    <w:rsid w:val="17920BDE"/>
    <w:rsid w:val="17935082"/>
    <w:rsid w:val="17942BA8"/>
    <w:rsid w:val="17974723"/>
    <w:rsid w:val="17AE3C6A"/>
    <w:rsid w:val="17B44FF8"/>
    <w:rsid w:val="17B46DA6"/>
    <w:rsid w:val="17B648CC"/>
    <w:rsid w:val="17B812E8"/>
    <w:rsid w:val="17BA4E9E"/>
    <w:rsid w:val="17BD20FF"/>
    <w:rsid w:val="17D00992"/>
    <w:rsid w:val="17D631C0"/>
    <w:rsid w:val="17DB07D7"/>
    <w:rsid w:val="17DE3E23"/>
    <w:rsid w:val="17EB6C6C"/>
    <w:rsid w:val="17F13B56"/>
    <w:rsid w:val="17F22ABB"/>
    <w:rsid w:val="17F35B20"/>
    <w:rsid w:val="17FE5B8E"/>
    <w:rsid w:val="18027B12"/>
    <w:rsid w:val="180715CC"/>
    <w:rsid w:val="18095344"/>
    <w:rsid w:val="180970F2"/>
    <w:rsid w:val="18100480"/>
    <w:rsid w:val="18160740"/>
    <w:rsid w:val="18162180"/>
    <w:rsid w:val="18167A61"/>
    <w:rsid w:val="18221F62"/>
    <w:rsid w:val="182633AB"/>
    <w:rsid w:val="18365A0D"/>
    <w:rsid w:val="183879D7"/>
    <w:rsid w:val="183D0B4A"/>
    <w:rsid w:val="183D4FEE"/>
    <w:rsid w:val="183E32DD"/>
    <w:rsid w:val="183F2B14"/>
    <w:rsid w:val="183F48C2"/>
    <w:rsid w:val="18477C1A"/>
    <w:rsid w:val="184862DB"/>
    <w:rsid w:val="184C6FDF"/>
    <w:rsid w:val="184D7185"/>
    <w:rsid w:val="184E71FB"/>
    <w:rsid w:val="18505ABC"/>
    <w:rsid w:val="185145F5"/>
    <w:rsid w:val="185C461C"/>
    <w:rsid w:val="185D1A25"/>
    <w:rsid w:val="185D743E"/>
    <w:rsid w:val="18627F18"/>
    <w:rsid w:val="18644AFA"/>
    <w:rsid w:val="186662F2"/>
    <w:rsid w:val="187933F7"/>
    <w:rsid w:val="187C78C4"/>
    <w:rsid w:val="187F2207"/>
    <w:rsid w:val="1883710B"/>
    <w:rsid w:val="18883AAD"/>
    <w:rsid w:val="189015C1"/>
    <w:rsid w:val="1890336F"/>
    <w:rsid w:val="18920D14"/>
    <w:rsid w:val="189746FE"/>
    <w:rsid w:val="18974DDB"/>
    <w:rsid w:val="189D02AC"/>
    <w:rsid w:val="189E29EE"/>
    <w:rsid w:val="189F624C"/>
    <w:rsid w:val="18AB63FB"/>
    <w:rsid w:val="18AD2173"/>
    <w:rsid w:val="18AD3F21"/>
    <w:rsid w:val="18AD40D7"/>
    <w:rsid w:val="18AE2B60"/>
    <w:rsid w:val="18AF4FA8"/>
    <w:rsid w:val="18B72FDA"/>
    <w:rsid w:val="18B77E59"/>
    <w:rsid w:val="18C1177B"/>
    <w:rsid w:val="18CB43A7"/>
    <w:rsid w:val="18CC3D9B"/>
    <w:rsid w:val="18E25825"/>
    <w:rsid w:val="18E37943"/>
    <w:rsid w:val="18F17B38"/>
    <w:rsid w:val="18F25DD8"/>
    <w:rsid w:val="18FB0BA0"/>
    <w:rsid w:val="19010DAE"/>
    <w:rsid w:val="19042742"/>
    <w:rsid w:val="19047787"/>
    <w:rsid w:val="190873AA"/>
    <w:rsid w:val="190A1374"/>
    <w:rsid w:val="190B02D6"/>
    <w:rsid w:val="190D676E"/>
    <w:rsid w:val="191108A3"/>
    <w:rsid w:val="19197809"/>
    <w:rsid w:val="191C2E55"/>
    <w:rsid w:val="19214221"/>
    <w:rsid w:val="1922282C"/>
    <w:rsid w:val="19257620"/>
    <w:rsid w:val="19285293"/>
    <w:rsid w:val="192963A9"/>
    <w:rsid w:val="192A37C4"/>
    <w:rsid w:val="19304615"/>
    <w:rsid w:val="19314B52"/>
    <w:rsid w:val="19353F17"/>
    <w:rsid w:val="193A456B"/>
    <w:rsid w:val="193E1B8A"/>
    <w:rsid w:val="19431A7B"/>
    <w:rsid w:val="19526877"/>
    <w:rsid w:val="19540841"/>
    <w:rsid w:val="1954439D"/>
    <w:rsid w:val="19564CDC"/>
    <w:rsid w:val="195B5754"/>
    <w:rsid w:val="195C00C2"/>
    <w:rsid w:val="195E16BF"/>
    <w:rsid w:val="195E346D"/>
    <w:rsid w:val="195F0E36"/>
    <w:rsid w:val="19600F94"/>
    <w:rsid w:val="19602C5A"/>
    <w:rsid w:val="196071E6"/>
    <w:rsid w:val="19614D0C"/>
    <w:rsid w:val="19677221"/>
    <w:rsid w:val="196F7429"/>
    <w:rsid w:val="19716520"/>
    <w:rsid w:val="197744D1"/>
    <w:rsid w:val="19806D82"/>
    <w:rsid w:val="198C3F77"/>
    <w:rsid w:val="198F2AF3"/>
    <w:rsid w:val="1991734B"/>
    <w:rsid w:val="199505BC"/>
    <w:rsid w:val="1995691B"/>
    <w:rsid w:val="1999614F"/>
    <w:rsid w:val="199A1468"/>
    <w:rsid w:val="19A21368"/>
    <w:rsid w:val="19A753EF"/>
    <w:rsid w:val="19A8293B"/>
    <w:rsid w:val="19AF5A77"/>
    <w:rsid w:val="19AF7825"/>
    <w:rsid w:val="19B37A3E"/>
    <w:rsid w:val="19B66E06"/>
    <w:rsid w:val="19B968F6"/>
    <w:rsid w:val="19C176BA"/>
    <w:rsid w:val="19C239FC"/>
    <w:rsid w:val="19C9198C"/>
    <w:rsid w:val="19CB1A1F"/>
    <w:rsid w:val="19D11E91"/>
    <w:rsid w:val="19D21766"/>
    <w:rsid w:val="19D379B8"/>
    <w:rsid w:val="19DB686C"/>
    <w:rsid w:val="19E219A9"/>
    <w:rsid w:val="19EA2F53"/>
    <w:rsid w:val="19F53DD2"/>
    <w:rsid w:val="19F94F44"/>
    <w:rsid w:val="19FA13E8"/>
    <w:rsid w:val="19FB0CBC"/>
    <w:rsid w:val="1A037B71"/>
    <w:rsid w:val="1A055BDC"/>
    <w:rsid w:val="1A0C2EC9"/>
    <w:rsid w:val="1A0D279E"/>
    <w:rsid w:val="1A0E6C42"/>
    <w:rsid w:val="1A107B73"/>
    <w:rsid w:val="1A16150E"/>
    <w:rsid w:val="1A18361C"/>
    <w:rsid w:val="1A1C66C0"/>
    <w:rsid w:val="1A1E46C9"/>
    <w:rsid w:val="1A200723"/>
    <w:rsid w:val="1A2050FF"/>
    <w:rsid w:val="1A22449B"/>
    <w:rsid w:val="1A295829"/>
    <w:rsid w:val="1A2E1092"/>
    <w:rsid w:val="1A2F0966"/>
    <w:rsid w:val="1A302494"/>
    <w:rsid w:val="1A37709D"/>
    <w:rsid w:val="1A420699"/>
    <w:rsid w:val="1A42393B"/>
    <w:rsid w:val="1A437A11"/>
    <w:rsid w:val="1A461974"/>
    <w:rsid w:val="1A46462D"/>
    <w:rsid w:val="1A4C59BC"/>
    <w:rsid w:val="1A530AF8"/>
    <w:rsid w:val="1A5403CD"/>
    <w:rsid w:val="1A5A3C35"/>
    <w:rsid w:val="1A642D06"/>
    <w:rsid w:val="1A654B12"/>
    <w:rsid w:val="1A734CF7"/>
    <w:rsid w:val="1A756CC1"/>
    <w:rsid w:val="1A764D21"/>
    <w:rsid w:val="1A78230D"/>
    <w:rsid w:val="1A7C004F"/>
    <w:rsid w:val="1A815666"/>
    <w:rsid w:val="1A845156"/>
    <w:rsid w:val="1A872550"/>
    <w:rsid w:val="1A9058A9"/>
    <w:rsid w:val="1A91692D"/>
    <w:rsid w:val="1A997D27"/>
    <w:rsid w:val="1A9F4C5C"/>
    <w:rsid w:val="1AA2382E"/>
    <w:rsid w:val="1AA43102"/>
    <w:rsid w:val="1AAD45DE"/>
    <w:rsid w:val="1AAE699F"/>
    <w:rsid w:val="1ABA46D4"/>
    <w:rsid w:val="1ABC669E"/>
    <w:rsid w:val="1AC75042"/>
    <w:rsid w:val="1AC90DBB"/>
    <w:rsid w:val="1AC94DA0"/>
    <w:rsid w:val="1ACB35A0"/>
    <w:rsid w:val="1AD03EF7"/>
    <w:rsid w:val="1AD172E8"/>
    <w:rsid w:val="1AD5150D"/>
    <w:rsid w:val="1AD51AB8"/>
    <w:rsid w:val="1AE31E7C"/>
    <w:rsid w:val="1AE47A0B"/>
    <w:rsid w:val="1AE60D31"/>
    <w:rsid w:val="1AE96D67"/>
    <w:rsid w:val="1AEB78DE"/>
    <w:rsid w:val="1AEE4DCF"/>
    <w:rsid w:val="1AEF6DF7"/>
    <w:rsid w:val="1AFC1190"/>
    <w:rsid w:val="1B03490F"/>
    <w:rsid w:val="1B046F80"/>
    <w:rsid w:val="1B0F4B68"/>
    <w:rsid w:val="1B245FF1"/>
    <w:rsid w:val="1B283D33"/>
    <w:rsid w:val="1B291859"/>
    <w:rsid w:val="1B304996"/>
    <w:rsid w:val="1B3267B5"/>
    <w:rsid w:val="1B3C333B"/>
    <w:rsid w:val="1B3F09DE"/>
    <w:rsid w:val="1B3F1CD3"/>
    <w:rsid w:val="1B40161D"/>
    <w:rsid w:val="1B42163D"/>
    <w:rsid w:val="1B441859"/>
    <w:rsid w:val="1B461979"/>
    <w:rsid w:val="1B4B46DE"/>
    <w:rsid w:val="1B536D34"/>
    <w:rsid w:val="1B574618"/>
    <w:rsid w:val="1B586FF5"/>
    <w:rsid w:val="1B627A11"/>
    <w:rsid w:val="1B6606B1"/>
    <w:rsid w:val="1B68395E"/>
    <w:rsid w:val="1B705134"/>
    <w:rsid w:val="1B7900EB"/>
    <w:rsid w:val="1B7F070C"/>
    <w:rsid w:val="1B8076CB"/>
    <w:rsid w:val="1B827018"/>
    <w:rsid w:val="1B835904"/>
    <w:rsid w:val="1B891FB6"/>
    <w:rsid w:val="1B8F3DB2"/>
    <w:rsid w:val="1B972C67"/>
    <w:rsid w:val="1B99253B"/>
    <w:rsid w:val="1BA01B1B"/>
    <w:rsid w:val="1BA07D6D"/>
    <w:rsid w:val="1BA43815"/>
    <w:rsid w:val="1BA710FC"/>
    <w:rsid w:val="1BAD67AF"/>
    <w:rsid w:val="1BB13D28"/>
    <w:rsid w:val="1BB27180"/>
    <w:rsid w:val="1BB93AA2"/>
    <w:rsid w:val="1BC670A8"/>
    <w:rsid w:val="1BC82E20"/>
    <w:rsid w:val="1BCF0653"/>
    <w:rsid w:val="1BF1198D"/>
    <w:rsid w:val="1BF60815"/>
    <w:rsid w:val="1BF65BDF"/>
    <w:rsid w:val="1BFD0D1C"/>
    <w:rsid w:val="1C1425F4"/>
    <w:rsid w:val="1C186DA4"/>
    <w:rsid w:val="1C19367C"/>
    <w:rsid w:val="1C1D7163"/>
    <w:rsid w:val="1C296C45"/>
    <w:rsid w:val="1C2D7127"/>
    <w:rsid w:val="1C33298F"/>
    <w:rsid w:val="1C3C66BC"/>
    <w:rsid w:val="1C3F50B7"/>
    <w:rsid w:val="1C44694B"/>
    <w:rsid w:val="1C450915"/>
    <w:rsid w:val="1C5135FC"/>
    <w:rsid w:val="1C536B8E"/>
    <w:rsid w:val="1C541391"/>
    <w:rsid w:val="1C5823F6"/>
    <w:rsid w:val="1C5E7925"/>
    <w:rsid w:val="1C625023"/>
    <w:rsid w:val="1C6C7C4F"/>
    <w:rsid w:val="1C7958C4"/>
    <w:rsid w:val="1C7B4373"/>
    <w:rsid w:val="1C876837"/>
    <w:rsid w:val="1C8D731D"/>
    <w:rsid w:val="1C8E1D05"/>
    <w:rsid w:val="1C8F393E"/>
    <w:rsid w:val="1C9571A6"/>
    <w:rsid w:val="1C9D605B"/>
    <w:rsid w:val="1CA13D9D"/>
    <w:rsid w:val="1CA27B15"/>
    <w:rsid w:val="1CA40C0C"/>
    <w:rsid w:val="1CA611B1"/>
    <w:rsid w:val="1CAC629E"/>
    <w:rsid w:val="1CB17D58"/>
    <w:rsid w:val="1CB33AD0"/>
    <w:rsid w:val="1CB50E38"/>
    <w:rsid w:val="1CB6711D"/>
    <w:rsid w:val="1CB810E7"/>
    <w:rsid w:val="1CBD494F"/>
    <w:rsid w:val="1CC17F9B"/>
    <w:rsid w:val="1CC932F4"/>
    <w:rsid w:val="1CD35F20"/>
    <w:rsid w:val="1CDC4DD5"/>
    <w:rsid w:val="1CDF48C5"/>
    <w:rsid w:val="1CE65C54"/>
    <w:rsid w:val="1CE7377A"/>
    <w:rsid w:val="1CF10155"/>
    <w:rsid w:val="1CF45968"/>
    <w:rsid w:val="1CFD070F"/>
    <w:rsid w:val="1CFF0AC4"/>
    <w:rsid w:val="1CFF2872"/>
    <w:rsid w:val="1D0609AB"/>
    <w:rsid w:val="1D17527E"/>
    <w:rsid w:val="1D1D776D"/>
    <w:rsid w:val="1D226162"/>
    <w:rsid w:val="1D3544E5"/>
    <w:rsid w:val="1D3B299E"/>
    <w:rsid w:val="1D3B3BFD"/>
    <w:rsid w:val="1D3C79E6"/>
    <w:rsid w:val="1D464944"/>
    <w:rsid w:val="1D4778A3"/>
    <w:rsid w:val="1D532BBD"/>
    <w:rsid w:val="1D5C7CC4"/>
    <w:rsid w:val="1D5D61A1"/>
    <w:rsid w:val="1D5F6196"/>
    <w:rsid w:val="1D6132A5"/>
    <w:rsid w:val="1D661597"/>
    <w:rsid w:val="1D686669"/>
    <w:rsid w:val="1D69513C"/>
    <w:rsid w:val="1D732CE9"/>
    <w:rsid w:val="1D792624"/>
    <w:rsid w:val="1D7B05B8"/>
    <w:rsid w:val="1D8006C2"/>
    <w:rsid w:val="1D8A4831"/>
    <w:rsid w:val="1D8D558B"/>
    <w:rsid w:val="1D8E56D5"/>
    <w:rsid w:val="1D9206F2"/>
    <w:rsid w:val="1D9236E6"/>
    <w:rsid w:val="1D94745E"/>
    <w:rsid w:val="1D9F5E03"/>
    <w:rsid w:val="1DAA2485"/>
    <w:rsid w:val="1DB16262"/>
    <w:rsid w:val="1DBB7F27"/>
    <w:rsid w:val="1DC15D79"/>
    <w:rsid w:val="1DC5308D"/>
    <w:rsid w:val="1DD90521"/>
    <w:rsid w:val="1DE63368"/>
    <w:rsid w:val="1DED3012"/>
    <w:rsid w:val="1DF443A0"/>
    <w:rsid w:val="1DFC5003"/>
    <w:rsid w:val="1E032872"/>
    <w:rsid w:val="1E06638F"/>
    <w:rsid w:val="1E0C3498"/>
    <w:rsid w:val="1E0F2F88"/>
    <w:rsid w:val="1E1175FE"/>
    <w:rsid w:val="1E122A78"/>
    <w:rsid w:val="1E1265D5"/>
    <w:rsid w:val="1E130FC8"/>
    <w:rsid w:val="1E146996"/>
    <w:rsid w:val="1E1A345A"/>
    <w:rsid w:val="1E236A34"/>
    <w:rsid w:val="1E2A6014"/>
    <w:rsid w:val="1E312B1D"/>
    <w:rsid w:val="1E3D18A3"/>
    <w:rsid w:val="1E3E561C"/>
    <w:rsid w:val="1E44525C"/>
    <w:rsid w:val="1E450758"/>
    <w:rsid w:val="1E4E1D03"/>
    <w:rsid w:val="1E4E20A0"/>
    <w:rsid w:val="1E50563C"/>
    <w:rsid w:val="1E560BB7"/>
    <w:rsid w:val="1E591D1A"/>
    <w:rsid w:val="1E5D0DB9"/>
    <w:rsid w:val="1E6247EE"/>
    <w:rsid w:val="1E672DC4"/>
    <w:rsid w:val="1E6D7CAF"/>
    <w:rsid w:val="1E733517"/>
    <w:rsid w:val="1E786D7F"/>
    <w:rsid w:val="1E7A2AF8"/>
    <w:rsid w:val="1E7A43DA"/>
    <w:rsid w:val="1E7D6144"/>
    <w:rsid w:val="1E7E1278"/>
    <w:rsid w:val="1E7E3C6A"/>
    <w:rsid w:val="1E817A1C"/>
    <w:rsid w:val="1E830638"/>
    <w:rsid w:val="1E845724"/>
    <w:rsid w:val="1E851D75"/>
    <w:rsid w:val="1E854FF8"/>
    <w:rsid w:val="1E876FC3"/>
    <w:rsid w:val="1E8F5E77"/>
    <w:rsid w:val="1E94348E"/>
    <w:rsid w:val="1EAB0F03"/>
    <w:rsid w:val="1EB11208"/>
    <w:rsid w:val="1EB16592"/>
    <w:rsid w:val="1EB31B66"/>
    <w:rsid w:val="1EB37DB8"/>
    <w:rsid w:val="1EC446FA"/>
    <w:rsid w:val="1EC478EE"/>
    <w:rsid w:val="1ECB18BD"/>
    <w:rsid w:val="1ECC0E79"/>
    <w:rsid w:val="1ED16490"/>
    <w:rsid w:val="1ED33FB6"/>
    <w:rsid w:val="1EDB10BC"/>
    <w:rsid w:val="1EE44415"/>
    <w:rsid w:val="1EEC578F"/>
    <w:rsid w:val="1EEC67A6"/>
    <w:rsid w:val="1EEE0DF0"/>
    <w:rsid w:val="1EF02DBA"/>
    <w:rsid w:val="1EF16220"/>
    <w:rsid w:val="1EF5217E"/>
    <w:rsid w:val="1F0506DA"/>
    <w:rsid w:val="1F0C0F60"/>
    <w:rsid w:val="1F0C571A"/>
    <w:rsid w:val="1F106FB8"/>
    <w:rsid w:val="1F1358C7"/>
    <w:rsid w:val="1F136AA8"/>
    <w:rsid w:val="1F147C79"/>
    <w:rsid w:val="1F1D7927"/>
    <w:rsid w:val="1F1F71FB"/>
    <w:rsid w:val="1F244811"/>
    <w:rsid w:val="1F292DC2"/>
    <w:rsid w:val="1F2B3DF2"/>
    <w:rsid w:val="1F2C1918"/>
    <w:rsid w:val="1F2E245C"/>
    <w:rsid w:val="1F317C70"/>
    <w:rsid w:val="1F3211FE"/>
    <w:rsid w:val="1F3A2287"/>
    <w:rsid w:val="1F3A4035"/>
    <w:rsid w:val="1F530B62"/>
    <w:rsid w:val="1F576995"/>
    <w:rsid w:val="1F5A6485"/>
    <w:rsid w:val="1F5B33FE"/>
    <w:rsid w:val="1F5B77C8"/>
    <w:rsid w:val="1F6115C2"/>
    <w:rsid w:val="1F6756CF"/>
    <w:rsid w:val="1F6E38F1"/>
    <w:rsid w:val="1F713D44"/>
    <w:rsid w:val="1F7C289F"/>
    <w:rsid w:val="1F7E03C6"/>
    <w:rsid w:val="1F8F4381"/>
    <w:rsid w:val="1F974FE3"/>
    <w:rsid w:val="1F9E0601"/>
    <w:rsid w:val="1F9E2816"/>
    <w:rsid w:val="1FBA6F24"/>
    <w:rsid w:val="1FBE2DC3"/>
    <w:rsid w:val="1FC85AE5"/>
    <w:rsid w:val="1FC85D4A"/>
    <w:rsid w:val="1FD61FB0"/>
    <w:rsid w:val="1FDC333E"/>
    <w:rsid w:val="1FE12599"/>
    <w:rsid w:val="1FE21D0D"/>
    <w:rsid w:val="1FE65F6B"/>
    <w:rsid w:val="1FE7539E"/>
    <w:rsid w:val="1FED10A7"/>
    <w:rsid w:val="1FEE053B"/>
    <w:rsid w:val="1FF13FC9"/>
    <w:rsid w:val="1FF7223E"/>
    <w:rsid w:val="1FFE5062"/>
    <w:rsid w:val="200D12EE"/>
    <w:rsid w:val="200D1749"/>
    <w:rsid w:val="201C198C"/>
    <w:rsid w:val="20247EC2"/>
    <w:rsid w:val="202D5948"/>
    <w:rsid w:val="203E1903"/>
    <w:rsid w:val="20425CFB"/>
    <w:rsid w:val="204A06CD"/>
    <w:rsid w:val="20517888"/>
    <w:rsid w:val="20523600"/>
    <w:rsid w:val="20547378"/>
    <w:rsid w:val="205E3A62"/>
    <w:rsid w:val="20605D1D"/>
    <w:rsid w:val="20652320"/>
    <w:rsid w:val="20662DFA"/>
    <w:rsid w:val="20671BE0"/>
    <w:rsid w:val="206770AC"/>
    <w:rsid w:val="20697989"/>
    <w:rsid w:val="206A6B9C"/>
    <w:rsid w:val="20783067"/>
    <w:rsid w:val="207D242B"/>
    <w:rsid w:val="207F08FF"/>
    <w:rsid w:val="2080016D"/>
    <w:rsid w:val="20831328"/>
    <w:rsid w:val="208539D6"/>
    <w:rsid w:val="208A0FEC"/>
    <w:rsid w:val="20935198"/>
    <w:rsid w:val="20963CB8"/>
    <w:rsid w:val="209854B7"/>
    <w:rsid w:val="209E05F3"/>
    <w:rsid w:val="209E73F6"/>
    <w:rsid w:val="20A51675"/>
    <w:rsid w:val="20A54965"/>
    <w:rsid w:val="20A774A8"/>
    <w:rsid w:val="20A81A1B"/>
    <w:rsid w:val="20AA6F98"/>
    <w:rsid w:val="20B07FB6"/>
    <w:rsid w:val="20B35E4D"/>
    <w:rsid w:val="20B55149"/>
    <w:rsid w:val="20B646FB"/>
    <w:rsid w:val="20BB11A5"/>
    <w:rsid w:val="20BB2F53"/>
    <w:rsid w:val="20C53DD2"/>
    <w:rsid w:val="20C71D93"/>
    <w:rsid w:val="20C77B4A"/>
    <w:rsid w:val="20D34741"/>
    <w:rsid w:val="20D36967"/>
    <w:rsid w:val="20D52267"/>
    <w:rsid w:val="20D61B3B"/>
    <w:rsid w:val="20DD111C"/>
    <w:rsid w:val="20E40B55"/>
    <w:rsid w:val="20E95D13"/>
    <w:rsid w:val="20EE3329"/>
    <w:rsid w:val="20F14BC7"/>
    <w:rsid w:val="20F621DE"/>
    <w:rsid w:val="20F753B2"/>
    <w:rsid w:val="20FA3253"/>
    <w:rsid w:val="20FB2FF3"/>
    <w:rsid w:val="20FB77F4"/>
    <w:rsid w:val="21076199"/>
    <w:rsid w:val="210F3FE9"/>
    <w:rsid w:val="211076DD"/>
    <w:rsid w:val="21132D8F"/>
    <w:rsid w:val="211865F8"/>
    <w:rsid w:val="211C11B2"/>
    <w:rsid w:val="211D776A"/>
    <w:rsid w:val="212D20A3"/>
    <w:rsid w:val="21313EF2"/>
    <w:rsid w:val="2139661D"/>
    <w:rsid w:val="213A656E"/>
    <w:rsid w:val="213B74B1"/>
    <w:rsid w:val="214178FD"/>
    <w:rsid w:val="21463165"/>
    <w:rsid w:val="21472A39"/>
    <w:rsid w:val="214B1270"/>
    <w:rsid w:val="214E3B8E"/>
    <w:rsid w:val="215A2310"/>
    <w:rsid w:val="215D04AF"/>
    <w:rsid w:val="215F7D83"/>
    <w:rsid w:val="21610A7A"/>
    <w:rsid w:val="21672A59"/>
    <w:rsid w:val="216830DB"/>
    <w:rsid w:val="21701F90"/>
    <w:rsid w:val="21734C07"/>
    <w:rsid w:val="217E5682"/>
    <w:rsid w:val="218D48F0"/>
    <w:rsid w:val="21902632"/>
    <w:rsid w:val="219519F6"/>
    <w:rsid w:val="219619A5"/>
    <w:rsid w:val="219739C1"/>
    <w:rsid w:val="219A3D68"/>
    <w:rsid w:val="219A700D"/>
    <w:rsid w:val="219E6AFD"/>
    <w:rsid w:val="219F152A"/>
    <w:rsid w:val="21A252F8"/>
    <w:rsid w:val="21BF4CC5"/>
    <w:rsid w:val="21C835AD"/>
    <w:rsid w:val="21D249F9"/>
    <w:rsid w:val="21D342CD"/>
    <w:rsid w:val="21D56297"/>
    <w:rsid w:val="21DE318A"/>
    <w:rsid w:val="21E47922"/>
    <w:rsid w:val="21E93AF0"/>
    <w:rsid w:val="21EA1D42"/>
    <w:rsid w:val="21EB5ABA"/>
    <w:rsid w:val="21EB7868"/>
    <w:rsid w:val="21EE54FF"/>
    <w:rsid w:val="21EF5B80"/>
    <w:rsid w:val="21F032CF"/>
    <w:rsid w:val="21FA5CFD"/>
    <w:rsid w:val="22034BB2"/>
    <w:rsid w:val="22050DDE"/>
    <w:rsid w:val="22052635"/>
    <w:rsid w:val="22124DF5"/>
    <w:rsid w:val="22162B37"/>
    <w:rsid w:val="221672DA"/>
    <w:rsid w:val="221C461E"/>
    <w:rsid w:val="22237002"/>
    <w:rsid w:val="222A0391"/>
    <w:rsid w:val="222D2C23"/>
    <w:rsid w:val="22325497"/>
    <w:rsid w:val="22344949"/>
    <w:rsid w:val="22356D36"/>
    <w:rsid w:val="223A1AD4"/>
    <w:rsid w:val="224376A4"/>
    <w:rsid w:val="224A3CE5"/>
    <w:rsid w:val="22576990"/>
    <w:rsid w:val="22576CAC"/>
    <w:rsid w:val="22592A24"/>
    <w:rsid w:val="22671FC9"/>
    <w:rsid w:val="22682C67"/>
    <w:rsid w:val="226A69DF"/>
    <w:rsid w:val="226C6BFB"/>
    <w:rsid w:val="22745AB0"/>
    <w:rsid w:val="227635D6"/>
    <w:rsid w:val="227E248B"/>
    <w:rsid w:val="22833F45"/>
    <w:rsid w:val="22883309"/>
    <w:rsid w:val="22960C42"/>
    <w:rsid w:val="22995516"/>
    <w:rsid w:val="229F39AE"/>
    <w:rsid w:val="22AE585D"/>
    <w:rsid w:val="22B10AB2"/>
    <w:rsid w:val="22B42350"/>
    <w:rsid w:val="22C639CF"/>
    <w:rsid w:val="22C74032"/>
    <w:rsid w:val="22DB4DB8"/>
    <w:rsid w:val="22DB78DD"/>
    <w:rsid w:val="22E2388D"/>
    <w:rsid w:val="22E33E65"/>
    <w:rsid w:val="22E569AE"/>
    <w:rsid w:val="22F47480"/>
    <w:rsid w:val="22FE466B"/>
    <w:rsid w:val="23045086"/>
    <w:rsid w:val="23046782"/>
    <w:rsid w:val="23052BAC"/>
    <w:rsid w:val="2306260B"/>
    <w:rsid w:val="2309269C"/>
    <w:rsid w:val="230961F8"/>
    <w:rsid w:val="23103A2A"/>
    <w:rsid w:val="231A4A0C"/>
    <w:rsid w:val="23201794"/>
    <w:rsid w:val="233344D7"/>
    <w:rsid w:val="23395957"/>
    <w:rsid w:val="23405992"/>
    <w:rsid w:val="2346744C"/>
    <w:rsid w:val="234B4A63"/>
    <w:rsid w:val="234B6811"/>
    <w:rsid w:val="234E4553"/>
    <w:rsid w:val="234E6EE4"/>
    <w:rsid w:val="235D4796"/>
    <w:rsid w:val="236079E2"/>
    <w:rsid w:val="23607DE2"/>
    <w:rsid w:val="23621DAC"/>
    <w:rsid w:val="23684575"/>
    <w:rsid w:val="236D2C2B"/>
    <w:rsid w:val="23700025"/>
    <w:rsid w:val="237044C9"/>
    <w:rsid w:val="237F295E"/>
    <w:rsid w:val="23825FAA"/>
    <w:rsid w:val="23874E09"/>
    <w:rsid w:val="238E1D41"/>
    <w:rsid w:val="23906919"/>
    <w:rsid w:val="239857CE"/>
    <w:rsid w:val="239C52BE"/>
    <w:rsid w:val="239F6B5C"/>
    <w:rsid w:val="23A44173"/>
    <w:rsid w:val="23A91789"/>
    <w:rsid w:val="23B14B72"/>
    <w:rsid w:val="23C40542"/>
    <w:rsid w:val="23D23BAA"/>
    <w:rsid w:val="23D34A58"/>
    <w:rsid w:val="23DE1C48"/>
    <w:rsid w:val="23E34C9B"/>
    <w:rsid w:val="23E6610A"/>
    <w:rsid w:val="23E718EE"/>
    <w:rsid w:val="23EE12CB"/>
    <w:rsid w:val="23FA0237"/>
    <w:rsid w:val="240210CD"/>
    <w:rsid w:val="24082954"/>
    <w:rsid w:val="2409047A"/>
    <w:rsid w:val="24156E1F"/>
    <w:rsid w:val="241A5C0D"/>
    <w:rsid w:val="242541C6"/>
    <w:rsid w:val="242F6510"/>
    <w:rsid w:val="24324EFE"/>
    <w:rsid w:val="243B4AD7"/>
    <w:rsid w:val="24416765"/>
    <w:rsid w:val="24417C14"/>
    <w:rsid w:val="24455956"/>
    <w:rsid w:val="245034E6"/>
    <w:rsid w:val="245636BF"/>
    <w:rsid w:val="245931AF"/>
    <w:rsid w:val="245A3E96"/>
    <w:rsid w:val="245D3B5D"/>
    <w:rsid w:val="246C0586"/>
    <w:rsid w:val="246D27B7"/>
    <w:rsid w:val="24724271"/>
    <w:rsid w:val="24743B45"/>
    <w:rsid w:val="247705FD"/>
    <w:rsid w:val="247728B5"/>
    <w:rsid w:val="248356FB"/>
    <w:rsid w:val="2487097B"/>
    <w:rsid w:val="248B0E8F"/>
    <w:rsid w:val="248C70E1"/>
    <w:rsid w:val="24A51CE7"/>
    <w:rsid w:val="24A81A41"/>
    <w:rsid w:val="24A93C7C"/>
    <w:rsid w:val="24AA180C"/>
    <w:rsid w:val="24AB4F00"/>
    <w:rsid w:val="24AC5839"/>
    <w:rsid w:val="24BF09F7"/>
    <w:rsid w:val="24C30629"/>
    <w:rsid w:val="24D10F97"/>
    <w:rsid w:val="24D40A88"/>
    <w:rsid w:val="24D6196E"/>
    <w:rsid w:val="24DB1E16"/>
    <w:rsid w:val="24E444AE"/>
    <w:rsid w:val="24E74595"/>
    <w:rsid w:val="24E94533"/>
    <w:rsid w:val="24EA02AB"/>
    <w:rsid w:val="24ED126A"/>
    <w:rsid w:val="24ED56A6"/>
    <w:rsid w:val="24F44C86"/>
    <w:rsid w:val="24F55FD6"/>
    <w:rsid w:val="24F829C8"/>
    <w:rsid w:val="24FB4C50"/>
    <w:rsid w:val="24FE6DEF"/>
    <w:rsid w:val="2500187D"/>
    <w:rsid w:val="2508103C"/>
    <w:rsid w:val="25097B97"/>
    <w:rsid w:val="25164BFC"/>
    <w:rsid w:val="25186BC6"/>
    <w:rsid w:val="251A293E"/>
    <w:rsid w:val="252512E3"/>
    <w:rsid w:val="25253091"/>
    <w:rsid w:val="252D53FE"/>
    <w:rsid w:val="252E1F46"/>
    <w:rsid w:val="25364ED1"/>
    <w:rsid w:val="253852E4"/>
    <w:rsid w:val="253B28B5"/>
    <w:rsid w:val="253E5283"/>
    <w:rsid w:val="25473008"/>
    <w:rsid w:val="254A2AF8"/>
    <w:rsid w:val="254E7310"/>
    <w:rsid w:val="25515E03"/>
    <w:rsid w:val="25521CFB"/>
    <w:rsid w:val="25544676"/>
    <w:rsid w:val="25553DF3"/>
    <w:rsid w:val="255676EF"/>
    <w:rsid w:val="25585215"/>
    <w:rsid w:val="255D0A7D"/>
    <w:rsid w:val="256911D0"/>
    <w:rsid w:val="25825ED9"/>
    <w:rsid w:val="25861D82"/>
    <w:rsid w:val="258B3111"/>
    <w:rsid w:val="258C1362"/>
    <w:rsid w:val="258C4EBE"/>
    <w:rsid w:val="259049AF"/>
    <w:rsid w:val="259326F1"/>
    <w:rsid w:val="259C6EA3"/>
    <w:rsid w:val="25A1676E"/>
    <w:rsid w:val="25A20B86"/>
    <w:rsid w:val="25A3610D"/>
    <w:rsid w:val="25A50377"/>
    <w:rsid w:val="25A95A70"/>
    <w:rsid w:val="25C44658"/>
    <w:rsid w:val="25CA3B84"/>
    <w:rsid w:val="25CF7050"/>
    <w:rsid w:val="25E35426"/>
    <w:rsid w:val="25E449BC"/>
    <w:rsid w:val="25E82A3D"/>
    <w:rsid w:val="25E85253"/>
    <w:rsid w:val="25EC2B04"/>
    <w:rsid w:val="25EC2D81"/>
    <w:rsid w:val="25EE7927"/>
    <w:rsid w:val="25F0369F"/>
    <w:rsid w:val="25F71EBD"/>
    <w:rsid w:val="25FF7039"/>
    <w:rsid w:val="26041B6B"/>
    <w:rsid w:val="260809E9"/>
    <w:rsid w:val="26163677"/>
    <w:rsid w:val="26240E1A"/>
    <w:rsid w:val="26261822"/>
    <w:rsid w:val="26282E39"/>
    <w:rsid w:val="262B46D7"/>
    <w:rsid w:val="26355556"/>
    <w:rsid w:val="263A1EA7"/>
    <w:rsid w:val="26431A18"/>
    <w:rsid w:val="264D1172"/>
    <w:rsid w:val="264D28A0"/>
    <w:rsid w:val="265005E2"/>
    <w:rsid w:val="26514953"/>
    <w:rsid w:val="265C0D35"/>
    <w:rsid w:val="265C6F87"/>
    <w:rsid w:val="265E437F"/>
    <w:rsid w:val="26651485"/>
    <w:rsid w:val="26652F31"/>
    <w:rsid w:val="266F6B09"/>
    <w:rsid w:val="26747E2C"/>
    <w:rsid w:val="26775B6F"/>
    <w:rsid w:val="2678162D"/>
    <w:rsid w:val="26822D6B"/>
    <w:rsid w:val="2685203A"/>
    <w:rsid w:val="26895B50"/>
    <w:rsid w:val="268A57C3"/>
    <w:rsid w:val="268D36DE"/>
    <w:rsid w:val="26971D6D"/>
    <w:rsid w:val="269845BF"/>
    <w:rsid w:val="26A06E73"/>
    <w:rsid w:val="26A5448A"/>
    <w:rsid w:val="26AD6327"/>
    <w:rsid w:val="26AF355A"/>
    <w:rsid w:val="26B02E2F"/>
    <w:rsid w:val="26B24DF9"/>
    <w:rsid w:val="26B75F6B"/>
    <w:rsid w:val="26BF7D06"/>
    <w:rsid w:val="26C21FA0"/>
    <w:rsid w:val="26C2328E"/>
    <w:rsid w:val="26C568DA"/>
    <w:rsid w:val="26CC4A39"/>
    <w:rsid w:val="26D15860"/>
    <w:rsid w:val="26D273F9"/>
    <w:rsid w:val="26D42FC1"/>
    <w:rsid w:val="26E8081A"/>
    <w:rsid w:val="26EC20B9"/>
    <w:rsid w:val="26F3336C"/>
    <w:rsid w:val="26F55043"/>
    <w:rsid w:val="26F56539"/>
    <w:rsid w:val="26F64CE5"/>
    <w:rsid w:val="26F92A28"/>
    <w:rsid w:val="26FB22FC"/>
    <w:rsid w:val="26FB4A89"/>
    <w:rsid w:val="26FD3900"/>
    <w:rsid w:val="26FD3A84"/>
    <w:rsid w:val="26FD42C6"/>
    <w:rsid w:val="26FD7357"/>
    <w:rsid w:val="270936C7"/>
    <w:rsid w:val="270962CA"/>
    <w:rsid w:val="27097A05"/>
    <w:rsid w:val="270B7A08"/>
    <w:rsid w:val="27165388"/>
    <w:rsid w:val="271B0BF0"/>
    <w:rsid w:val="27206206"/>
    <w:rsid w:val="272760EF"/>
    <w:rsid w:val="272A2BE1"/>
    <w:rsid w:val="272E0923"/>
    <w:rsid w:val="272E6D87"/>
    <w:rsid w:val="27315D1D"/>
    <w:rsid w:val="2734580E"/>
    <w:rsid w:val="2742617D"/>
    <w:rsid w:val="2749160A"/>
    <w:rsid w:val="274A6DDF"/>
    <w:rsid w:val="274D0515"/>
    <w:rsid w:val="274E68CF"/>
    <w:rsid w:val="274F766D"/>
    <w:rsid w:val="27541A0C"/>
    <w:rsid w:val="27547C5E"/>
    <w:rsid w:val="275A0D42"/>
    <w:rsid w:val="275D09A5"/>
    <w:rsid w:val="27657C3A"/>
    <w:rsid w:val="276A122F"/>
    <w:rsid w:val="276A7218"/>
    <w:rsid w:val="276F41A3"/>
    <w:rsid w:val="277057A2"/>
    <w:rsid w:val="27714450"/>
    <w:rsid w:val="277D5407"/>
    <w:rsid w:val="27800A53"/>
    <w:rsid w:val="27893DAB"/>
    <w:rsid w:val="2790601F"/>
    <w:rsid w:val="279664C8"/>
    <w:rsid w:val="2797395A"/>
    <w:rsid w:val="27AC1848"/>
    <w:rsid w:val="27B869FF"/>
    <w:rsid w:val="27C923FA"/>
    <w:rsid w:val="27C941A8"/>
    <w:rsid w:val="27CC1EEA"/>
    <w:rsid w:val="27D25752"/>
    <w:rsid w:val="27D74B17"/>
    <w:rsid w:val="27DA0163"/>
    <w:rsid w:val="27DF40A6"/>
    <w:rsid w:val="27E533D0"/>
    <w:rsid w:val="27F44786"/>
    <w:rsid w:val="27F53BFF"/>
    <w:rsid w:val="27F60D15"/>
    <w:rsid w:val="27F677B1"/>
    <w:rsid w:val="28056EDC"/>
    <w:rsid w:val="28072F22"/>
    <w:rsid w:val="28113A35"/>
    <w:rsid w:val="281211E6"/>
    <w:rsid w:val="281D5C9E"/>
    <w:rsid w:val="2820363B"/>
    <w:rsid w:val="28245882"/>
    <w:rsid w:val="28277120"/>
    <w:rsid w:val="282E04AF"/>
    <w:rsid w:val="28314E7A"/>
    <w:rsid w:val="2833607F"/>
    <w:rsid w:val="283563E6"/>
    <w:rsid w:val="2838132E"/>
    <w:rsid w:val="283D6E49"/>
    <w:rsid w:val="283F090E"/>
    <w:rsid w:val="283F5DE7"/>
    <w:rsid w:val="28433F5A"/>
    <w:rsid w:val="285443B9"/>
    <w:rsid w:val="28575C58"/>
    <w:rsid w:val="28586C18"/>
    <w:rsid w:val="285C501C"/>
    <w:rsid w:val="286345FC"/>
    <w:rsid w:val="28687E65"/>
    <w:rsid w:val="286D5B95"/>
    <w:rsid w:val="28706D19"/>
    <w:rsid w:val="28754330"/>
    <w:rsid w:val="28771E56"/>
    <w:rsid w:val="288307FB"/>
    <w:rsid w:val="289478CD"/>
    <w:rsid w:val="2898484E"/>
    <w:rsid w:val="289A05F8"/>
    <w:rsid w:val="289F721E"/>
    <w:rsid w:val="28A12756"/>
    <w:rsid w:val="28BE5CD7"/>
    <w:rsid w:val="28C001DF"/>
    <w:rsid w:val="28CD090B"/>
    <w:rsid w:val="28D9041B"/>
    <w:rsid w:val="28DE0127"/>
    <w:rsid w:val="28E63B51"/>
    <w:rsid w:val="28E745CD"/>
    <w:rsid w:val="28E84B02"/>
    <w:rsid w:val="28ED036A"/>
    <w:rsid w:val="28EE033E"/>
    <w:rsid w:val="28FA3A62"/>
    <w:rsid w:val="28FB2E04"/>
    <w:rsid w:val="29042132"/>
    <w:rsid w:val="29057462"/>
    <w:rsid w:val="290C2A00"/>
    <w:rsid w:val="291122AA"/>
    <w:rsid w:val="29177195"/>
    <w:rsid w:val="29191410"/>
    <w:rsid w:val="291C47AB"/>
    <w:rsid w:val="291D0C4F"/>
    <w:rsid w:val="291E0523"/>
    <w:rsid w:val="29206EB8"/>
    <w:rsid w:val="29220014"/>
    <w:rsid w:val="29235B3A"/>
    <w:rsid w:val="29236F44"/>
    <w:rsid w:val="29385A89"/>
    <w:rsid w:val="293D6BFB"/>
    <w:rsid w:val="29445734"/>
    <w:rsid w:val="29471828"/>
    <w:rsid w:val="294C3993"/>
    <w:rsid w:val="294F692F"/>
    <w:rsid w:val="29542197"/>
    <w:rsid w:val="29595666"/>
    <w:rsid w:val="295D729E"/>
    <w:rsid w:val="295E6B72"/>
    <w:rsid w:val="29642F05"/>
    <w:rsid w:val="296E5EF3"/>
    <w:rsid w:val="296F6FD1"/>
    <w:rsid w:val="29702DE9"/>
    <w:rsid w:val="29736AC1"/>
    <w:rsid w:val="29774DE5"/>
    <w:rsid w:val="29793390"/>
    <w:rsid w:val="297B7EFE"/>
    <w:rsid w:val="29874881"/>
    <w:rsid w:val="298962E5"/>
    <w:rsid w:val="298E4DDE"/>
    <w:rsid w:val="298F5703"/>
    <w:rsid w:val="29940285"/>
    <w:rsid w:val="2996455E"/>
    <w:rsid w:val="29A11AD9"/>
    <w:rsid w:val="29AC5B2F"/>
    <w:rsid w:val="29B11398"/>
    <w:rsid w:val="29B844D4"/>
    <w:rsid w:val="29BB3FC4"/>
    <w:rsid w:val="29C54E43"/>
    <w:rsid w:val="29C56BF1"/>
    <w:rsid w:val="29CA4E9C"/>
    <w:rsid w:val="29CE1F49"/>
    <w:rsid w:val="29CE3CF8"/>
    <w:rsid w:val="29D37560"/>
    <w:rsid w:val="29D86924"/>
    <w:rsid w:val="29DB01C2"/>
    <w:rsid w:val="29DB0BBB"/>
    <w:rsid w:val="29DD218D"/>
    <w:rsid w:val="29E325E0"/>
    <w:rsid w:val="29E327E5"/>
    <w:rsid w:val="29EC0622"/>
    <w:rsid w:val="29EC085D"/>
    <w:rsid w:val="29EE7EF6"/>
    <w:rsid w:val="29EF6C72"/>
    <w:rsid w:val="29F86FC6"/>
    <w:rsid w:val="29FA07F7"/>
    <w:rsid w:val="29FA2D3E"/>
    <w:rsid w:val="29FF65A7"/>
    <w:rsid w:val="2A044BEE"/>
    <w:rsid w:val="2A077209"/>
    <w:rsid w:val="2A092F82"/>
    <w:rsid w:val="2A0C65CE"/>
    <w:rsid w:val="2A0D0CC4"/>
    <w:rsid w:val="2A1611F4"/>
    <w:rsid w:val="2A1C0F07"/>
    <w:rsid w:val="2A2102CB"/>
    <w:rsid w:val="2A2878AC"/>
    <w:rsid w:val="2A2E4796"/>
    <w:rsid w:val="2A3224D8"/>
    <w:rsid w:val="2A3A75DF"/>
    <w:rsid w:val="2A3F179D"/>
    <w:rsid w:val="2A431C41"/>
    <w:rsid w:val="2A452503"/>
    <w:rsid w:val="2A454D48"/>
    <w:rsid w:val="2A4E62E2"/>
    <w:rsid w:val="2A506E02"/>
    <w:rsid w:val="2A554419"/>
    <w:rsid w:val="2A570191"/>
    <w:rsid w:val="2A6073C1"/>
    <w:rsid w:val="2A6308E4"/>
    <w:rsid w:val="2A636C4A"/>
    <w:rsid w:val="2A6922B9"/>
    <w:rsid w:val="2A6E600C"/>
    <w:rsid w:val="2A77613D"/>
    <w:rsid w:val="2A842608"/>
    <w:rsid w:val="2A8C4F5A"/>
    <w:rsid w:val="2A904D41"/>
    <w:rsid w:val="2A905451"/>
    <w:rsid w:val="2A954815"/>
    <w:rsid w:val="2A962CCA"/>
    <w:rsid w:val="2A97233B"/>
    <w:rsid w:val="2A9E7B6E"/>
    <w:rsid w:val="2AA42CAA"/>
    <w:rsid w:val="2AA50EFC"/>
    <w:rsid w:val="2AA66A22"/>
    <w:rsid w:val="2AA809EC"/>
    <w:rsid w:val="2AA9028C"/>
    <w:rsid w:val="2AAA4765"/>
    <w:rsid w:val="2AAA55F3"/>
    <w:rsid w:val="2AAE213C"/>
    <w:rsid w:val="2ABE3D6C"/>
    <w:rsid w:val="2AC507FE"/>
    <w:rsid w:val="2ACB6489"/>
    <w:rsid w:val="2AD92954"/>
    <w:rsid w:val="2ADE440E"/>
    <w:rsid w:val="2AE310C0"/>
    <w:rsid w:val="2AE60549"/>
    <w:rsid w:val="2AE61515"/>
    <w:rsid w:val="2AED4651"/>
    <w:rsid w:val="2AEE471D"/>
    <w:rsid w:val="2AEF2177"/>
    <w:rsid w:val="2AF17148"/>
    <w:rsid w:val="2AF23A16"/>
    <w:rsid w:val="2AF92FF6"/>
    <w:rsid w:val="2AFB6D6E"/>
    <w:rsid w:val="2B001179"/>
    <w:rsid w:val="2B0674C1"/>
    <w:rsid w:val="2B06787C"/>
    <w:rsid w:val="2B0B2D29"/>
    <w:rsid w:val="2B207844"/>
    <w:rsid w:val="2B234BA1"/>
    <w:rsid w:val="2B2A7653"/>
    <w:rsid w:val="2B2E2E69"/>
    <w:rsid w:val="2B326787"/>
    <w:rsid w:val="2B3B716B"/>
    <w:rsid w:val="2B3C1135"/>
    <w:rsid w:val="2B3E5D14"/>
    <w:rsid w:val="2B3E6C5B"/>
    <w:rsid w:val="2B40501A"/>
    <w:rsid w:val="2B410A44"/>
    <w:rsid w:val="2B474549"/>
    <w:rsid w:val="2B4964EA"/>
    <w:rsid w:val="2B4A324B"/>
    <w:rsid w:val="2B4A4BC0"/>
    <w:rsid w:val="2B620B9B"/>
    <w:rsid w:val="2B62264C"/>
    <w:rsid w:val="2B626DED"/>
    <w:rsid w:val="2B63606C"/>
    <w:rsid w:val="2B6B5E56"/>
    <w:rsid w:val="2B6C1A1A"/>
    <w:rsid w:val="2B7408CF"/>
    <w:rsid w:val="2B765875"/>
    <w:rsid w:val="2B7D7254"/>
    <w:rsid w:val="2B7E5D28"/>
    <w:rsid w:val="2B812B79"/>
    <w:rsid w:val="2B85488A"/>
    <w:rsid w:val="2B8C3E6A"/>
    <w:rsid w:val="2B8D373E"/>
    <w:rsid w:val="2B91029B"/>
    <w:rsid w:val="2B936C1F"/>
    <w:rsid w:val="2B944ACD"/>
    <w:rsid w:val="2B98280F"/>
    <w:rsid w:val="2B9D1BD3"/>
    <w:rsid w:val="2B9D1F1D"/>
    <w:rsid w:val="2BA2543C"/>
    <w:rsid w:val="2BA42B91"/>
    <w:rsid w:val="2BA936A8"/>
    <w:rsid w:val="2BAA613D"/>
    <w:rsid w:val="2BAC1E16"/>
    <w:rsid w:val="2BB718BD"/>
    <w:rsid w:val="2BBA2A19"/>
    <w:rsid w:val="2BBE1B4A"/>
    <w:rsid w:val="2BC67C16"/>
    <w:rsid w:val="2BCF3D57"/>
    <w:rsid w:val="2BD66E93"/>
    <w:rsid w:val="2BD96F47"/>
    <w:rsid w:val="2BDA2E28"/>
    <w:rsid w:val="2BDB00FF"/>
    <w:rsid w:val="2BE119D8"/>
    <w:rsid w:val="2BE5357A"/>
    <w:rsid w:val="2BF043F9"/>
    <w:rsid w:val="2BFA5278"/>
    <w:rsid w:val="2C057779"/>
    <w:rsid w:val="2C153E60"/>
    <w:rsid w:val="2C161986"/>
    <w:rsid w:val="2C1A688E"/>
    <w:rsid w:val="2C1B0D4A"/>
    <w:rsid w:val="2C2220D9"/>
    <w:rsid w:val="2C26606D"/>
    <w:rsid w:val="2C273B93"/>
    <w:rsid w:val="2C2B3683"/>
    <w:rsid w:val="2C30488A"/>
    <w:rsid w:val="2C315A5A"/>
    <w:rsid w:val="2C332538"/>
    <w:rsid w:val="2C3A1B18"/>
    <w:rsid w:val="2C3B319A"/>
    <w:rsid w:val="2C424529"/>
    <w:rsid w:val="2C471B3F"/>
    <w:rsid w:val="2C48446B"/>
    <w:rsid w:val="2C4B1C25"/>
    <w:rsid w:val="2C4C53A8"/>
    <w:rsid w:val="2C5A1872"/>
    <w:rsid w:val="2C5A5D16"/>
    <w:rsid w:val="2C5F157F"/>
    <w:rsid w:val="2C5F3BD4"/>
    <w:rsid w:val="2C666469"/>
    <w:rsid w:val="2C7566AC"/>
    <w:rsid w:val="2C78619D"/>
    <w:rsid w:val="2C792444"/>
    <w:rsid w:val="2C79468E"/>
    <w:rsid w:val="2C7A3CC3"/>
    <w:rsid w:val="2C7D7347"/>
    <w:rsid w:val="2C884632"/>
    <w:rsid w:val="2C8E62CA"/>
    <w:rsid w:val="2C916DB3"/>
    <w:rsid w:val="2C92725E"/>
    <w:rsid w:val="2C934D84"/>
    <w:rsid w:val="2CA376BD"/>
    <w:rsid w:val="2CB371D5"/>
    <w:rsid w:val="2CC7090F"/>
    <w:rsid w:val="2CD07D87"/>
    <w:rsid w:val="2CD6763D"/>
    <w:rsid w:val="2CD930DF"/>
    <w:rsid w:val="2CE61358"/>
    <w:rsid w:val="2CED26E7"/>
    <w:rsid w:val="2CEE645F"/>
    <w:rsid w:val="2CEF3FED"/>
    <w:rsid w:val="2CF021D7"/>
    <w:rsid w:val="2CF41CC7"/>
    <w:rsid w:val="2CFA0444"/>
    <w:rsid w:val="2D016192"/>
    <w:rsid w:val="2D0352DC"/>
    <w:rsid w:val="2D0363AE"/>
    <w:rsid w:val="2D130A51"/>
    <w:rsid w:val="2D177764"/>
    <w:rsid w:val="2D296323"/>
    <w:rsid w:val="2D2A393B"/>
    <w:rsid w:val="2D2A4FE4"/>
    <w:rsid w:val="2D2D51D9"/>
    <w:rsid w:val="2D306A77"/>
    <w:rsid w:val="2D376058"/>
    <w:rsid w:val="2D4010AF"/>
    <w:rsid w:val="2D4C1B03"/>
    <w:rsid w:val="2D5C5ABE"/>
    <w:rsid w:val="2D5E5392"/>
    <w:rsid w:val="2D671EC0"/>
    <w:rsid w:val="2D6C0089"/>
    <w:rsid w:val="2D7317BD"/>
    <w:rsid w:val="2D7B7CF2"/>
    <w:rsid w:val="2D86478F"/>
    <w:rsid w:val="2D8D5C78"/>
    <w:rsid w:val="2D945258"/>
    <w:rsid w:val="2D98256B"/>
    <w:rsid w:val="2D9B30E0"/>
    <w:rsid w:val="2D9E56F5"/>
    <w:rsid w:val="2DA27975"/>
    <w:rsid w:val="2DA96B64"/>
    <w:rsid w:val="2DAE2D4D"/>
    <w:rsid w:val="2DAE631A"/>
    <w:rsid w:val="2DB41456"/>
    <w:rsid w:val="2DB770D2"/>
    <w:rsid w:val="2DBE774D"/>
    <w:rsid w:val="2DCC054E"/>
    <w:rsid w:val="2DCC7DC9"/>
    <w:rsid w:val="2DCE076A"/>
    <w:rsid w:val="2DD332D6"/>
    <w:rsid w:val="2DE36310"/>
    <w:rsid w:val="2DEC299E"/>
    <w:rsid w:val="2DEC2B78"/>
    <w:rsid w:val="2DFD4BAB"/>
    <w:rsid w:val="2E032D91"/>
    <w:rsid w:val="2E156399"/>
    <w:rsid w:val="2E163EBF"/>
    <w:rsid w:val="2E183793"/>
    <w:rsid w:val="2E1C64EE"/>
    <w:rsid w:val="2E277E7A"/>
    <w:rsid w:val="2E2B2D7C"/>
    <w:rsid w:val="2E2E1209"/>
    <w:rsid w:val="2E444588"/>
    <w:rsid w:val="2E4722CA"/>
    <w:rsid w:val="2E516BDC"/>
    <w:rsid w:val="2E5642BC"/>
    <w:rsid w:val="2E5844D8"/>
    <w:rsid w:val="2E5A3DAC"/>
    <w:rsid w:val="2E5B7B24"/>
    <w:rsid w:val="2E600B2D"/>
    <w:rsid w:val="2E613F48"/>
    <w:rsid w:val="2E637258"/>
    <w:rsid w:val="2E6609A2"/>
    <w:rsid w:val="2E667F96"/>
    <w:rsid w:val="2E741536"/>
    <w:rsid w:val="2E7B2FD1"/>
    <w:rsid w:val="2E7C01C6"/>
    <w:rsid w:val="2E7F1A64"/>
    <w:rsid w:val="2E814EDA"/>
    <w:rsid w:val="2E8226AB"/>
    <w:rsid w:val="2E90111B"/>
    <w:rsid w:val="2E954DE4"/>
    <w:rsid w:val="2E976DAE"/>
    <w:rsid w:val="2E9848D4"/>
    <w:rsid w:val="2E9A4AF0"/>
    <w:rsid w:val="2EA119DB"/>
    <w:rsid w:val="2EA86D20"/>
    <w:rsid w:val="2EB536D8"/>
    <w:rsid w:val="2EB63EF5"/>
    <w:rsid w:val="2EB707A1"/>
    <w:rsid w:val="2EBC05C2"/>
    <w:rsid w:val="2EBE4AFB"/>
    <w:rsid w:val="2EC15BD9"/>
    <w:rsid w:val="2EC27BA3"/>
    <w:rsid w:val="2EC76F67"/>
    <w:rsid w:val="2ED20456"/>
    <w:rsid w:val="2ED4433F"/>
    <w:rsid w:val="2ED51684"/>
    <w:rsid w:val="2ED74FE6"/>
    <w:rsid w:val="2EDC39CA"/>
    <w:rsid w:val="2EDF0755"/>
    <w:rsid w:val="2EED6B64"/>
    <w:rsid w:val="2EF73CF0"/>
    <w:rsid w:val="2EFC4E63"/>
    <w:rsid w:val="2EFE7072"/>
    <w:rsid w:val="2F0C3F32"/>
    <w:rsid w:val="2F0D52C2"/>
    <w:rsid w:val="2F0F21C0"/>
    <w:rsid w:val="2F124686"/>
    <w:rsid w:val="2F1269C8"/>
    <w:rsid w:val="2F127420"/>
    <w:rsid w:val="2F195A15"/>
    <w:rsid w:val="2F1E74CF"/>
    <w:rsid w:val="2F1F1148"/>
    <w:rsid w:val="2F230642"/>
    <w:rsid w:val="2F2A7C22"/>
    <w:rsid w:val="2F2B0FA5"/>
    <w:rsid w:val="2F2B701F"/>
    <w:rsid w:val="2F2D14C0"/>
    <w:rsid w:val="2F2D326E"/>
    <w:rsid w:val="2F324D29"/>
    <w:rsid w:val="2F3E547B"/>
    <w:rsid w:val="2F47030E"/>
    <w:rsid w:val="2F4D1B62"/>
    <w:rsid w:val="2F4F5BA0"/>
    <w:rsid w:val="2F50544F"/>
    <w:rsid w:val="2F534363"/>
    <w:rsid w:val="2F5527C5"/>
    <w:rsid w:val="2F58693C"/>
    <w:rsid w:val="2F5C4936"/>
    <w:rsid w:val="2F5E167A"/>
    <w:rsid w:val="2F5E21A9"/>
    <w:rsid w:val="2F634EE2"/>
    <w:rsid w:val="2F68699C"/>
    <w:rsid w:val="2F6A001E"/>
    <w:rsid w:val="2F792957"/>
    <w:rsid w:val="2F7D6357"/>
    <w:rsid w:val="2F8A06C1"/>
    <w:rsid w:val="2F996B56"/>
    <w:rsid w:val="2FA030D6"/>
    <w:rsid w:val="2FA774C5"/>
    <w:rsid w:val="2FA77ACC"/>
    <w:rsid w:val="2FAE02AC"/>
    <w:rsid w:val="2FB26483"/>
    <w:rsid w:val="2FB63264"/>
    <w:rsid w:val="2FBD0A96"/>
    <w:rsid w:val="2FBF7A32"/>
    <w:rsid w:val="2FCD67FF"/>
    <w:rsid w:val="2FD065E6"/>
    <w:rsid w:val="2FD47B8E"/>
    <w:rsid w:val="2FD96870"/>
    <w:rsid w:val="2FE83639"/>
    <w:rsid w:val="2FEA0503"/>
    <w:rsid w:val="2FEA115F"/>
    <w:rsid w:val="2FFF566F"/>
    <w:rsid w:val="30000983"/>
    <w:rsid w:val="300466C5"/>
    <w:rsid w:val="300631C6"/>
    <w:rsid w:val="300E30A0"/>
    <w:rsid w:val="300F506A"/>
    <w:rsid w:val="30122F2A"/>
    <w:rsid w:val="301641AE"/>
    <w:rsid w:val="30180D90"/>
    <w:rsid w:val="301D7787"/>
    <w:rsid w:val="302047D7"/>
    <w:rsid w:val="30281C88"/>
    <w:rsid w:val="302A5A00"/>
    <w:rsid w:val="302C79CA"/>
    <w:rsid w:val="302D729E"/>
    <w:rsid w:val="30395C43"/>
    <w:rsid w:val="304765B2"/>
    <w:rsid w:val="304C1E1A"/>
    <w:rsid w:val="304C5976"/>
    <w:rsid w:val="30525B79"/>
    <w:rsid w:val="30542A7D"/>
    <w:rsid w:val="30580BC9"/>
    <w:rsid w:val="30597ECC"/>
    <w:rsid w:val="306153F0"/>
    <w:rsid w:val="3062163D"/>
    <w:rsid w:val="306233EC"/>
    <w:rsid w:val="30662EDC"/>
    <w:rsid w:val="30711881"/>
    <w:rsid w:val="30717AD3"/>
    <w:rsid w:val="307373A7"/>
    <w:rsid w:val="30801578"/>
    <w:rsid w:val="308570DA"/>
    <w:rsid w:val="3087288E"/>
    <w:rsid w:val="3098505F"/>
    <w:rsid w:val="30A532D8"/>
    <w:rsid w:val="30AD0B0B"/>
    <w:rsid w:val="30AE03DF"/>
    <w:rsid w:val="30B1412A"/>
    <w:rsid w:val="30B17ECF"/>
    <w:rsid w:val="30BB0C62"/>
    <w:rsid w:val="30BB2AFC"/>
    <w:rsid w:val="30BF7988"/>
    <w:rsid w:val="30C10112"/>
    <w:rsid w:val="30C23E8A"/>
    <w:rsid w:val="30C7634E"/>
    <w:rsid w:val="30C97D97"/>
    <w:rsid w:val="30CD75BC"/>
    <w:rsid w:val="30CE6CD3"/>
    <w:rsid w:val="30D05D96"/>
    <w:rsid w:val="30D140CD"/>
    <w:rsid w:val="30D50061"/>
    <w:rsid w:val="30DF42FE"/>
    <w:rsid w:val="30E12562"/>
    <w:rsid w:val="30E233C0"/>
    <w:rsid w:val="30EC0F07"/>
    <w:rsid w:val="30ED5DCE"/>
    <w:rsid w:val="30EE4C7F"/>
    <w:rsid w:val="30F8356E"/>
    <w:rsid w:val="30FC739C"/>
    <w:rsid w:val="30FF1CBE"/>
    <w:rsid w:val="3106021B"/>
    <w:rsid w:val="3106646D"/>
    <w:rsid w:val="310830CC"/>
    <w:rsid w:val="31083F93"/>
    <w:rsid w:val="310D3357"/>
    <w:rsid w:val="310D70BD"/>
    <w:rsid w:val="311B6FA8"/>
    <w:rsid w:val="311C359A"/>
    <w:rsid w:val="311E2ED7"/>
    <w:rsid w:val="311E5561"/>
    <w:rsid w:val="311E5564"/>
    <w:rsid w:val="312072D5"/>
    <w:rsid w:val="3123373B"/>
    <w:rsid w:val="312608BD"/>
    <w:rsid w:val="31264419"/>
    <w:rsid w:val="312A7CC0"/>
    <w:rsid w:val="313034EA"/>
    <w:rsid w:val="313A5746"/>
    <w:rsid w:val="313C05D6"/>
    <w:rsid w:val="313C1E8F"/>
    <w:rsid w:val="314459E3"/>
    <w:rsid w:val="314502DB"/>
    <w:rsid w:val="31466869"/>
    <w:rsid w:val="314F5DAD"/>
    <w:rsid w:val="31540F86"/>
    <w:rsid w:val="315619EE"/>
    <w:rsid w:val="3159297E"/>
    <w:rsid w:val="315947EF"/>
    <w:rsid w:val="315C449C"/>
    <w:rsid w:val="315C7E3B"/>
    <w:rsid w:val="315D363E"/>
    <w:rsid w:val="3160085A"/>
    <w:rsid w:val="31637032"/>
    <w:rsid w:val="31653193"/>
    <w:rsid w:val="31692558"/>
    <w:rsid w:val="316D029A"/>
    <w:rsid w:val="316F5DC0"/>
    <w:rsid w:val="3175173C"/>
    <w:rsid w:val="31813D45"/>
    <w:rsid w:val="3186310A"/>
    <w:rsid w:val="3192385D"/>
    <w:rsid w:val="319677F1"/>
    <w:rsid w:val="31994BEB"/>
    <w:rsid w:val="31A57A34"/>
    <w:rsid w:val="31A77C86"/>
    <w:rsid w:val="31AF766D"/>
    <w:rsid w:val="31B00187"/>
    <w:rsid w:val="31B163D9"/>
    <w:rsid w:val="31B82709"/>
    <w:rsid w:val="31B9528D"/>
    <w:rsid w:val="31BE0AF5"/>
    <w:rsid w:val="31C54CC8"/>
    <w:rsid w:val="31CD20C4"/>
    <w:rsid w:val="31CF659C"/>
    <w:rsid w:val="31D05482"/>
    <w:rsid w:val="31D43D8A"/>
    <w:rsid w:val="31D6656C"/>
    <w:rsid w:val="31D71BB7"/>
    <w:rsid w:val="31D84C82"/>
    <w:rsid w:val="31E77FE3"/>
    <w:rsid w:val="31F32DB1"/>
    <w:rsid w:val="31FE0EF2"/>
    <w:rsid w:val="3200110E"/>
    <w:rsid w:val="32055CAD"/>
    <w:rsid w:val="320A5AE9"/>
    <w:rsid w:val="320B48C8"/>
    <w:rsid w:val="320F75A3"/>
    <w:rsid w:val="321150C9"/>
    <w:rsid w:val="321626E0"/>
    <w:rsid w:val="3217473D"/>
    <w:rsid w:val="32186458"/>
    <w:rsid w:val="321B1AA4"/>
    <w:rsid w:val="32225ABD"/>
    <w:rsid w:val="32252923"/>
    <w:rsid w:val="32285F6F"/>
    <w:rsid w:val="322F554F"/>
    <w:rsid w:val="323971F4"/>
    <w:rsid w:val="323E5792"/>
    <w:rsid w:val="32400B34"/>
    <w:rsid w:val="324A2389"/>
    <w:rsid w:val="324B54F3"/>
    <w:rsid w:val="324C0413"/>
    <w:rsid w:val="324C6101"/>
    <w:rsid w:val="32513718"/>
    <w:rsid w:val="325B51AB"/>
    <w:rsid w:val="325F5E35"/>
    <w:rsid w:val="3264169D"/>
    <w:rsid w:val="3264344B"/>
    <w:rsid w:val="3273368E"/>
    <w:rsid w:val="327610F4"/>
    <w:rsid w:val="32764F2C"/>
    <w:rsid w:val="32790947"/>
    <w:rsid w:val="327A2C6E"/>
    <w:rsid w:val="328313AB"/>
    <w:rsid w:val="32890079"/>
    <w:rsid w:val="328A09D8"/>
    <w:rsid w:val="328E671A"/>
    <w:rsid w:val="329A50BF"/>
    <w:rsid w:val="329D695D"/>
    <w:rsid w:val="329E6876"/>
    <w:rsid w:val="329F4483"/>
    <w:rsid w:val="32A203C1"/>
    <w:rsid w:val="32B31070"/>
    <w:rsid w:val="32B71AF5"/>
    <w:rsid w:val="32BB286D"/>
    <w:rsid w:val="32C24615"/>
    <w:rsid w:val="32C65EB4"/>
    <w:rsid w:val="32D3237F"/>
    <w:rsid w:val="32D87995"/>
    <w:rsid w:val="32E06C07"/>
    <w:rsid w:val="32E12CEE"/>
    <w:rsid w:val="32E827DA"/>
    <w:rsid w:val="32E91BA2"/>
    <w:rsid w:val="32F549F8"/>
    <w:rsid w:val="32FB3683"/>
    <w:rsid w:val="33044C2E"/>
    <w:rsid w:val="330E785B"/>
    <w:rsid w:val="33153719"/>
    <w:rsid w:val="3321758E"/>
    <w:rsid w:val="33260700"/>
    <w:rsid w:val="3330157F"/>
    <w:rsid w:val="333015F2"/>
    <w:rsid w:val="3332520E"/>
    <w:rsid w:val="33361BCE"/>
    <w:rsid w:val="333746BC"/>
    <w:rsid w:val="334B0810"/>
    <w:rsid w:val="334B6320"/>
    <w:rsid w:val="334C3CEB"/>
    <w:rsid w:val="33537565"/>
    <w:rsid w:val="33552D94"/>
    <w:rsid w:val="33581B1C"/>
    <w:rsid w:val="33590AD6"/>
    <w:rsid w:val="335A433A"/>
    <w:rsid w:val="335C505B"/>
    <w:rsid w:val="336B6A5B"/>
    <w:rsid w:val="336D632F"/>
    <w:rsid w:val="336E518D"/>
    <w:rsid w:val="336E6225"/>
    <w:rsid w:val="337E22EA"/>
    <w:rsid w:val="337E678E"/>
    <w:rsid w:val="33953AD8"/>
    <w:rsid w:val="339C75C1"/>
    <w:rsid w:val="339E0BDF"/>
    <w:rsid w:val="339F04B3"/>
    <w:rsid w:val="33AD0E22"/>
    <w:rsid w:val="33AD497E"/>
    <w:rsid w:val="33BB353F"/>
    <w:rsid w:val="33C050F4"/>
    <w:rsid w:val="33C10429"/>
    <w:rsid w:val="33C63C91"/>
    <w:rsid w:val="33C91B9F"/>
    <w:rsid w:val="33CA0B5C"/>
    <w:rsid w:val="33CC7D84"/>
    <w:rsid w:val="33CE4E12"/>
    <w:rsid w:val="33D30EC6"/>
    <w:rsid w:val="33D6469A"/>
    <w:rsid w:val="33D91C17"/>
    <w:rsid w:val="33D934D4"/>
    <w:rsid w:val="33DB598F"/>
    <w:rsid w:val="33E5680D"/>
    <w:rsid w:val="33EC194A"/>
    <w:rsid w:val="33F85915"/>
    <w:rsid w:val="33F94067"/>
    <w:rsid w:val="33FE1A44"/>
    <w:rsid w:val="33FE2F6A"/>
    <w:rsid w:val="34050F42"/>
    <w:rsid w:val="340E07E5"/>
    <w:rsid w:val="3411450A"/>
    <w:rsid w:val="34126ED7"/>
    <w:rsid w:val="34142C4F"/>
    <w:rsid w:val="341D469F"/>
    <w:rsid w:val="34235BF7"/>
    <w:rsid w:val="34237336"/>
    <w:rsid w:val="3425568E"/>
    <w:rsid w:val="342E48E1"/>
    <w:rsid w:val="343155AF"/>
    <w:rsid w:val="34321B5F"/>
    <w:rsid w:val="34367069"/>
    <w:rsid w:val="344420DD"/>
    <w:rsid w:val="34463464"/>
    <w:rsid w:val="34565015"/>
    <w:rsid w:val="34586FDF"/>
    <w:rsid w:val="34637732"/>
    <w:rsid w:val="34646598"/>
    <w:rsid w:val="346911EC"/>
    <w:rsid w:val="347831DE"/>
    <w:rsid w:val="34821680"/>
    <w:rsid w:val="34854D79"/>
    <w:rsid w:val="348E0C53"/>
    <w:rsid w:val="34907349"/>
    <w:rsid w:val="349A06AD"/>
    <w:rsid w:val="34A75871"/>
    <w:rsid w:val="34AA0AAC"/>
    <w:rsid w:val="34AA710F"/>
    <w:rsid w:val="34AC2E87"/>
    <w:rsid w:val="34B561E0"/>
    <w:rsid w:val="34BB6D9D"/>
    <w:rsid w:val="34BC2AF5"/>
    <w:rsid w:val="34BD6E42"/>
    <w:rsid w:val="34C14BAB"/>
    <w:rsid w:val="34C208FD"/>
    <w:rsid w:val="34C346A0"/>
    <w:rsid w:val="34C5219B"/>
    <w:rsid w:val="34C829B9"/>
    <w:rsid w:val="34D14B4F"/>
    <w:rsid w:val="34D643A8"/>
    <w:rsid w:val="34D65C61"/>
    <w:rsid w:val="34D670AE"/>
    <w:rsid w:val="34DF14AF"/>
    <w:rsid w:val="34E22D4D"/>
    <w:rsid w:val="34E735DB"/>
    <w:rsid w:val="34EA39B0"/>
    <w:rsid w:val="34EC597A"/>
    <w:rsid w:val="34EE16F2"/>
    <w:rsid w:val="34F30AB6"/>
    <w:rsid w:val="34F605A6"/>
    <w:rsid w:val="34FA3BF3"/>
    <w:rsid w:val="34FD1935"/>
    <w:rsid w:val="350607E9"/>
    <w:rsid w:val="350660B0"/>
    <w:rsid w:val="3509652C"/>
    <w:rsid w:val="350D7A19"/>
    <w:rsid w:val="35150A2C"/>
    <w:rsid w:val="3518051D"/>
    <w:rsid w:val="35187EA0"/>
    <w:rsid w:val="352769B2"/>
    <w:rsid w:val="352A729A"/>
    <w:rsid w:val="352C5D76"/>
    <w:rsid w:val="352D71FC"/>
    <w:rsid w:val="3546508A"/>
    <w:rsid w:val="35494B7A"/>
    <w:rsid w:val="354B2696"/>
    <w:rsid w:val="35581831"/>
    <w:rsid w:val="355C2AFF"/>
    <w:rsid w:val="356C7F43"/>
    <w:rsid w:val="35773E60"/>
    <w:rsid w:val="357D65D2"/>
    <w:rsid w:val="35855EE2"/>
    <w:rsid w:val="358931C8"/>
    <w:rsid w:val="358C5FA8"/>
    <w:rsid w:val="358D7245"/>
    <w:rsid w:val="358F3EF8"/>
    <w:rsid w:val="359027A9"/>
    <w:rsid w:val="3597356A"/>
    <w:rsid w:val="359F00A8"/>
    <w:rsid w:val="359F0C3E"/>
    <w:rsid w:val="35A3072E"/>
    <w:rsid w:val="35A46254"/>
    <w:rsid w:val="35B35962"/>
    <w:rsid w:val="35B5555A"/>
    <w:rsid w:val="35C15DF1"/>
    <w:rsid w:val="35C97A69"/>
    <w:rsid w:val="35CB37E1"/>
    <w:rsid w:val="35CF507F"/>
    <w:rsid w:val="35D06F54"/>
    <w:rsid w:val="35D33B64"/>
    <w:rsid w:val="35D8035B"/>
    <w:rsid w:val="35DC59EE"/>
    <w:rsid w:val="35DF103A"/>
    <w:rsid w:val="35E52AF5"/>
    <w:rsid w:val="35E97F44"/>
    <w:rsid w:val="35F03248"/>
    <w:rsid w:val="35F1149A"/>
    <w:rsid w:val="35F5085E"/>
    <w:rsid w:val="36015455"/>
    <w:rsid w:val="36017203"/>
    <w:rsid w:val="36074A7F"/>
    <w:rsid w:val="36146E6C"/>
    <w:rsid w:val="361502FC"/>
    <w:rsid w:val="36176A26"/>
    <w:rsid w:val="361B02C4"/>
    <w:rsid w:val="3620540F"/>
    <w:rsid w:val="362C0724"/>
    <w:rsid w:val="362F3D70"/>
    <w:rsid w:val="363870C8"/>
    <w:rsid w:val="3639699D"/>
    <w:rsid w:val="36431D3D"/>
    <w:rsid w:val="364517E5"/>
    <w:rsid w:val="364678A4"/>
    <w:rsid w:val="36483847"/>
    <w:rsid w:val="364A2958"/>
    <w:rsid w:val="364F7F6E"/>
    <w:rsid w:val="3655540E"/>
    <w:rsid w:val="365C555C"/>
    <w:rsid w:val="365F76A0"/>
    <w:rsid w:val="366003CD"/>
    <w:rsid w:val="366A2FFA"/>
    <w:rsid w:val="36716136"/>
    <w:rsid w:val="36721EAF"/>
    <w:rsid w:val="36785717"/>
    <w:rsid w:val="367B74AA"/>
    <w:rsid w:val="368564FF"/>
    <w:rsid w:val="368716D6"/>
    <w:rsid w:val="3687595A"/>
    <w:rsid w:val="368C32B1"/>
    <w:rsid w:val="368F39D1"/>
    <w:rsid w:val="36923549"/>
    <w:rsid w:val="36990C2C"/>
    <w:rsid w:val="369D1489"/>
    <w:rsid w:val="369D1A89"/>
    <w:rsid w:val="36A22794"/>
    <w:rsid w:val="36AA7E92"/>
    <w:rsid w:val="36AD0447"/>
    <w:rsid w:val="36B64491"/>
    <w:rsid w:val="36B75FBF"/>
    <w:rsid w:val="36BD0C45"/>
    <w:rsid w:val="36BD137C"/>
    <w:rsid w:val="36C070BE"/>
    <w:rsid w:val="36C434D3"/>
    <w:rsid w:val="36C95F72"/>
    <w:rsid w:val="36CA3A99"/>
    <w:rsid w:val="36D05553"/>
    <w:rsid w:val="36D6068F"/>
    <w:rsid w:val="36D6243D"/>
    <w:rsid w:val="36E032BC"/>
    <w:rsid w:val="36E25286"/>
    <w:rsid w:val="36E42DAC"/>
    <w:rsid w:val="36E7289C"/>
    <w:rsid w:val="36EB77D1"/>
    <w:rsid w:val="36EF34FF"/>
    <w:rsid w:val="36F16142"/>
    <w:rsid w:val="36F40B16"/>
    <w:rsid w:val="36F84C4D"/>
    <w:rsid w:val="36FD3E6E"/>
    <w:rsid w:val="36FF649E"/>
    <w:rsid w:val="370D494D"/>
    <w:rsid w:val="37133727"/>
    <w:rsid w:val="37166CDE"/>
    <w:rsid w:val="371B42F4"/>
    <w:rsid w:val="371B49F9"/>
    <w:rsid w:val="371D019A"/>
    <w:rsid w:val="372045A7"/>
    <w:rsid w:val="372420B6"/>
    <w:rsid w:val="37256F21"/>
    <w:rsid w:val="373D070E"/>
    <w:rsid w:val="373D491F"/>
    <w:rsid w:val="37411FAD"/>
    <w:rsid w:val="374228B4"/>
    <w:rsid w:val="374534D2"/>
    <w:rsid w:val="3756532C"/>
    <w:rsid w:val="375D2B5F"/>
    <w:rsid w:val="37626AAF"/>
    <w:rsid w:val="376A13A2"/>
    <w:rsid w:val="376D2DA2"/>
    <w:rsid w:val="37704640"/>
    <w:rsid w:val="37732382"/>
    <w:rsid w:val="37735EDE"/>
    <w:rsid w:val="377432D3"/>
    <w:rsid w:val="37797999"/>
    <w:rsid w:val="377C4D93"/>
    <w:rsid w:val="378E0F6A"/>
    <w:rsid w:val="37906A90"/>
    <w:rsid w:val="37991C17"/>
    <w:rsid w:val="37A147F9"/>
    <w:rsid w:val="37A24C9F"/>
    <w:rsid w:val="37A33083"/>
    <w:rsid w:val="37A662B4"/>
    <w:rsid w:val="37B24C58"/>
    <w:rsid w:val="37B564F7"/>
    <w:rsid w:val="37BA58BB"/>
    <w:rsid w:val="37BD53AB"/>
    <w:rsid w:val="37BE5DC5"/>
    <w:rsid w:val="37C404E8"/>
    <w:rsid w:val="37C74F4D"/>
    <w:rsid w:val="37CC716D"/>
    <w:rsid w:val="37D144CC"/>
    <w:rsid w:val="37D22C05"/>
    <w:rsid w:val="37D42E21"/>
    <w:rsid w:val="37D56B99"/>
    <w:rsid w:val="37DD4921"/>
    <w:rsid w:val="37E00298"/>
    <w:rsid w:val="37E312B6"/>
    <w:rsid w:val="37E666B0"/>
    <w:rsid w:val="37E8067A"/>
    <w:rsid w:val="37E868CC"/>
    <w:rsid w:val="37E961A0"/>
    <w:rsid w:val="37F276BB"/>
    <w:rsid w:val="37FE7A5A"/>
    <w:rsid w:val="380538B8"/>
    <w:rsid w:val="38060AE2"/>
    <w:rsid w:val="38076255"/>
    <w:rsid w:val="380C2DCC"/>
    <w:rsid w:val="38163439"/>
    <w:rsid w:val="38174ABC"/>
    <w:rsid w:val="38191EA5"/>
    <w:rsid w:val="38286CC9"/>
    <w:rsid w:val="382947EF"/>
    <w:rsid w:val="383438BF"/>
    <w:rsid w:val="383B4C4E"/>
    <w:rsid w:val="383E029A"/>
    <w:rsid w:val="384B54C6"/>
    <w:rsid w:val="385555E4"/>
    <w:rsid w:val="386046B4"/>
    <w:rsid w:val="386A108F"/>
    <w:rsid w:val="38763ED8"/>
    <w:rsid w:val="38767178"/>
    <w:rsid w:val="388109FB"/>
    <w:rsid w:val="388365F5"/>
    <w:rsid w:val="388C7258"/>
    <w:rsid w:val="38983B9D"/>
    <w:rsid w:val="389D76B7"/>
    <w:rsid w:val="38A02D03"/>
    <w:rsid w:val="38B16CBE"/>
    <w:rsid w:val="38B302F9"/>
    <w:rsid w:val="38B4014C"/>
    <w:rsid w:val="38B60778"/>
    <w:rsid w:val="38B90269"/>
    <w:rsid w:val="38B936AA"/>
    <w:rsid w:val="38BE4EA5"/>
    <w:rsid w:val="38C033A5"/>
    <w:rsid w:val="38C37676"/>
    <w:rsid w:val="38C5276A"/>
    <w:rsid w:val="38C57E86"/>
    <w:rsid w:val="38CA58F9"/>
    <w:rsid w:val="38D1110E"/>
    <w:rsid w:val="38D43EF2"/>
    <w:rsid w:val="38D70B59"/>
    <w:rsid w:val="38D96215"/>
    <w:rsid w:val="38DE382B"/>
    <w:rsid w:val="38E90E6F"/>
    <w:rsid w:val="38EA0422"/>
    <w:rsid w:val="38F12CD3"/>
    <w:rsid w:val="38F71526"/>
    <w:rsid w:val="38F94775"/>
    <w:rsid w:val="38FD5C8E"/>
    <w:rsid w:val="39074B30"/>
    <w:rsid w:val="390A150E"/>
    <w:rsid w:val="391022E2"/>
    <w:rsid w:val="3915757C"/>
    <w:rsid w:val="391B682D"/>
    <w:rsid w:val="391D1CC0"/>
    <w:rsid w:val="39243934"/>
    <w:rsid w:val="392971ED"/>
    <w:rsid w:val="392A3862"/>
    <w:rsid w:val="39325651"/>
    <w:rsid w:val="39327008"/>
    <w:rsid w:val="393578EF"/>
    <w:rsid w:val="39477622"/>
    <w:rsid w:val="394C2E8B"/>
    <w:rsid w:val="394C69E7"/>
    <w:rsid w:val="395104A1"/>
    <w:rsid w:val="395B573D"/>
    <w:rsid w:val="395D47D7"/>
    <w:rsid w:val="395F2296"/>
    <w:rsid w:val="39602492"/>
    <w:rsid w:val="396226AE"/>
    <w:rsid w:val="397524DB"/>
    <w:rsid w:val="39787B56"/>
    <w:rsid w:val="397F6DBC"/>
    <w:rsid w:val="39801AB6"/>
    <w:rsid w:val="3986014B"/>
    <w:rsid w:val="3988615F"/>
    <w:rsid w:val="398C0762"/>
    <w:rsid w:val="398E418A"/>
    <w:rsid w:val="39903F74"/>
    <w:rsid w:val="39951177"/>
    <w:rsid w:val="39A01507"/>
    <w:rsid w:val="39A27F0D"/>
    <w:rsid w:val="39A84565"/>
    <w:rsid w:val="39A9208B"/>
    <w:rsid w:val="39AA6FAB"/>
    <w:rsid w:val="39AB0D1F"/>
    <w:rsid w:val="39B5458C"/>
    <w:rsid w:val="39BC3B6C"/>
    <w:rsid w:val="39BF365D"/>
    <w:rsid w:val="39C2643E"/>
    <w:rsid w:val="39C42A21"/>
    <w:rsid w:val="39D07618"/>
    <w:rsid w:val="39D8471E"/>
    <w:rsid w:val="39E747E2"/>
    <w:rsid w:val="39EB4452"/>
    <w:rsid w:val="39ED1F78"/>
    <w:rsid w:val="39EE5CF0"/>
    <w:rsid w:val="39EF402C"/>
    <w:rsid w:val="3A074143"/>
    <w:rsid w:val="3A095E10"/>
    <w:rsid w:val="3A157721"/>
    <w:rsid w:val="3A190FBF"/>
    <w:rsid w:val="3A233DA4"/>
    <w:rsid w:val="3A267238"/>
    <w:rsid w:val="3A2754E1"/>
    <w:rsid w:val="3A2B096F"/>
    <w:rsid w:val="3A2B2AA0"/>
    <w:rsid w:val="3A3A72C1"/>
    <w:rsid w:val="3A3E27D3"/>
    <w:rsid w:val="3A4122C4"/>
    <w:rsid w:val="3A414072"/>
    <w:rsid w:val="3A442255"/>
    <w:rsid w:val="3A52627F"/>
    <w:rsid w:val="3A5E4C24"/>
    <w:rsid w:val="3A5F274A"/>
    <w:rsid w:val="3A6166D7"/>
    <w:rsid w:val="3A6340C3"/>
    <w:rsid w:val="3A6366DE"/>
    <w:rsid w:val="3A64073B"/>
    <w:rsid w:val="3A6A181A"/>
    <w:rsid w:val="3A6F0BDF"/>
    <w:rsid w:val="3A786573"/>
    <w:rsid w:val="3A796FB7"/>
    <w:rsid w:val="3A7D6D9E"/>
    <w:rsid w:val="3A82775C"/>
    <w:rsid w:val="3A872856"/>
    <w:rsid w:val="3A881CA1"/>
    <w:rsid w:val="3A904EB2"/>
    <w:rsid w:val="3A985288"/>
    <w:rsid w:val="3AB318F1"/>
    <w:rsid w:val="3AB42A96"/>
    <w:rsid w:val="3ABB3E24"/>
    <w:rsid w:val="3AC058DE"/>
    <w:rsid w:val="3AC151B3"/>
    <w:rsid w:val="3AC23405"/>
    <w:rsid w:val="3AC802EF"/>
    <w:rsid w:val="3ACF5B21"/>
    <w:rsid w:val="3AD449EF"/>
    <w:rsid w:val="3AD44EE6"/>
    <w:rsid w:val="3AD46C94"/>
    <w:rsid w:val="3ADB44C6"/>
    <w:rsid w:val="3AE72E6B"/>
    <w:rsid w:val="3AEA64B7"/>
    <w:rsid w:val="3AEA7620"/>
    <w:rsid w:val="3AEC5B52"/>
    <w:rsid w:val="3AEE244B"/>
    <w:rsid w:val="3AF45588"/>
    <w:rsid w:val="3B054865"/>
    <w:rsid w:val="3B056F5C"/>
    <w:rsid w:val="3B124BE4"/>
    <w:rsid w:val="3B1A0A62"/>
    <w:rsid w:val="3B1F6C0D"/>
    <w:rsid w:val="3B27770B"/>
    <w:rsid w:val="3B345984"/>
    <w:rsid w:val="3B3763D1"/>
    <w:rsid w:val="3B3B4F65"/>
    <w:rsid w:val="3B407BB2"/>
    <w:rsid w:val="3B4262F3"/>
    <w:rsid w:val="3B4B4B21"/>
    <w:rsid w:val="3B4E14F1"/>
    <w:rsid w:val="3B4E6A46"/>
    <w:rsid w:val="3B563B4D"/>
    <w:rsid w:val="3B5878C5"/>
    <w:rsid w:val="3B5F50F7"/>
    <w:rsid w:val="3B602967"/>
    <w:rsid w:val="3B653D90"/>
    <w:rsid w:val="3B657F1A"/>
    <w:rsid w:val="3B6D76D3"/>
    <w:rsid w:val="3B7641EF"/>
    <w:rsid w:val="3B790539"/>
    <w:rsid w:val="3B7D732B"/>
    <w:rsid w:val="3B854432"/>
    <w:rsid w:val="3B8763FC"/>
    <w:rsid w:val="3B8920FE"/>
    <w:rsid w:val="3B903503"/>
    <w:rsid w:val="3B9064F1"/>
    <w:rsid w:val="3B90705F"/>
    <w:rsid w:val="3B940F2D"/>
    <w:rsid w:val="3B995720"/>
    <w:rsid w:val="3B9A301C"/>
    <w:rsid w:val="3B9F72A2"/>
    <w:rsid w:val="3BA448B8"/>
    <w:rsid w:val="3BA77D72"/>
    <w:rsid w:val="3BAA63A9"/>
    <w:rsid w:val="3BAB20EB"/>
    <w:rsid w:val="3BAE7806"/>
    <w:rsid w:val="3BB0325D"/>
    <w:rsid w:val="3BB30F9F"/>
    <w:rsid w:val="3BB5271A"/>
    <w:rsid w:val="3BB73B29"/>
    <w:rsid w:val="3BBA70A4"/>
    <w:rsid w:val="3BC211E2"/>
    <w:rsid w:val="3BC419F6"/>
    <w:rsid w:val="3BC767F9"/>
    <w:rsid w:val="3BC92571"/>
    <w:rsid w:val="3BCC3E0F"/>
    <w:rsid w:val="3BCD02B3"/>
    <w:rsid w:val="3BD641DA"/>
    <w:rsid w:val="3BD74681"/>
    <w:rsid w:val="3BDC04F6"/>
    <w:rsid w:val="3BDD601C"/>
    <w:rsid w:val="3BE178BA"/>
    <w:rsid w:val="3BE70C49"/>
    <w:rsid w:val="3BF75330"/>
    <w:rsid w:val="3BF81CCC"/>
    <w:rsid w:val="3C011D0B"/>
    <w:rsid w:val="3C0273B0"/>
    <w:rsid w:val="3C033CD5"/>
    <w:rsid w:val="3C067A94"/>
    <w:rsid w:val="3C090015"/>
    <w:rsid w:val="3C095063"/>
    <w:rsid w:val="3C1001A0"/>
    <w:rsid w:val="3C101301"/>
    <w:rsid w:val="3C131A3E"/>
    <w:rsid w:val="3C1B66FB"/>
    <w:rsid w:val="3C1E28BD"/>
    <w:rsid w:val="3C2E5D9B"/>
    <w:rsid w:val="3C2F4ACA"/>
    <w:rsid w:val="3C2F6E1E"/>
    <w:rsid w:val="3C304B04"/>
    <w:rsid w:val="3C3C03C2"/>
    <w:rsid w:val="3C4F64BA"/>
    <w:rsid w:val="3C561CE6"/>
    <w:rsid w:val="3C5A141B"/>
    <w:rsid w:val="3C5B6911"/>
    <w:rsid w:val="3C662E2C"/>
    <w:rsid w:val="3C6D114E"/>
    <w:rsid w:val="3C6E4EC6"/>
    <w:rsid w:val="3C7524EC"/>
    <w:rsid w:val="3C7F70D3"/>
    <w:rsid w:val="3C88242C"/>
    <w:rsid w:val="3C8961DF"/>
    <w:rsid w:val="3C946357"/>
    <w:rsid w:val="3C9A62F7"/>
    <w:rsid w:val="3C9B77D6"/>
    <w:rsid w:val="3C9E57AB"/>
    <w:rsid w:val="3CA078D1"/>
    <w:rsid w:val="3CA5741F"/>
    <w:rsid w:val="3CAB2537"/>
    <w:rsid w:val="3CAD3C40"/>
    <w:rsid w:val="3CB34CD9"/>
    <w:rsid w:val="3CB60D47"/>
    <w:rsid w:val="3CC05722"/>
    <w:rsid w:val="3CC1149A"/>
    <w:rsid w:val="3CC35212"/>
    <w:rsid w:val="3CC50F8A"/>
    <w:rsid w:val="3CCA034E"/>
    <w:rsid w:val="3CD24055"/>
    <w:rsid w:val="3CD70CBD"/>
    <w:rsid w:val="3CDA245A"/>
    <w:rsid w:val="3CDA3CDD"/>
    <w:rsid w:val="3CDB1D38"/>
    <w:rsid w:val="3CDB255C"/>
    <w:rsid w:val="3CEA09F1"/>
    <w:rsid w:val="3CFE26EE"/>
    <w:rsid w:val="3D0062F0"/>
    <w:rsid w:val="3D073351"/>
    <w:rsid w:val="3D0870C9"/>
    <w:rsid w:val="3D0B4398"/>
    <w:rsid w:val="3D0D5395"/>
    <w:rsid w:val="3D0F2205"/>
    <w:rsid w:val="3D16341B"/>
    <w:rsid w:val="3D197528"/>
    <w:rsid w:val="3D1A1527"/>
    <w:rsid w:val="3D1E06B7"/>
    <w:rsid w:val="3D1E312D"/>
    <w:rsid w:val="3D235AF1"/>
    <w:rsid w:val="3D255ECD"/>
    <w:rsid w:val="3D2C243C"/>
    <w:rsid w:val="3D346110"/>
    <w:rsid w:val="3D393726"/>
    <w:rsid w:val="3D3B7F38"/>
    <w:rsid w:val="3D4208B8"/>
    <w:rsid w:val="3D463317"/>
    <w:rsid w:val="3D495A38"/>
    <w:rsid w:val="3D4F4CF8"/>
    <w:rsid w:val="3D525BB5"/>
    <w:rsid w:val="3D5B768A"/>
    <w:rsid w:val="3D63377E"/>
    <w:rsid w:val="3D6407A3"/>
    <w:rsid w:val="3D68428E"/>
    <w:rsid w:val="3D6A38DF"/>
    <w:rsid w:val="3D6C58AA"/>
    <w:rsid w:val="3D7B33E1"/>
    <w:rsid w:val="3D7D1865"/>
    <w:rsid w:val="3D8A5562"/>
    <w:rsid w:val="3D8B21D4"/>
    <w:rsid w:val="3D8C1AA8"/>
    <w:rsid w:val="3D915310"/>
    <w:rsid w:val="3D934BE4"/>
    <w:rsid w:val="3D9F17DB"/>
    <w:rsid w:val="3DAC3EF8"/>
    <w:rsid w:val="3DAE7C70"/>
    <w:rsid w:val="3DBA7F4D"/>
    <w:rsid w:val="3DBD4357"/>
    <w:rsid w:val="3DCD30A5"/>
    <w:rsid w:val="3DD26956"/>
    <w:rsid w:val="3DD551FD"/>
    <w:rsid w:val="3DD82F3F"/>
    <w:rsid w:val="3DD960E7"/>
    <w:rsid w:val="3DE43692"/>
    <w:rsid w:val="3DF633C5"/>
    <w:rsid w:val="3DFA1107"/>
    <w:rsid w:val="3DFF04CC"/>
    <w:rsid w:val="3E0E0673"/>
    <w:rsid w:val="3E104487"/>
    <w:rsid w:val="3E151A9D"/>
    <w:rsid w:val="3E1D3F36"/>
    <w:rsid w:val="3E2E4EA8"/>
    <w:rsid w:val="3E352D7B"/>
    <w:rsid w:val="3E391C30"/>
    <w:rsid w:val="3E393AE1"/>
    <w:rsid w:val="3E3E4EA1"/>
    <w:rsid w:val="3E416D36"/>
    <w:rsid w:val="3E443768"/>
    <w:rsid w:val="3E444130"/>
    <w:rsid w:val="3E495BEB"/>
    <w:rsid w:val="3E4B1963"/>
    <w:rsid w:val="3E4C404A"/>
    <w:rsid w:val="3E5D1608"/>
    <w:rsid w:val="3E605DDC"/>
    <w:rsid w:val="3E614CE2"/>
    <w:rsid w:val="3E6451E6"/>
    <w:rsid w:val="3E6628FD"/>
    <w:rsid w:val="3E691DE9"/>
    <w:rsid w:val="3E772758"/>
    <w:rsid w:val="3E79027E"/>
    <w:rsid w:val="3E7A37D6"/>
    <w:rsid w:val="3E88226F"/>
    <w:rsid w:val="3E886713"/>
    <w:rsid w:val="3E8F7AA2"/>
    <w:rsid w:val="3E9055C8"/>
    <w:rsid w:val="3E970704"/>
    <w:rsid w:val="3E9B4698"/>
    <w:rsid w:val="3E9D5996"/>
    <w:rsid w:val="3E9E1FEB"/>
    <w:rsid w:val="3EB11068"/>
    <w:rsid w:val="3EB23790"/>
    <w:rsid w:val="3EB430C4"/>
    <w:rsid w:val="3EBB0897"/>
    <w:rsid w:val="3EBB4717"/>
    <w:rsid w:val="3EBC1C8D"/>
    <w:rsid w:val="3EBD2FC0"/>
    <w:rsid w:val="3ECC2AA4"/>
    <w:rsid w:val="3ECC64C6"/>
    <w:rsid w:val="3ED13CFA"/>
    <w:rsid w:val="3ED24E20"/>
    <w:rsid w:val="3ED72F0D"/>
    <w:rsid w:val="3ED96F6F"/>
    <w:rsid w:val="3EDA0523"/>
    <w:rsid w:val="3EDC306B"/>
    <w:rsid w:val="3EE15E23"/>
    <w:rsid w:val="3EE37DED"/>
    <w:rsid w:val="3EE576C2"/>
    <w:rsid w:val="3EED47C8"/>
    <w:rsid w:val="3EF23B8C"/>
    <w:rsid w:val="3EF40857"/>
    <w:rsid w:val="3EF73899"/>
    <w:rsid w:val="3EFB173A"/>
    <w:rsid w:val="3EFB6EE5"/>
    <w:rsid w:val="3EFE0783"/>
    <w:rsid w:val="3EFF4DB1"/>
    <w:rsid w:val="3F010273"/>
    <w:rsid w:val="3F051328"/>
    <w:rsid w:val="3F057D64"/>
    <w:rsid w:val="3F0C10F2"/>
    <w:rsid w:val="3F0E572F"/>
    <w:rsid w:val="3F136CC1"/>
    <w:rsid w:val="3F141D55"/>
    <w:rsid w:val="3F1735F3"/>
    <w:rsid w:val="3F1B4673"/>
    <w:rsid w:val="3F23643C"/>
    <w:rsid w:val="3F312907"/>
    <w:rsid w:val="3F464CC9"/>
    <w:rsid w:val="3F485EA2"/>
    <w:rsid w:val="3F4E170B"/>
    <w:rsid w:val="3F4F4175"/>
    <w:rsid w:val="3F5465F5"/>
    <w:rsid w:val="3F566B34"/>
    <w:rsid w:val="3F5D194E"/>
    <w:rsid w:val="3F624FCD"/>
    <w:rsid w:val="3F6C4B81"/>
    <w:rsid w:val="3F6D1865"/>
    <w:rsid w:val="3F710F55"/>
    <w:rsid w:val="3F746C97"/>
    <w:rsid w:val="3F7647BE"/>
    <w:rsid w:val="3F7E650B"/>
    <w:rsid w:val="3F802103"/>
    <w:rsid w:val="3F853DB0"/>
    <w:rsid w:val="3F872A6E"/>
    <w:rsid w:val="3F88190E"/>
    <w:rsid w:val="3F8844F1"/>
    <w:rsid w:val="3F977232"/>
    <w:rsid w:val="3FA05CDE"/>
    <w:rsid w:val="3FA255B3"/>
    <w:rsid w:val="3FA702E8"/>
    <w:rsid w:val="3FA7706D"/>
    <w:rsid w:val="3FAC01DF"/>
    <w:rsid w:val="3FAC6431"/>
    <w:rsid w:val="3FB8059E"/>
    <w:rsid w:val="3FC72E89"/>
    <w:rsid w:val="3FCE6BED"/>
    <w:rsid w:val="3FCF3ECE"/>
    <w:rsid w:val="3FD140EA"/>
    <w:rsid w:val="3FD15E98"/>
    <w:rsid w:val="3FD546E5"/>
    <w:rsid w:val="3FD55988"/>
    <w:rsid w:val="3FDC0668"/>
    <w:rsid w:val="3FDD483D"/>
    <w:rsid w:val="3FE97846"/>
    <w:rsid w:val="3FEB51AC"/>
    <w:rsid w:val="3FF22210"/>
    <w:rsid w:val="3FF24EF7"/>
    <w:rsid w:val="3FF373A9"/>
    <w:rsid w:val="3FF72FE6"/>
    <w:rsid w:val="3FF73B50"/>
    <w:rsid w:val="3FFC1167"/>
    <w:rsid w:val="40063B98"/>
    <w:rsid w:val="40077B0C"/>
    <w:rsid w:val="400C5122"/>
    <w:rsid w:val="400C6ED0"/>
    <w:rsid w:val="400E526D"/>
    <w:rsid w:val="40155584"/>
    <w:rsid w:val="401A15ED"/>
    <w:rsid w:val="401F6C03"/>
    <w:rsid w:val="40230FF2"/>
    <w:rsid w:val="40275AB8"/>
    <w:rsid w:val="402B326E"/>
    <w:rsid w:val="402E5098"/>
    <w:rsid w:val="40392BA2"/>
    <w:rsid w:val="403A1C8F"/>
    <w:rsid w:val="403A7797"/>
    <w:rsid w:val="403F5572"/>
    <w:rsid w:val="403F729E"/>
    <w:rsid w:val="40400949"/>
    <w:rsid w:val="40414101"/>
    <w:rsid w:val="40436D96"/>
    <w:rsid w:val="40463747"/>
    <w:rsid w:val="40490124"/>
    <w:rsid w:val="404D1D57"/>
    <w:rsid w:val="405C46D4"/>
    <w:rsid w:val="405F72C0"/>
    <w:rsid w:val="406227B1"/>
    <w:rsid w:val="406E1939"/>
    <w:rsid w:val="406F6C2B"/>
    <w:rsid w:val="40750F19"/>
    <w:rsid w:val="407A6407"/>
    <w:rsid w:val="407B14A0"/>
    <w:rsid w:val="40814B7F"/>
    <w:rsid w:val="408A0203"/>
    <w:rsid w:val="4093314D"/>
    <w:rsid w:val="40970E8F"/>
    <w:rsid w:val="40A47108"/>
    <w:rsid w:val="40A95F50"/>
    <w:rsid w:val="40AB2773"/>
    <w:rsid w:val="40B26C05"/>
    <w:rsid w:val="40B800CB"/>
    <w:rsid w:val="40B97058"/>
    <w:rsid w:val="40D07EFD"/>
    <w:rsid w:val="40D13DDB"/>
    <w:rsid w:val="40D36DDE"/>
    <w:rsid w:val="40D53766"/>
    <w:rsid w:val="40E1052C"/>
    <w:rsid w:val="40E340D5"/>
    <w:rsid w:val="40EB2F89"/>
    <w:rsid w:val="40EF2A79"/>
    <w:rsid w:val="40F2256A"/>
    <w:rsid w:val="40FD2E2B"/>
    <w:rsid w:val="410057C8"/>
    <w:rsid w:val="410211BA"/>
    <w:rsid w:val="41061B71"/>
    <w:rsid w:val="41120516"/>
    <w:rsid w:val="41121847"/>
    <w:rsid w:val="411777A8"/>
    <w:rsid w:val="411F2A77"/>
    <w:rsid w:val="41230975"/>
    <w:rsid w:val="412519AD"/>
    <w:rsid w:val="41270512"/>
    <w:rsid w:val="4128641F"/>
    <w:rsid w:val="412C31AD"/>
    <w:rsid w:val="412D2E42"/>
    <w:rsid w:val="412E324E"/>
    <w:rsid w:val="412F0096"/>
    <w:rsid w:val="412F10C8"/>
    <w:rsid w:val="413606A8"/>
    <w:rsid w:val="413B181B"/>
    <w:rsid w:val="413C37E5"/>
    <w:rsid w:val="413E57AF"/>
    <w:rsid w:val="41443B0A"/>
    <w:rsid w:val="41503FE9"/>
    <w:rsid w:val="41524DB6"/>
    <w:rsid w:val="41526B64"/>
    <w:rsid w:val="415648A7"/>
    <w:rsid w:val="415E375B"/>
    <w:rsid w:val="41650F8E"/>
    <w:rsid w:val="41670862"/>
    <w:rsid w:val="41695633"/>
    <w:rsid w:val="416A3D4D"/>
    <w:rsid w:val="41717932"/>
    <w:rsid w:val="41720FB5"/>
    <w:rsid w:val="41773C1B"/>
    <w:rsid w:val="41831414"/>
    <w:rsid w:val="41870F04"/>
    <w:rsid w:val="418807D8"/>
    <w:rsid w:val="41882851"/>
    <w:rsid w:val="419378A9"/>
    <w:rsid w:val="41967399"/>
    <w:rsid w:val="419B050B"/>
    <w:rsid w:val="419D4283"/>
    <w:rsid w:val="419E1663"/>
    <w:rsid w:val="419E16D6"/>
    <w:rsid w:val="41A167E8"/>
    <w:rsid w:val="41AA69A0"/>
    <w:rsid w:val="41BA3087"/>
    <w:rsid w:val="41C1618B"/>
    <w:rsid w:val="41CF28EE"/>
    <w:rsid w:val="41D8350E"/>
    <w:rsid w:val="41DE4724"/>
    <w:rsid w:val="41EF7AA8"/>
    <w:rsid w:val="41F40728"/>
    <w:rsid w:val="4200449D"/>
    <w:rsid w:val="42097B6B"/>
    <w:rsid w:val="420B38E3"/>
    <w:rsid w:val="42100EF9"/>
    <w:rsid w:val="42141AFB"/>
    <w:rsid w:val="42155C4D"/>
    <w:rsid w:val="42213106"/>
    <w:rsid w:val="42291FBB"/>
    <w:rsid w:val="422F689C"/>
    <w:rsid w:val="42335677"/>
    <w:rsid w:val="423A3BCC"/>
    <w:rsid w:val="4242450A"/>
    <w:rsid w:val="424E557E"/>
    <w:rsid w:val="424E57D2"/>
    <w:rsid w:val="42577480"/>
    <w:rsid w:val="425828A0"/>
    <w:rsid w:val="425F2F04"/>
    <w:rsid w:val="425F778B"/>
    <w:rsid w:val="4262727B"/>
    <w:rsid w:val="426479D7"/>
    <w:rsid w:val="42666D6B"/>
    <w:rsid w:val="42672AE3"/>
    <w:rsid w:val="427A2817"/>
    <w:rsid w:val="427A6373"/>
    <w:rsid w:val="427F607F"/>
    <w:rsid w:val="42862F6A"/>
    <w:rsid w:val="42884F34"/>
    <w:rsid w:val="428A638C"/>
    <w:rsid w:val="428C42F8"/>
    <w:rsid w:val="428C60A6"/>
    <w:rsid w:val="428E1E1E"/>
    <w:rsid w:val="429337A4"/>
    <w:rsid w:val="429513FF"/>
    <w:rsid w:val="429A3840"/>
    <w:rsid w:val="429F227D"/>
    <w:rsid w:val="42A20F87"/>
    <w:rsid w:val="42A25027"/>
    <w:rsid w:val="42A258CA"/>
    <w:rsid w:val="42A47894"/>
    <w:rsid w:val="42A95426"/>
    <w:rsid w:val="42AA0228"/>
    <w:rsid w:val="42AB464A"/>
    <w:rsid w:val="42B10DDF"/>
    <w:rsid w:val="42B26C49"/>
    <w:rsid w:val="42B31885"/>
    <w:rsid w:val="42B75819"/>
    <w:rsid w:val="42B94338"/>
    <w:rsid w:val="42BC5C23"/>
    <w:rsid w:val="42C341BE"/>
    <w:rsid w:val="42C942AD"/>
    <w:rsid w:val="42CA554C"/>
    <w:rsid w:val="42CF2B62"/>
    <w:rsid w:val="42D068DB"/>
    <w:rsid w:val="42E11043"/>
    <w:rsid w:val="42E45EE2"/>
    <w:rsid w:val="42EA799C"/>
    <w:rsid w:val="42ED4D97"/>
    <w:rsid w:val="42F30C5B"/>
    <w:rsid w:val="42F36154"/>
    <w:rsid w:val="42F87111"/>
    <w:rsid w:val="42F97E2C"/>
    <w:rsid w:val="43014CE6"/>
    <w:rsid w:val="43030A5E"/>
    <w:rsid w:val="4304272C"/>
    <w:rsid w:val="431132C4"/>
    <w:rsid w:val="4315253F"/>
    <w:rsid w:val="43161271"/>
    <w:rsid w:val="43170066"/>
    <w:rsid w:val="431A3C37"/>
    <w:rsid w:val="431C742A"/>
    <w:rsid w:val="431E7646"/>
    <w:rsid w:val="4329389D"/>
    <w:rsid w:val="432B3B11"/>
    <w:rsid w:val="433230F1"/>
    <w:rsid w:val="43326C4D"/>
    <w:rsid w:val="4335673E"/>
    <w:rsid w:val="433A6FE6"/>
    <w:rsid w:val="434750BB"/>
    <w:rsid w:val="43480868"/>
    <w:rsid w:val="434846C3"/>
    <w:rsid w:val="434D02B5"/>
    <w:rsid w:val="434D1CD9"/>
    <w:rsid w:val="434F15AD"/>
    <w:rsid w:val="4350713C"/>
    <w:rsid w:val="43581053"/>
    <w:rsid w:val="435B61A4"/>
    <w:rsid w:val="435C1F1C"/>
    <w:rsid w:val="435C4EC8"/>
    <w:rsid w:val="436112E1"/>
    <w:rsid w:val="43664E65"/>
    <w:rsid w:val="436653E0"/>
    <w:rsid w:val="43671F7A"/>
    <w:rsid w:val="436A288B"/>
    <w:rsid w:val="43770B04"/>
    <w:rsid w:val="437B05F4"/>
    <w:rsid w:val="437B708E"/>
    <w:rsid w:val="43804A9E"/>
    <w:rsid w:val="438374A9"/>
    <w:rsid w:val="43893060"/>
    <w:rsid w:val="43893EEA"/>
    <w:rsid w:val="438A680A"/>
    <w:rsid w:val="438C0A54"/>
    <w:rsid w:val="438C45B0"/>
    <w:rsid w:val="438C661A"/>
    <w:rsid w:val="439A28BF"/>
    <w:rsid w:val="43A63197"/>
    <w:rsid w:val="43AD4526"/>
    <w:rsid w:val="43AE09CA"/>
    <w:rsid w:val="43AE45F3"/>
    <w:rsid w:val="43AF4742"/>
    <w:rsid w:val="43B73219"/>
    <w:rsid w:val="43B87373"/>
    <w:rsid w:val="43BD69CC"/>
    <w:rsid w:val="43C4431A"/>
    <w:rsid w:val="43CC2BFE"/>
    <w:rsid w:val="43D16466"/>
    <w:rsid w:val="43D877F5"/>
    <w:rsid w:val="43E0284B"/>
    <w:rsid w:val="43E53CC0"/>
    <w:rsid w:val="43F108B7"/>
    <w:rsid w:val="43F379D3"/>
    <w:rsid w:val="43F604A1"/>
    <w:rsid w:val="43F9567F"/>
    <w:rsid w:val="43FC238F"/>
    <w:rsid w:val="44064915"/>
    <w:rsid w:val="440A7BCA"/>
    <w:rsid w:val="440C6FD6"/>
    <w:rsid w:val="441B48B4"/>
    <w:rsid w:val="441D78FE"/>
    <w:rsid w:val="441F3676"/>
    <w:rsid w:val="441F7EFA"/>
    <w:rsid w:val="44261858"/>
    <w:rsid w:val="44290050"/>
    <w:rsid w:val="44305DBB"/>
    <w:rsid w:val="44317D68"/>
    <w:rsid w:val="443305B0"/>
    <w:rsid w:val="4436451B"/>
    <w:rsid w:val="443864E5"/>
    <w:rsid w:val="443C17FD"/>
    <w:rsid w:val="443D67BB"/>
    <w:rsid w:val="444B7A53"/>
    <w:rsid w:val="44586B88"/>
    <w:rsid w:val="445D7CFA"/>
    <w:rsid w:val="44663053"/>
    <w:rsid w:val="44727C49"/>
    <w:rsid w:val="4476399E"/>
    <w:rsid w:val="447C2876"/>
    <w:rsid w:val="448060E4"/>
    <w:rsid w:val="44871A95"/>
    <w:rsid w:val="448A26F8"/>
    <w:rsid w:val="44910E28"/>
    <w:rsid w:val="44954942"/>
    <w:rsid w:val="449F47B6"/>
    <w:rsid w:val="44A04C12"/>
    <w:rsid w:val="44A3507E"/>
    <w:rsid w:val="44A377A9"/>
    <w:rsid w:val="44A65B45"/>
    <w:rsid w:val="44A76274"/>
    <w:rsid w:val="44AB4F09"/>
    <w:rsid w:val="44AD6ED3"/>
    <w:rsid w:val="44B42D0B"/>
    <w:rsid w:val="44B738AE"/>
    <w:rsid w:val="44B951CC"/>
    <w:rsid w:val="44BA6822"/>
    <w:rsid w:val="44BF6C07"/>
    <w:rsid w:val="44C85ABB"/>
    <w:rsid w:val="44CD14E0"/>
    <w:rsid w:val="44D473C9"/>
    <w:rsid w:val="44D51F86"/>
    <w:rsid w:val="44D530F6"/>
    <w:rsid w:val="44DA759D"/>
    <w:rsid w:val="44E25F09"/>
    <w:rsid w:val="44ED3AEF"/>
    <w:rsid w:val="44F20B0B"/>
    <w:rsid w:val="44F20D8A"/>
    <w:rsid w:val="44F543D6"/>
    <w:rsid w:val="44FA379B"/>
    <w:rsid w:val="45012D7B"/>
    <w:rsid w:val="450665E4"/>
    <w:rsid w:val="450B59A8"/>
    <w:rsid w:val="450E7246"/>
    <w:rsid w:val="45101210"/>
    <w:rsid w:val="451505D5"/>
    <w:rsid w:val="451900C5"/>
    <w:rsid w:val="452151CC"/>
    <w:rsid w:val="452E1696"/>
    <w:rsid w:val="452E5F4C"/>
    <w:rsid w:val="453273D9"/>
    <w:rsid w:val="453E5D7D"/>
    <w:rsid w:val="45462E84"/>
    <w:rsid w:val="45521FA0"/>
    <w:rsid w:val="455C26A8"/>
    <w:rsid w:val="455E1F7C"/>
    <w:rsid w:val="456017C3"/>
    <w:rsid w:val="45612018"/>
    <w:rsid w:val="45651798"/>
    <w:rsid w:val="4568626D"/>
    <w:rsid w:val="457050EE"/>
    <w:rsid w:val="457479F1"/>
    <w:rsid w:val="457505CF"/>
    <w:rsid w:val="457572C5"/>
    <w:rsid w:val="45761D23"/>
    <w:rsid w:val="457C4AF8"/>
    <w:rsid w:val="4582210E"/>
    <w:rsid w:val="45863281"/>
    <w:rsid w:val="458946E9"/>
    <w:rsid w:val="458A4B1F"/>
    <w:rsid w:val="458E64AD"/>
    <w:rsid w:val="458F65D9"/>
    <w:rsid w:val="4597723C"/>
    <w:rsid w:val="459933FD"/>
    <w:rsid w:val="45A47C0E"/>
    <w:rsid w:val="45B432B7"/>
    <w:rsid w:val="45B918A8"/>
    <w:rsid w:val="45B94000"/>
    <w:rsid w:val="45BB73CE"/>
    <w:rsid w:val="45C226CA"/>
    <w:rsid w:val="45C30031"/>
    <w:rsid w:val="45CE5353"/>
    <w:rsid w:val="45D72472"/>
    <w:rsid w:val="45D72B76"/>
    <w:rsid w:val="45DA2553"/>
    <w:rsid w:val="45E5269D"/>
    <w:rsid w:val="45F2294E"/>
    <w:rsid w:val="45F66658"/>
    <w:rsid w:val="46020B59"/>
    <w:rsid w:val="460A2104"/>
    <w:rsid w:val="460F2D79"/>
    <w:rsid w:val="461D5993"/>
    <w:rsid w:val="46222FA9"/>
    <w:rsid w:val="46284338"/>
    <w:rsid w:val="46304568"/>
    <w:rsid w:val="463348BC"/>
    <w:rsid w:val="463364C0"/>
    <w:rsid w:val="4635120F"/>
    <w:rsid w:val="463902F3"/>
    <w:rsid w:val="463A4797"/>
    <w:rsid w:val="463E3B5B"/>
    <w:rsid w:val="46454EEA"/>
    <w:rsid w:val="46476EB4"/>
    <w:rsid w:val="464A2500"/>
    <w:rsid w:val="464C0026"/>
    <w:rsid w:val="464F1832"/>
    <w:rsid w:val="46503FBA"/>
    <w:rsid w:val="46577FD6"/>
    <w:rsid w:val="465C62D1"/>
    <w:rsid w:val="46607F75"/>
    <w:rsid w:val="46623CEE"/>
    <w:rsid w:val="466435C2"/>
    <w:rsid w:val="466C691A"/>
    <w:rsid w:val="466F2016"/>
    <w:rsid w:val="467A1461"/>
    <w:rsid w:val="467F03FC"/>
    <w:rsid w:val="46844E21"/>
    <w:rsid w:val="469C7200"/>
    <w:rsid w:val="469D0882"/>
    <w:rsid w:val="46A55988"/>
    <w:rsid w:val="46A936CA"/>
    <w:rsid w:val="46B06807"/>
    <w:rsid w:val="46B1432D"/>
    <w:rsid w:val="46BC1650"/>
    <w:rsid w:val="46BD7176"/>
    <w:rsid w:val="46BF6A4A"/>
    <w:rsid w:val="46C32D96"/>
    <w:rsid w:val="46D955A7"/>
    <w:rsid w:val="46E003EF"/>
    <w:rsid w:val="46E075FC"/>
    <w:rsid w:val="46E20FFE"/>
    <w:rsid w:val="46EB7AE7"/>
    <w:rsid w:val="46EE0BAD"/>
    <w:rsid w:val="46F26E20"/>
    <w:rsid w:val="46F32B98"/>
    <w:rsid w:val="46F506BE"/>
    <w:rsid w:val="46F70096"/>
    <w:rsid w:val="46FC1A4C"/>
    <w:rsid w:val="46FC7C9E"/>
    <w:rsid w:val="47046B53"/>
    <w:rsid w:val="47086643"/>
    <w:rsid w:val="470B68DC"/>
    <w:rsid w:val="470F6897"/>
    <w:rsid w:val="47125086"/>
    <w:rsid w:val="47133957"/>
    <w:rsid w:val="471A6376"/>
    <w:rsid w:val="471C3A34"/>
    <w:rsid w:val="472745EF"/>
    <w:rsid w:val="47305B9A"/>
    <w:rsid w:val="47330B7F"/>
    <w:rsid w:val="474433F3"/>
    <w:rsid w:val="474B6530"/>
    <w:rsid w:val="47525B10"/>
    <w:rsid w:val="475353E4"/>
    <w:rsid w:val="47573126"/>
    <w:rsid w:val="475D61AA"/>
    <w:rsid w:val="475E6263"/>
    <w:rsid w:val="475F022D"/>
    <w:rsid w:val="475F1FDB"/>
    <w:rsid w:val="4760672C"/>
    <w:rsid w:val="47694C08"/>
    <w:rsid w:val="476B4E24"/>
    <w:rsid w:val="476D294A"/>
    <w:rsid w:val="476F19E0"/>
    <w:rsid w:val="47737835"/>
    <w:rsid w:val="47777325"/>
    <w:rsid w:val="47887784"/>
    <w:rsid w:val="479236CB"/>
    <w:rsid w:val="479B74B7"/>
    <w:rsid w:val="479E529B"/>
    <w:rsid w:val="47A07E0C"/>
    <w:rsid w:val="47A55471"/>
    <w:rsid w:val="47AA594C"/>
    <w:rsid w:val="47AA76FA"/>
    <w:rsid w:val="47AB5220"/>
    <w:rsid w:val="47AE36B7"/>
    <w:rsid w:val="47B16CDB"/>
    <w:rsid w:val="47B4129E"/>
    <w:rsid w:val="47C35B26"/>
    <w:rsid w:val="47C50090"/>
    <w:rsid w:val="47C85DD2"/>
    <w:rsid w:val="47CA1B4A"/>
    <w:rsid w:val="47CB141F"/>
    <w:rsid w:val="47D23DB4"/>
    <w:rsid w:val="47DB3D58"/>
    <w:rsid w:val="47DC16E0"/>
    <w:rsid w:val="47E56984"/>
    <w:rsid w:val="47ED377D"/>
    <w:rsid w:val="47EF1892"/>
    <w:rsid w:val="47F06A69"/>
    <w:rsid w:val="47F646ED"/>
    <w:rsid w:val="47FB61A8"/>
    <w:rsid w:val="4806752C"/>
    <w:rsid w:val="480D3C11"/>
    <w:rsid w:val="48141898"/>
    <w:rsid w:val="48186030"/>
    <w:rsid w:val="481F17D8"/>
    <w:rsid w:val="481F4379"/>
    <w:rsid w:val="482F5E51"/>
    <w:rsid w:val="48425B85"/>
    <w:rsid w:val="48457423"/>
    <w:rsid w:val="484C255F"/>
    <w:rsid w:val="484E277B"/>
    <w:rsid w:val="48515DC8"/>
    <w:rsid w:val="485B6C46"/>
    <w:rsid w:val="48643D4D"/>
    <w:rsid w:val="486755EB"/>
    <w:rsid w:val="486C36D1"/>
    <w:rsid w:val="4870272E"/>
    <w:rsid w:val="48757D08"/>
    <w:rsid w:val="48770307"/>
    <w:rsid w:val="48785E62"/>
    <w:rsid w:val="48842DAA"/>
    <w:rsid w:val="48900C2B"/>
    <w:rsid w:val="48952158"/>
    <w:rsid w:val="489F4D85"/>
    <w:rsid w:val="489F6B33"/>
    <w:rsid w:val="48A06010"/>
    <w:rsid w:val="48A57EC2"/>
    <w:rsid w:val="48BF2D31"/>
    <w:rsid w:val="48C06AA9"/>
    <w:rsid w:val="48C230EB"/>
    <w:rsid w:val="48C93BB0"/>
    <w:rsid w:val="48CC18F2"/>
    <w:rsid w:val="48CC36A0"/>
    <w:rsid w:val="48D2515B"/>
    <w:rsid w:val="48D301F3"/>
    <w:rsid w:val="48E56510"/>
    <w:rsid w:val="48E728AE"/>
    <w:rsid w:val="48E96000"/>
    <w:rsid w:val="48EE6F7C"/>
    <w:rsid w:val="48F826E7"/>
    <w:rsid w:val="48FA28C6"/>
    <w:rsid w:val="48FB0348"/>
    <w:rsid w:val="49137521"/>
    <w:rsid w:val="491737F8"/>
    <w:rsid w:val="491D214E"/>
    <w:rsid w:val="492359B6"/>
    <w:rsid w:val="49262DB0"/>
    <w:rsid w:val="49293397"/>
    <w:rsid w:val="492B486B"/>
    <w:rsid w:val="49331971"/>
    <w:rsid w:val="49351245"/>
    <w:rsid w:val="493556E9"/>
    <w:rsid w:val="49373210"/>
    <w:rsid w:val="493732C3"/>
    <w:rsid w:val="49380D36"/>
    <w:rsid w:val="49396F88"/>
    <w:rsid w:val="493C4382"/>
    <w:rsid w:val="493F0316"/>
    <w:rsid w:val="493F3E72"/>
    <w:rsid w:val="494B6CBB"/>
    <w:rsid w:val="494D47E1"/>
    <w:rsid w:val="49523BA5"/>
    <w:rsid w:val="49535B70"/>
    <w:rsid w:val="4954230A"/>
    <w:rsid w:val="495518E8"/>
    <w:rsid w:val="49575F6F"/>
    <w:rsid w:val="495913D8"/>
    <w:rsid w:val="495B0E0B"/>
    <w:rsid w:val="4968161B"/>
    <w:rsid w:val="496D09DF"/>
    <w:rsid w:val="49731D6E"/>
    <w:rsid w:val="49755AE6"/>
    <w:rsid w:val="49796A18"/>
    <w:rsid w:val="497B5956"/>
    <w:rsid w:val="49843F7B"/>
    <w:rsid w:val="498477B9"/>
    <w:rsid w:val="49855F2D"/>
    <w:rsid w:val="49865F45"/>
    <w:rsid w:val="4989333F"/>
    <w:rsid w:val="498E6BA8"/>
    <w:rsid w:val="49942410"/>
    <w:rsid w:val="49952BCA"/>
    <w:rsid w:val="499A379E"/>
    <w:rsid w:val="499A49CE"/>
    <w:rsid w:val="499E2377"/>
    <w:rsid w:val="499F5FF1"/>
    <w:rsid w:val="49A346C1"/>
    <w:rsid w:val="49A9561E"/>
    <w:rsid w:val="49B91E77"/>
    <w:rsid w:val="49B969FD"/>
    <w:rsid w:val="49BE7413"/>
    <w:rsid w:val="49C36851"/>
    <w:rsid w:val="49C5081B"/>
    <w:rsid w:val="49C751FD"/>
    <w:rsid w:val="49C83E68"/>
    <w:rsid w:val="49CF169A"/>
    <w:rsid w:val="49CF51F6"/>
    <w:rsid w:val="49D26201"/>
    <w:rsid w:val="49D56585"/>
    <w:rsid w:val="49D7054F"/>
    <w:rsid w:val="49DB2A66"/>
    <w:rsid w:val="49DC7715"/>
    <w:rsid w:val="49DF11B1"/>
    <w:rsid w:val="49E1317B"/>
    <w:rsid w:val="49E669E4"/>
    <w:rsid w:val="49E84536"/>
    <w:rsid w:val="49EB2060"/>
    <w:rsid w:val="49EC3FFA"/>
    <w:rsid w:val="49ED2CCD"/>
    <w:rsid w:val="4A01737A"/>
    <w:rsid w:val="4A023139"/>
    <w:rsid w:val="4A0D3F70"/>
    <w:rsid w:val="4A0F011F"/>
    <w:rsid w:val="4A123335"/>
    <w:rsid w:val="4A1277D9"/>
    <w:rsid w:val="4A1B6156"/>
    <w:rsid w:val="4A1C3426"/>
    <w:rsid w:val="4A1E1CDA"/>
    <w:rsid w:val="4A1E7312"/>
    <w:rsid w:val="4A240BDF"/>
    <w:rsid w:val="4A2C089A"/>
    <w:rsid w:val="4A2D0E1F"/>
    <w:rsid w:val="4A3D4856"/>
    <w:rsid w:val="4A4714C3"/>
    <w:rsid w:val="4A4A0D21"/>
    <w:rsid w:val="4A4A6F73"/>
    <w:rsid w:val="4A4D25BF"/>
    <w:rsid w:val="4A4E6A63"/>
    <w:rsid w:val="4A547DF1"/>
    <w:rsid w:val="4A565917"/>
    <w:rsid w:val="4A5D6CA6"/>
    <w:rsid w:val="4A645B9B"/>
    <w:rsid w:val="4A6513D6"/>
    <w:rsid w:val="4A687E17"/>
    <w:rsid w:val="4A692BD3"/>
    <w:rsid w:val="4A6A13C3"/>
    <w:rsid w:val="4A712751"/>
    <w:rsid w:val="4A767D68"/>
    <w:rsid w:val="4A7B576F"/>
    <w:rsid w:val="4A7F1081"/>
    <w:rsid w:val="4A804742"/>
    <w:rsid w:val="4A8204BA"/>
    <w:rsid w:val="4A82670C"/>
    <w:rsid w:val="4A857FAB"/>
    <w:rsid w:val="4A875AD1"/>
    <w:rsid w:val="4A9106FD"/>
    <w:rsid w:val="4A983369"/>
    <w:rsid w:val="4A995804"/>
    <w:rsid w:val="4A9A1CA8"/>
    <w:rsid w:val="4A9B77CE"/>
    <w:rsid w:val="4A9F72BE"/>
    <w:rsid w:val="4AA5064D"/>
    <w:rsid w:val="4AA523FB"/>
    <w:rsid w:val="4AB34B18"/>
    <w:rsid w:val="4ABB1C1E"/>
    <w:rsid w:val="4AC13A05"/>
    <w:rsid w:val="4AC5499F"/>
    <w:rsid w:val="4AC705C3"/>
    <w:rsid w:val="4AC72816"/>
    <w:rsid w:val="4AC76815"/>
    <w:rsid w:val="4AD4683C"/>
    <w:rsid w:val="4AD52CE0"/>
    <w:rsid w:val="4AD73FE7"/>
    <w:rsid w:val="4ADB7BCB"/>
    <w:rsid w:val="4ADD1B62"/>
    <w:rsid w:val="4ADF520B"/>
    <w:rsid w:val="4ADF590D"/>
    <w:rsid w:val="4AEB1032"/>
    <w:rsid w:val="4AEE78FE"/>
    <w:rsid w:val="4AF15640"/>
    <w:rsid w:val="4AF561A9"/>
    <w:rsid w:val="4AFB201B"/>
    <w:rsid w:val="4B011D0E"/>
    <w:rsid w:val="4B054C48"/>
    <w:rsid w:val="4B0C6E5A"/>
    <w:rsid w:val="4B105AC6"/>
    <w:rsid w:val="4B1C090F"/>
    <w:rsid w:val="4B1E15DC"/>
    <w:rsid w:val="4B2065B6"/>
    <w:rsid w:val="4B321EE0"/>
    <w:rsid w:val="4B3420C6"/>
    <w:rsid w:val="4B3C2560"/>
    <w:rsid w:val="4B3C4B0D"/>
    <w:rsid w:val="4B425E9C"/>
    <w:rsid w:val="4B46773A"/>
    <w:rsid w:val="4B4B14A0"/>
    <w:rsid w:val="4B4B41DB"/>
    <w:rsid w:val="4B5F07FC"/>
    <w:rsid w:val="4B645E12"/>
    <w:rsid w:val="4B6727E3"/>
    <w:rsid w:val="4B6B0F4E"/>
    <w:rsid w:val="4B7C13AE"/>
    <w:rsid w:val="4B897627"/>
    <w:rsid w:val="4B8C08D1"/>
    <w:rsid w:val="4B9761E7"/>
    <w:rsid w:val="4B991F60"/>
    <w:rsid w:val="4B9E7576"/>
    <w:rsid w:val="4BA80A71"/>
    <w:rsid w:val="4BAA21AF"/>
    <w:rsid w:val="4BAF0679"/>
    <w:rsid w:val="4BB328F5"/>
    <w:rsid w:val="4BB46D99"/>
    <w:rsid w:val="4BBC17AA"/>
    <w:rsid w:val="4BBC79FC"/>
    <w:rsid w:val="4BBE3774"/>
    <w:rsid w:val="4BC27D91"/>
    <w:rsid w:val="4BC743A6"/>
    <w:rsid w:val="4BC863A1"/>
    <w:rsid w:val="4BCF3BD3"/>
    <w:rsid w:val="4BD56D10"/>
    <w:rsid w:val="4BD905AE"/>
    <w:rsid w:val="4BD96800"/>
    <w:rsid w:val="4BDC5AC7"/>
    <w:rsid w:val="4BEC745B"/>
    <w:rsid w:val="4BEE601D"/>
    <w:rsid w:val="4BEF7DD1"/>
    <w:rsid w:val="4BF52F0E"/>
    <w:rsid w:val="4C1859E4"/>
    <w:rsid w:val="4C1E2465"/>
    <w:rsid w:val="4C25342A"/>
    <w:rsid w:val="4C275D7C"/>
    <w:rsid w:val="4C327CBE"/>
    <w:rsid w:val="4C3347A3"/>
    <w:rsid w:val="4C3677AE"/>
    <w:rsid w:val="4C373527"/>
    <w:rsid w:val="4C4243A5"/>
    <w:rsid w:val="4C431ECB"/>
    <w:rsid w:val="4C433C79"/>
    <w:rsid w:val="4C4579F1"/>
    <w:rsid w:val="4C485734"/>
    <w:rsid w:val="4C4A0649"/>
    <w:rsid w:val="4C514FF2"/>
    <w:rsid w:val="4C547C35"/>
    <w:rsid w:val="4C584540"/>
    <w:rsid w:val="4C716A38"/>
    <w:rsid w:val="4C7E5ECA"/>
    <w:rsid w:val="4C816990"/>
    <w:rsid w:val="4C8229F4"/>
    <w:rsid w:val="4C8449A2"/>
    <w:rsid w:val="4C8524E4"/>
    <w:rsid w:val="4C876AA5"/>
    <w:rsid w:val="4C9170DB"/>
    <w:rsid w:val="4CA07066"/>
    <w:rsid w:val="4CA77CAD"/>
    <w:rsid w:val="4CAF212E"/>
    <w:rsid w:val="4CBD57DA"/>
    <w:rsid w:val="4CC0351C"/>
    <w:rsid w:val="4CC56D84"/>
    <w:rsid w:val="4CCC0113"/>
    <w:rsid w:val="4CD15729"/>
    <w:rsid w:val="4CD62D3F"/>
    <w:rsid w:val="4CD6689C"/>
    <w:rsid w:val="4CD82614"/>
    <w:rsid w:val="4CDB2104"/>
    <w:rsid w:val="4CE0596C"/>
    <w:rsid w:val="4CEB6A0D"/>
    <w:rsid w:val="4CF3569F"/>
    <w:rsid w:val="4CFB6302"/>
    <w:rsid w:val="4D096C71"/>
    <w:rsid w:val="4D0E00FB"/>
    <w:rsid w:val="4D176606"/>
    <w:rsid w:val="4D225F85"/>
    <w:rsid w:val="4D2910C1"/>
    <w:rsid w:val="4D341CB6"/>
    <w:rsid w:val="4D3B0DF4"/>
    <w:rsid w:val="4D3B2BA3"/>
    <w:rsid w:val="4D4642C1"/>
    <w:rsid w:val="4D470B7A"/>
    <w:rsid w:val="4D5123C6"/>
    <w:rsid w:val="4D551EB6"/>
    <w:rsid w:val="4D571ED4"/>
    <w:rsid w:val="4D616AAD"/>
    <w:rsid w:val="4D746CD8"/>
    <w:rsid w:val="4D7A4217"/>
    <w:rsid w:val="4D816BCF"/>
    <w:rsid w:val="4D85453D"/>
    <w:rsid w:val="4D891B60"/>
    <w:rsid w:val="4DA028FA"/>
    <w:rsid w:val="4DA1635B"/>
    <w:rsid w:val="4DA60964"/>
    <w:rsid w:val="4DA75440"/>
    <w:rsid w:val="4DB017E2"/>
    <w:rsid w:val="4DB43081"/>
    <w:rsid w:val="4DC15B9F"/>
    <w:rsid w:val="4DCA6127"/>
    <w:rsid w:val="4DCC72BB"/>
    <w:rsid w:val="4DCE1C69"/>
    <w:rsid w:val="4DD0778F"/>
    <w:rsid w:val="4DD312CA"/>
    <w:rsid w:val="4DDA685F"/>
    <w:rsid w:val="4DDF3E76"/>
    <w:rsid w:val="4DDF79D2"/>
    <w:rsid w:val="4DE017A3"/>
    <w:rsid w:val="4DE1199C"/>
    <w:rsid w:val="4DE1374A"/>
    <w:rsid w:val="4DE66FB2"/>
    <w:rsid w:val="4DEC4FB0"/>
    <w:rsid w:val="4DEF40B9"/>
    <w:rsid w:val="4DF55447"/>
    <w:rsid w:val="4DF74D1B"/>
    <w:rsid w:val="4DFC6B90"/>
    <w:rsid w:val="4DFE60AA"/>
    <w:rsid w:val="4E075D8A"/>
    <w:rsid w:val="4E086F29"/>
    <w:rsid w:val="4E0D453F"/>
    <w:rsid w:val="4E0F5E24"/>
    <w:rsid w:val="4E0F6509"/>
    <w:rsid w:val="4E1352B2"/>
    <w:rsid w:val="4E141D71"/>
    <w:rsid w:val="4E151645"/>
    <w:rsid w:val="4E173B77"/>
    <w:rsid w:val="4E1C0C26"/>
    <w:rsid w:val="4E1C6F66"/>
    <w:rsid w:val="4E200716"/>
    <w:rsid w:val="4E21445F"/>
    <w:rsid w:val="4E21448E"/>
    <w:rsid w:val="4E295A47"/>
    <w:rsid w:val="4E3715BC"/>
    <w:rsid w:val="4E4D0ED8"/>
    <w:rsid w:val="4E50649C"/>
    <w:rsid w:val="4E511C48"/>
    <w:rsid w:val="4E5330E3"/>
    <w:rsid w:val="4E670C8E"/>
    <w:rsid w:val="4E6B74B7"/>
    <w:rsid w:val="4E6D491D"/>
    <w:rsid w:val="4E760336"/>
    <w:rsid w:val="4E7740AE"/>
    <w:rsid w:val="4E7F35D9"/>
    <w:rsid w:val="4E8011B5"/>
    <w:rsid w:val="4E834801"/>
    <w:rsid w:val="4E850579"/>
    <w:rsid w:val="4E870795"/>
    <w:rsid w:val="4E8A2033"/>
    <w:rsid w:val="4E8B75BB"/>
    <w:rsid w:val="4E8C01FF"/>
    <w:rsid w:val="4E8E1784"/>
    <w:rsid w:val="4E922C96"/>
    <w:rsid w:val="4E925632"/>
    <w:rsid w:val="4E9375C7"/>
    <w:rsid w:val="4E961ECF"/>
    <w:rsid w:val="4E9702AC"/>
    <w:rsid w:val="4E9C58C3"/>
    <w:rsid w:val="4EA824BA"/>
    <w:rsid w:val="4EBD5F65"/>
    <w:rsid w:val="4EC00FAD"/>
    <w:rsid w:val="4EC15329"/>
    <w:rsid w:val="4EC73710"/>
    <w:rsid w:val="4EC92B5C"/>
    <w:rsid w:val="4ECF52DB"/>
    <w:rsid w:val="4ED27537"/>
    <w:rsid w:val="4ED35788"/>
    <w:rsid w:val="4ED36F47"/>
    <w:rsid w:val="4ED67027"/>
    <w:rsid w:val="4ED768E9"/>
    <w:rsid w:val="4EEA4144"/>
    <w:rsid w:val="4EF851EF"/>
    <w:rsid w:val="4EFB083B"/>
    <w:rsid w:val="4EFB41B1"/>
    <w:rsid w:val="4EFB6A8D"/>
    <w:rsid w:val="4EFD701C"/>
    <w:rsid w:val="4F05790C"/>
    <w:rsid w:val="4F0C2A48"/>
    <w:rsid w:val="4F1162B1"/>
    <w:rsid w:val="4F132029"/>
    <w:rsid w:val="4F17015D"/>
    <w:rsid w:val="4F1B0EDE"/>
    <w:rsid w:val="4F244236"/>
    <w:rsid w:val="4F295487"/>
    <w:rsid w:val="4F3338DD"/>
    <w:rsid w:val="4F343D4D"/>
    <w:rsid w:val="4F401D83"/>
    <w:rsid w:val="4F440434"/>
    <w:rsid w:val="4F443F90"/>
    <w:rsid w:val="4F4D178A"/>
    <w:rsid w:val="4F5145AF"/>
    <w:rsid w:val="4F585C8E"/>
    <w:rsid w:val="4F730D1A"/>
    <w:rsid w:val="4F7F5A60"/>
    <w:rsid w:val="4F833D11"/>
    <w:rsid w:val="4F893639"/>
    <w:rsid w:val="4F8C3B89"/>
    <w:rsid w:val="4F960564"/>
    <w:rsid w:val="4F9843DC"/>
    <w:rsid w:val="4F9A0054"/>
    <w:rsid w:val="4F9A62A6"/>
    <w:rsid w:val="4FA73723"/>
    <w:rsid w:val="4FAB400F"/>
    <w:rsid w:val="4FB1539E"/>
    <w:rsid w:val="4FB31116"/>
    <w:rsid w:val="4FBC10FB"/>
    <w:rsid w:val="4FBF11AA"/>
    <w:rsid w:val="4FBF5D0D"/>
    <w:rsid w:val="4FC13833"/>
    <w:rsid w:val="4FC62A8C"/>
    <w:rsid w:val="4FC7696F"/>
    <w:rsid w:val="4FC95601"/>
    <w:rsid w:val="4FD317B8"/>
    <w:rsid w:val="4FD31B9F"/>
    <w:rsid w:val="4FD55E3A"/>
    <w:rsid w:val="4FD73056"/>
    <w:rsid w:val="4FD95020"/>
    <w:rsid w:val="4FDA66A3"/>
    <w:rsid w:val="4FDE7304"/>
    <w:rsid w:val="4FE20F0D"/>
    <w:rsid w:val="4FE51552"/>
    <w:rsid w:val="4FED4628"/>
    <w:rsid w:val="4FEE214E"/>
    <w:rsid w:val="4FF05EC6"/>
    <w:rsid w:val="4FF75A31"/>
    <w:rsid w:val="4FFC2ABD"/>
    <w:rsid w:val="4FFE1863"/>
    <w:rsid w:val="5002770D"/>
    <w:rsid w:val="50067073"/>
    <w:rsid w:val="500D1647"/>
    <w:rsid w:val="50153B7F"/>
    <w:rsid w:val="5019366F"/>
    <w:rsid w:val="501C4F0D"/>
    <w:rsid w:val="501F49FD"/>
    <w:rsid w:val="501F67AB"/>
    <w:rsid w:val="50207F53"/>
    <w:rsid w:val="5023629C"/>
    <w:rsid w:val="50242014"/>
    <w:rsid w:val="502E69EF"/>
    <w:rsid w:val="503A35E5"/>
    <w:rsid w:val="503D03B4"/>
    <w:rsid w:val="503E4E84"/>
    <w:rsid w:val="50414974"/>
    <w:rsid w:val="5043249A"/>
    <w:rsid w:val="504415D4"/>
    <w:rsid w:val="50463D38"/>
    <w:rsid w:val="50483F54"/>
    <w:rsid w:val="50504BB7"/>
    <w:rsid w:val="50504C4B"/>
    <w:rsid w:val="505226DD"/>
    <w:rsid w:val="5055331D"/>
    <w:rsid w:val="5061701A"/>
    <w:rsid w:val="506643DA"/>
    <w:rsid w:val="50670CB3"/>
    <w:rsid w:val="50681F00"/>
    <w:rsid w:val="50692091"/>
    <w:rsid w:val="506C29B3"/>
    <w:rsid w:val="506F14E1"/>
    <w:rsid w:val="50715259"/>
    <w:rsid w:val="50720FD1"/>
    <w:rsid w:val="50721473"/>
    <w:rsid w:val="507C1E50"/>
    <w:rsid w:val="50816589"/>
    <w:rsid w:val="50837073"/>
    <w:rsid w:val="5085149E"/>
    <w:rsid w:val="508F3931"/>
    <w:rsid w:val="5091570A"/>
    <w:rsid w:val="5095081C"/>
    <w:rsid w:val="50994FD2"/>
    <w:rsid w:val="509C6E7C"/>
    <w:rsid w:val="509E3B74"/>
    <w:rsid w:val="50A15412"/>
    <w:rsid w:val="50A3118B"/>
    <w:rsid w:val="50A4703E"/>
    <w:rsid w:val="50A82C45"/>
    <w:rsid w:val="50AD0C75"/>
    <w:rsid w:val="50AE6150"/>
    <w:rsid w:val="50B11AF9"/>
    <w:rsid w:val="50C17863"/>
    <w:rsid w:val="50CD34F7"/>
    <w:rsid w:val="50CD6207"/>
    <w:rsid w:val="50CF01D2"/>
    <w:rsid w:val="50CF1F80"/>
    <w:rsid w:val="50D13F4A"/>
    <w:rsid w:val="50E05F3B"/>
    <w:rsid w:val="50E21C1C"/>
    <w:rsid w:val="50E81293"/>
    <w:rsid w:val="50E8271D"/>
    <w:rsid w:val="50F9200B"/>
    <w:rsid w:val="510936E3"/>
    <w:rsid w:val="510D230D"/>
    <w:rsid w:val="51143064"/>
    <w:rsid w:val="5116195C"/>
    <w:rsid w:val="51165E00"/>
    <w:rsid w:val="511775C1"/>
    <w:rsid w:val="511B2921"/>
    <w:rsid w:val="511C02AF"/>
    <w:rsid w:val="511E79E7"/>
    <w:rsid w:val="5123601C"/>
    <w:rsid w:val="51255F55"/>
    <w:rsid w:val="51271DBC"/>
    <w:rsid w:val="51273B6A"/>
    <w:rsid w:val="512F086C"/>
    <w:rsid w:val="51347EA6"/>
    <w:rsid w:val="51432FFB"/>
    <w:rsid w:val="5144296E"/>
    <w:rsid w:val="514E559A"/>
    <w:rsid w:val="51525658"/>
    <w:rsid w:val="51600E2A"/>
    <w:rsid w:val="5162104E"/>
    <w:rsid w:val="516467C3"/>
    <w:rsid w:val="5167665C"/>
    <w:rsid w:val="51690153"/>
    <w:rsid w:val="516947B0"/>
    <w:rsid w:val="516978E9"/>
    <w:rsid w:val="516A534F"/>
    <w:rsid w:val="516E6D24"/>
    <w:rsid w:val="5180327A"/>
    <w:rsid w:val="51844B18"/>
    <w:rsid w:val="51864667"/>
    <w:rsid w:val="518A7661"/>
    <w:rsid w:val="5190642C"/>
    <w:rsid w:val="51922AAE"/>
    <w:rsid w:val="51986815"/>
    <w:rsid w:val="519D3E2C"/>
    <w:rsid w:val="519D5BDA"/>
    <w:rsid w:val="51A1624A"/>
    <w:rsid w:val="51B3364F"/>
    <w:rsid w:val="51B87BFC"/>
    <w:rsid w:val="51B9412D"/>
    <w:rsid w:val="51C07B1A"/>
    <w:rsid w:val="51C32273"/>
    <w:rsid w:val="51D51818"/>
    <w:rsid w:val="51D97831"/>
    <w:rsid w:val="51DE20BE"/>
    <w:rsid w:val="51E23F34"/>
    <w:rsid w:val="51E44094"/>
    <w:rsid w:val="51EB1CF5"/>
    <w:rsid w:val="51F32CBF"/>
    <w:rsid w:val="51F36142"/>
    <w:rsid w:val="51F872B4"/>
    <w:rsid w:val="51FC34B0"/>
    <w:rsid w:val="51FF6894"/>
    <w:rsid w:val="52021EE1"/>
    <w:rsid w:val="520530AA"/>
    <w:rsid w:val="52053204"/>
    <w:rsid w:val="520632D7"/>
    <w:rsid w:val="5208551F"/>
    <w:rsid w:val="520B348B"/>
    <w:rsid w:val="520B4A1A"/>
    <w:rsid w:val="520B5239"/>
    <w:rsid w:val="521045FE"/>
    <w:rsid w:val="52120376"/>
    <w:rsid w:val="52152CF9"/>
    <w:rsid w:val="521560B8"/>
    <w:rsid w:val="52193997"/>
    <w:rsid w:val="521F0CE5"/>
    <w:rsid w:val="522105B9"/>
    <w:rsid w:val="52291B63"/>
    <w:rsid w:val="522B74E2"/>
    <w:rsid w:val="52311D3F"/>
    <w:rsid w:val="5233653E"/>
    <w:rsid w:val="52352B08"/>
    <w:rsid w:val="5237602E"/>
    <w:rsid w:val="52383B54"/>
    <w:rsid w:val="523F186E"/>
    <w:rsid w:val="523F3135"/>
    <w:rsid w:val="523F4825"/>
    <w:rsid w:val="52443688"/>
    <w:rsid w:val="524644C3"/>
    <w:rsid w:val="524D1134"/>
    <w:rsid w:val="52576539"/>
    <w:rsid w:val="525A214D"/>
    <w:rsid w:val="525A7F6F"/>
    <w:rsid w:val="525B17E3"/>
    <w:rsid w:val="52662470"/>
    <w:rsid w:val="5268268C"/>
    <w:rsid w:val="526A0F22"/>
    <w:rsid w:val="526E78A3"/>
    <w:rsid w:val="527301A7"/>
    <w:rsid w:val="52752746"/>
    <w:rsid w:val="5276194D"/>
    <w:rsid w:val="52770B21"/>
    <w:rsid w:val="527A6972"/>
    <w:rsid w:val="527B23BF"/>
    <w:rsid w:val="527C23FB"/>
    <w:rsid w:val="527C7EE5"/>
    <w:rsid w:val="528079D5"/>
    <w:rsid w:val="52823A74"/>
    <w:rsid w:val="52887ECF"/>
    <w:rsid w:val="528943B0"/>
    <w:rsid w:val="528F17AD"/>
    <w:rsid w:val="52910142"/>
    <w:rsid w:val="52946FDD"/>
    <w:rsid w:val="529B480F"/>
    <w:rsid w:val="529E42FF"/>
    <w:rsid w:val="52A03BD4"/>
    <w:rsid w:val="52A42F98"/>
    <w:rsid w:val="52A511EA"/>
    <w:rsid w:val="52A52C46"/>
    <w:rsid w:val="52A66D10"/>
    <w:rsid w:val="52AA63B5"/>
    <w:rsid w:val="52AB4331"/>
    <w:rsid w:val="52B23907"/>
    <w:rsid w:val="52BB0A0D"/>
    <w:rsid w:val="52C4037F"/>
    <w:rsid w:val="52C80BF0"/>
    <w:rsid w:val="52CD1A5F"/>
    <w:rsid w:val="52DB52C1"/>
    <w:rsid w:val="52E3448B"/>
    <w:rsid w:val="52E41888"/>
    <w:rsid w:val="52E71802"/>
    <w:rsid w:val="52EB57C1"/>
    <w:rsid w:val="52EC5184"/>
    <w:rsid w:val="52EE4FD4"/>
    <w:rsid w:val="52EF3DF8"/>
    <w:rsid w:val="52F34CC6"/>
    <w:rsid w:val="530F2B07"/>
    <w:rsid w:val="5310041E"/>
    <w:rsid w:val="531243A6"/>
    <w:rsid w:val="531719BC"/>
    <w:rsid w:val="531B76FE"/>
    <w:rsid w:val="531E71EE"/>
    <w:rsid w:val="532E2664"/>
    <w:rsid w:val="532F31A9"/>
    <w:rsid w:val="5332355F"/>
    <w:rsid w:val="533308FD"/>
    <w:rsid w:val="53341D8D"/>
    <w:rsid w:val="53402FC3"/>
    <w:rsid w:val="534053B7"/>
    <w:rsid w:val="53446C55"/>
    <w:rsid w:val="534A7FE3"/>
    <w:rsid w:val="53613A31"/>
    <w:rsid w:val="53622239"/>
    <w:rsid w:val="536410A5"/>
    <w:rsid w:val="536746F1"/>
    <w:rsid w:val="53685144"/>
    <w:rsid w:val="536966BB"/>
    <w:rsid w:val="53713144"/>
    <w:rsid w:val="537312E8"/>
    <w:rsid w:val="53760DD8"/>
    <w:rsid w:val="537F5EDF"/>
    <w:rsid w:val="53803A05"/>
    <w:rsid w:val="538708F0"/>
    <w:rsid w:val="538B66CB"/>
    <w:rsid w:val="53901E9A"/>
    <w:rsid w:val="539250E9"/>
    <w:rsid w:val="53934CF0"/>
    <w:rsid w:val="539857FA"/>
    <w:rsid w:val="539A5C12"/>
    <w:rsid w:val="53A039CC"/>
    <w:rsid w:val="53A121C2"/>
    <w:rsid w:val="53A1505A"/>
    <w:rsid w:val="53A43C4B"/>
    <w:rsid w:val="53AC47FA"/>
    <w:rsid w:val="53B35B89"/>
    <w:rsid w:val="53BE4267"/>
    <w:rsid w:val="53C21688"/>
    <w:rsid w:val="53C658BC"/>
    <w:rsid w:val="53C65E93"/>
    <w:rsid w:val="53CA6F5A"/>
    <w:rsid w:val="53D1600F"/>
    <w:rsid w:val="53D335CA"/>
    <w:rsid w:val="53D8050F"/>
    <w:rsid w:val="53E2646E"/>
    <w:rsid w:val="53E75832"/>
    <w:rsid w:val="53E83831"/>
    <w:rsid w:val="53E9381D"/>
    <w:rsid w:val="53E94A32"/>
    <w:rsid w:val="53E95D98"/>
    <w:rsid w:val="53F35F85"/>
    <w:rsid w:val="53F63391"/>
    <w:rsid w:val="53F817ED"/>
    <w:rsid w:val="53FA37B7"/>
    <w:rsid w:val="53FE3E91"/>
    <w:rsid w:val="54060980"/>
    <w:rsid w:val="54063E08"/>
    <w:rsid w:val="5408144B"/>
    <w:rsid w:val="540957A8"/>
    <w:rsid w:val="540D34EB"/>
    <w:rsid w:val="54127605"/>
    <w:rsid w:val="541859EC"/>
    <w:rsid w:val="541B78CC"/>
    <w:rsid w:val="541D04BA"/>
    <w:rsid w:val="541F321E"/>
    <w:rsid w:val="542C1497"/>
    <w:rsid w:val="542F3092"/>
    <w:rsid w:val="543437E8"/>
    <w:rsid w:val="543510E9"/>
    <w:rsid w:val="543C1163"/>
    <w:rsid w:val="543C5B7E"/>
    <w:rsid w:val="543E18F6"/>
    <w:rsid w:val="544B3BE4"/>
    <w:rsid w:val="54613836"/>
    <w:rsid w:val="546155E5"/>
    <w:rsid w:val="546246F9"/>
    <w:rsid w:val="54674CAE"/>
    <w:rsid w:val="546C1AC8"/>
    <w:rsid w:val="546E385E"/>
    <w:rsid w:val="547215A0"/>
    <w:rsid w:val="547D3499"/>
    <w:rsid w:val="547E7F44"/>
    <w:rsid w:val="547F3CBD"/>
    <w:rsid w:val="547F6E9B"/>
    <w:rsid w:val="54877909"/>
    <w:rsid w:val="548B440F"/>
    <w:rsid w:val="548D226F"/>
    <w:rsid w:val="54935574"/>
    <w:rsid w:val="54A13C33"/>
    <w:rsid w:val="54A31759"/>
    <w:rsid w:val="54A51975"/>
    <w:rsid w:val="54AD082A"/>
    <w:rsid w:val="54B079B7"/>
    <w:rsid w:val="54B72FAA"/>
    <w:rsid w:val="54C17E31"/>
    <w:rsid w:val="54C54621"/>
    <w:rsid w:val="54C811C0"/>
    <w:rsid w:val="54CB0CB0"/>
    <w:rsid w:val="54CF69F2"/>
    <w:rsid w:val="54E37D79"/>
    <w:rsid w:val="54EB4EAE"/>
    <w:rsid w:val="54EE73CE"/>
    <w:rsid w:val="54EF499E"/>
    <w:rsid w:val="54F441BF"/>
    <w:rsid w:val="54F616B0"/>
    <w:rsid w:val="54F71FD2"/>
    <w:rsid w:val="54F73313"/>
    <w:rsid w:val="54F77E34"/>
    <w:rsid w:val="54F80955"/>
    <w:rsid w:val="54F93A6F"/>
    <w:rsid w:val="54F975CB"/>
    <w:rsid w:val="54FF095A"/>
    <w:rsid w:val="55014365"/>
    <w:rsid w:val="55050666"/>
    <w:rsid w:val="550D3076"/>
    <w:rsid w:val="55102B67"/>
    <w:rsid w:val="5516017D"/>
    <w:rsid w:val="55180399"/>
    <w:rsid w:val="55183C47"/>
    <w:rsid w:val="552729CB"/>
    <w:rsid w:val="552A00CC"/>
    <w:rsid w:val="552E4CD8"/>
    <w:rsid w:val="55313209"/>
    <w:rsid w:val="55314FB7"/>
    <w:rsid w:val="553E5C61"/>
    <w:rsid w:val="55434CEA"/>
    <w:rsid w:val="5549472A"/>
    <w:rsid w:val="554C3B9F"/>
    <w:rsid w:val="555170A7"/>
    <w:rsid w:val="55564A1D"/>
    <w:rsid w:val="55570796"/>
    <w:rsid w:val="555D5DAC"/>
    <w:rsid w:val="55695E7F"/>
    <w:rsid w:val="556C2493"/>
    <w:rsid w:val="55853555"/>
    <w:rsid w:val="5587536D"/>
    <w:rsid w:val="55883641"/>
    <w:rsid w:val="558F092A"/>
    <w:rsid w:val="558F6181"/>
    <w:rsid w:val="558F7F2F"/>
    <w:rsid w:val="5594667E"/>
    <w:rsid w:val="559B174B"/>
    <w:rsid w:val="55A03EEB"/>
    <w:rsid w:val="55A4620D"/>
    <w:rsid w:val="55AA2FBB"/>
    <w:rsid w:val="55B008B6"/>
    <w:rsid w:val="55B33C1E"/>
    <w:rsid w:val="55B728F9"/>
    <w:rsid w:val="55B81234"/>
    <w:rsid w:val="55BD2CEE"/>
    <w:rsid w:val="55C02BA3"/>
    <w:rsid w:val="55C0458D"/>
    <w:rsid w:val="55C4407D"/>
    <w:rsid w:val="55CC1183"/>
    <w:rsid w:val="55CC2F32"/>
    <w:rsid w:val="55CE0CF4"/>
    <w:rsid w:val="55D342C0"/>
    <w:rsid w:val="55D82C49"/>
    <w:rsid w:val="55E02539"/>
    <w:rsid w:val="55E30EC9"/>
    <w:rsid w:val="55E738C7"/>
    <w:rsid w:val="55EB160A"/>
    <w:rsid w:val="55EC7130"/>
    <w:rsid w:val="55EE7B38"/>
    <w:rsid w:val="55FA7A9F"/>
    <w:rsid w:val="56093A85"/>
    <w:rsid w:val="561072C2"/>
    <w:rsid w:val="561548D9"/>
    <w:rsid w:val="561947F6"/>
    <w:rsid w:val="561C435E"/>
    <w:rsid w:val="561D378D"/>
    <w:rsid w:val="561F7505"/>
    <w:rsid w:val="562543F0"/>
    <w:rsid w:val="56334D5F"/>
    <w:rsid w:val="563805C7"/>
    <w:rsid w:val="563B068D"/>
    <w:rsid w:val="563F1955"/>
    <w:rsid w:val="56440D1A"/>
    <w:rsid w:val="56494582"/>
    <w:rsid w:val="56505911"/>
    <w:rsid w:val="565B2BCA"/>
    <w:rsid w:val="566947D3"/>
    <w:rsid w:val="567315FF"/>
    <w:rsid w:val="567F61F6"/>
    <w:rsid w:val="5680054C"/>
    <w:rsid w:val="56811F6E"/>
    <w:rsid w:val="568A08AE"/>
    <w:rsid w:val="568C0709"/>
    <w:rsid w:val="569021B1"/>
    <w:rsid w:val="5694142E"/>
    <w:rsid w:val="5697353F"/>
    <w:rsid w:val="569752EE"/>
    <w:rsid w:val="56982E14"/>
    <w:rsid w:val="569C0B56"/>
    <w:rsid w:val="569C714C"/>
    <w:rsid w:val="569E48CE"/>
    <w:rsid w:val="56AE5BF6"/>
    <w:rsid w:val="56B11101"/>
    <w:rsid w:val="56B22A9C"/>
    <w:rsid w:val="56B934B6"/>
    <w:rsid w:val="56C500AD"/>
    <w:rsid w:val="56C5658A"/>
    <w:rsid w:val="56C63E25"/>
    <w:rsid w:val="56C97471"/>
    <w:rsid w:val="56D55E16"/>
    <w:rsid w:val="56DE2F1C"/>
    <w:rsid w:val="56DF6C95"/>
    <w:rsid w:val="56E04EE6"/>
    <w:rsid w:val="56E10C5F"/>
    <w:rsid w:val="56E147BB"/>
    <w:rsid w:val="56E85B49"/>
    <w:rsid w:val="56F20776"/>
    <w:rsid w:val="57062C28"/>
    <w:rsid w:val="570675CD"/>
    <w:rsid w:val="570704B7"/>
    <w:rsid w:val="570D55B0"/>
    <w:rsid w:val="57120E18"/>
    <w:rsid w:val="571922A0"/>
    <w:rsid w:val="571C1C97"/>
    <w:rsid w:val="57256D9D"/>
    <w:rsid w:val="57261C79"/>
    <w:rsid w:val="57266914"/>
    <w:rsid w:val="572A1F76"/>
    <w:rsid w:val="572D5C52"/>
    <w:rsid w:val="572F19CA"/>
    <w:rsid w:val="57393E1A"/>
    <w:rsid w:val="573E4B9B"/>
    <w:rsid w:val="573F2C86"/>
    <w:rsid w:val="574134AB"/>
    <w:rsid w:val="574216FD"/>
    <w:rsid w:val="57450BAC"/>
    <w:rsid w:val="5753390A"/>
    <w:rsid w:val="57560D05"/>
    <w:rsid w:val="57607DD5"/>
    <w:rsid w:val="57631674"/>
    <w:rsid w:val="576704E5"/>
    <w:rsid w:val="57697553"/>
    <w:rsid w:val="576A2A02"/>
    <w:rsid w:val="576D42A0"/>
    <w:rsid w:val="576D63D2"/>
    <w:rsid w:val="577134C3"/>
    <w:rsid w:val="57787490"/>
    <w:rsid w:val="577E46FF"/>
    <w:rsid w:val="57803FD4"/>
    <w:rsid w:val="57831D16"/>
    <w:rsid w:val="57904A37"/>
    <w:rsid w:val="57917F8F"/>
    <w:rsid w:val="5797572A"/>
    <w:rsid w:val="579932E7"/>
    <w:rsid w:val="579A7D49"/>
    <w:rsid w:val="579B705F"/>
    <w:rsid w:val="579D6934"/>
    <w:rsid w:val="579E7811"/>
    <w:rsid w:val="57A777B2"/>
    <w:rsid w:val="57A82E2A"/>
    <w:rsid w:val="57AE58A2"/>
    <w:rsid w:val="57AF2B0B"/>
    <w:rsid w:val="57B343A9"/>
    <w:rsid w:val="57B41ECF"/>
    <w:rsid w:val="57B7058E"/>
    <w:rsid w:val="57B72A76"/>
    <w:rsid w:val="57BB42AA"/>
    <w:rsid w:val="57C33EC0"/>
    <w:rsid w:val="57C3426C"/>
    <w:rsid w:val="57C42203"/>
    <w:rsid w:val="57C57C38"/>
    <w:rsid w:val="57C96FA8"/>
    <w:rsid w:val="57CE1F93"/>
    <w:rsid w:val="57D12A81"/>
    <w:rsid w:val="57DE70EB"/>
    <w:rsid w:val="57E148BE"/>
    <w:rsid w:val="57E5652D"/>
    <w:rsid w:val="57E722A5"/>
    <w:rsid w:val="57EA02D6"/>
    <w:rsid w:val="57F624E8"/>
    <w:rsid w:val="57F82B56"/>
    <w:rsid w:val="57F944E3"/>
    <w:rsid w:val="580E5A83"/>
    <w:rsid w:val="581D4EC0"/>
    <w:rsid w:val="5827444F"/>
    <w:rsid w:val="58277338"/>
    <w:rsid w:val="58296419"/>
    <w:rsid w:val="582B7912"/>
    <w:rsid w:val="582C644B"/>
    <w:rsid w:val="58382B00"/>
    <w:rsid w:val="583B7EFB"/>
    <w:rsid w:val="583D7E6E"/>
    <w:rsid w:val="58417E84"/>
    <w:rsid w:val="58472D43"/>
    <w:rsid w:val="584E5E80"/>
    <w:rsid w:val="584E7C2E"/>
    <w:rsid w:val="5855387A"/>
    <w:rsid w:val="585C67EF"/>
    <w:rsid w:val="58615BB3"/>
    <w:rsid w:val="58676F42"/>
    <w:rsid w:val="586A2847"/>
    <w:rsid w:val="587358E6"/>
    <w:rsid w:val="587873A1"/>
    <w:rsid w:val="587C0C3F"/>
    <w:rsid w:val="588144B9"/>
    <w:rsid w:val="58831FCD"/>
    <w:rsid w:val="588743D1"/>
    <w:rsid w:val="5887701A"/>
    <w:rsid w:val="58883419"/>
    <w:rsid w:val="58896EB8"/>
    <w:rsid w:val="588B2C30"/>
    <w:rsid w:val="5898359F"/>
    <w:rsid w:val="589C308F"/>
    <w:rsid w:val="589F0489"/>
    <w:rsid w:val="58A54F4F"/>
    <w:rsid w:val="58A61818"/>
    <w:rsid w:val="58A65CBC"/>
    <w:rsid w:val="58A81A34"/>
    <w:rsid w:val="58A91308"/>
    <w:rsid w:val="58AB32D2"/>
    <w:rsid w:val="58AB5080"/>
    <w:rsid w:val="58AF3801"/>
    <w:rsid w:val="58AF7069"/>
    <w:rsid w:val="58BA1767"/>
    <w:rsid w:val="58C17877"/>
    <w:rsid w:val="58C3686E"/>
    <w:rsid w:val="58C6296A"/>
    <w:rsid w:val="58CD4FF7"/>
    <w:rsid w:val="58D345D7"/>
    <w:rsid w:val="58DA3BB7"/>
    <w:rsid w:val="58E566E3"/>
    <w:rsid w:val="58E95BA9"/>
    <w:rsid w:val="58ED043C"/>
    <w:rsid w:val="58EF1411"/>
    <w:rsid w:val="58EF7EF3"/>
    <w:rsid w:val="58F20F01"/>
    <w:rsid w:val="58F307D5"/>
    <w:rsid w:val="58F312CF"/>
    <w:rsid w:val="58F46A27"/>
    <w:rsid w:val="58F72073"/>
    <w:rsid w:val="58FA1B64"/>
    <w:rsid w:val="58FB73D6"/>
    <w:rsid w:val="58FF1E58"/>
    <w:rsid w:val="59044790"/>
    <w:rsid w:val="590B3D71"/>
    <w:rsid w:val="590E560F"/>
    <w:rsid w:val="59140E77"/>
    <w:rsid w:val="59172716"/>
    <w:rsid w:val="59190348"/>
    <w:rsid w:val="591A4F9E"/>
    <w:rsid w:val="59215342"/>
    <w:rsid w:val="592C6DFF"/>
    <w:rsid w:val="592F1429"/>
    <w:rsid w:val="593212FE"/>
    <w:rsid w:val="5932754F"/>
    <w:rsid w:val="59327FF5"/>
    <w:rsid w:val="59352B9C"/>
    <w:rsid w:val="59396B30"/>
    <w:rsid w:val="59411541"/>
    <w:rsid w:val="59440C82"/>
    <w:rsid w:val="595A2602"/>
    <w:rsid w:val="595C281E"/>
    <w:rsid w:val="59605B4E"/>
    <w:rsid w:val="59637709"/>
    <w:rsid w:val="59647D01"/>
    <w:rsid w:val="596D2336"/>
    <w:rsid w:val="596E23AF"/>
    <w:rsid w:val="59741916"/>
    <w:rsid w:val="59771A91"/>
    <w:rsid w:val="597B2CC1"/>
    <w:rsid w:val="59814033"/>
    <w:rsid w:val="598A0ACD"/>
    <w:rsid w:val="5998586E"/>
    <w:rsid w:val="599975CF"/>
    <w:rsid w:val="59A37518"/>
    <w:rsid w:val="59AC7302"/>
    <w:rsid w:val="59AE3969"/>
    <w:rsid w:val="59B30690"/>
    <w:rsid w:val="59B56E91"/>
    <w:rsid w:val="59B60181"/>
    <w:rsid w:val="59B63CDD"/>
    <w:rsid w:val="59C0439F"/>
    <w:rsid w:val="59C13FC6"/>
    <w:rsid w:val="59C52172"/>
    <w:rsid w:val="59C96464"/>
    <w:rsid w:val="59CF1242"/>
    <w:rsid w:val="59D114F2"/>
    <w:rsid w:val="59D24F7D"/>
    <w:rsid w:val="59D46859"/>
    <w:rsid w:val="59DE1485"/>
    <w:rsid w:val="59ED742A"/>
    <w:rsid w:val="59F41A26"/>
    <w:rsid w:val="59F82547"/>
    <w:rsid w:val="59FD5DAF"/>
    <w:rsid w:val="5A025174"/>
    <w:rsid w:val="5A0A04CC"/>
    <w:rsid w:val="5A0A5DD6"/>
    <w:rsid w:val="5A0C1B4F"/>
    <w:rsid w:val="5A0C656C"/>
    <w:rsid w:val="5A113609"/>
    <w:rsid w:val="5A124749"/>
    <w:rsid w:val="5A1924BD"/>
    <w:rsid w:val="5A1D0200"/>
    <w:rsid w:val="5A1E20C2"/>
    <w:rsid w:val="5A213EE1"/>
    <w:rsid w:val="5A273174"/>
    <w:rsid w:val="5A292701"/>
    <w:rsid w:val="5A2A22E2"/>
    <w:rsid w:val="5A2B7333"/>
    <w:rsid w:val="5A2F3A8F"/>
    <w:rsid w:val="5A365619"/>
    <w:rsid w:val="5A3A2B60"/>
    <w:rsid w:val="5A3F0176"/>
    <w:rsid w:val="5A492DA3"/>
    <w:rsid w:val="5A56101C"/>
    <w:rsid w:val="5A584D94"/>
    <w:rsid w:val="5A61633E"/>
    <w:rsid w:val="5A64198B"/>
    <w:rsid w:val="5A6574B1"/>
    <w:rsid w:val="5A751DEA"/>
    <w:rsid w:val="5A7B0A82"/>
    <w:rsid w:val="5A7E403A"/>
    <w:rsid w:val="5A881853"/>
    <w:rsid w:val="5A8C0EE1"/>
    <w:rsid w:val="5A8D7382"/>
    <w:rsid w:val="5A8E6A07"/>
    <w:rsid w:val="5A9A53AC"/>
    <w:rsid w:val="5A9B1124"/>
    <w:rsid w:val="5A9D30EE"/>
    <w:rsid w:val="5A9F08B3"/>
    <w:rsid w:val="5AA33E76"/>
    <w:rsid w:val="5AAE2C06"/>
    <w:rsid w:val="5AB521E6"/>
    <w:rsid w:val="5ABE2233"/>
    <w:rsid w:val="5AC35D7E"/>
    <w:rsid w:val="5AC93EE4"/>
    <w:rsid w:val="5AC9649D"/>
    <w:rsid w:val="5ACC1D6C"/>
    <w:rsid w:val="5ACF7EA7"/>
    <w:rsid w:val="5AD07020"/>
    <w:rsid w:val="5AD1660D"/>
    <w:rsid w:val="5AD750C1"/>
    <w:rsid w:val="5ADA7E9F"/>
    <w:rsid w:val="5AE170BA"/>
    <w:rsid w:val="5AF376EC"/>
    <w:rsid w:val="5AF87FF4"/>
    <w:rsid w:val="5AF96577"/>
    <w:rsid w:val="5AF977F4"/>
    <w:rsid w:val="5AFA5E4B"/>
    <w:rsid w:val="5AFE3B8D"/>
    <w:rsid w:val="5B070568"/>
    <w:rsid w:val="5B0E0D5B"/>
    <w:rsid w:val="5B101B12"/>
    <w:rsid w:val="5B11570D"/>
    <w:rsid w:val="5B127639"/>
    <w:rsid w:val="5B1C0E25"/>
    <w:rsid w:val="5B1D296B"/>
    <w:rsid w:val="5B24736C"/>
    <w:rsid w:val="5B264E92"/>
    <w:rsid w:val="5B280C0A"/>
    <w:rsid w:val="5B33135D"/>
    <w:rsid w:val="5B436116"/>
    <w:rsid w:val="5B4377F2"/>
    <w:rsid w:val="5B44356A"/>
    <w:rsid w:val="5B520AB7"/>
    <w:rsid w:val="5B555777"/>
    <w:rsid w:val="5B6510BA"/>
    <w:rsid w:val="5B661732"/>
    <w:rsid w:val="5B73443F"/>
    <w:rsid w:val="5B743E4F"/>
    <w:rsid w:val="5B751975"/>
    <w:rsid w:val="5B765E19"/>
    <w:rsid w:val="5B7C71A8"/>
    <w:rsid w:val="5B7E082A"/>
    <w:rsid w:val="5B845DFC"/>
    <w:rsid w:val="5B8A05DA"/>
    <w:rsid w:val="5B8B2F47"/>
    <w:rsid w:val="5B9444F1"/>
    <w:rsid w:val="5B963283"/>
    <w:rsid w:val="5B9E314F"/>
    <w:rsid w:val="5BA477A6"/>
    <w:rsid w:val="5BAC183B"/>
    <w:rsid w:val="5BB029AE"/>
    <w:rsid w:val="5BB13093"/>
    <w:rsid w:val="5BBB7CD0"/>
    <w:rsid w:val="5BBE50CA"/>
    <w:rsid w:val="5BC00E43"/>
    <w:rsid w:val="5BC00EC2"/>
    <w:rsid w:val="5BC11579"/>
    <w:rsid w:val="5BC73E41"/>
    <w:rsid w:val="5BD13050"/>
    <w:rsid w:val="5BDF5D95"/>
    <w:rsid w:val="5BE70AC5"/>
    <w:rsid w:val="5BE82147"/>
    <w:rsid w:val="5BE865EB"/>
    <w:rsid w:val="5BEC1A5C"/>
    <w:rsid w:val="5BF24193"/>
    <w:rsid w:val="5BF941F5"/>
    <w:rsid w:val="5BFB631F"/>
    <w:rsid w:val="5BFE7528"/>
    <w:rsid w:val="5C052CF9"/>
    <w:rsid w:val="5C0C22DA"/>
    <w:rsid w:val="5C133668"/>
    <w:rsid w:val="5C134943"/>
    <w:rsid w:val="5C252EE1"/>
    <w:rsid w:val="5C273E95"/>
    <w:rsid w:val="5C2E04A2"/>
    <w:rsid w:val="5C2F7D76"/>
    <w:rsid w:val="5C330DFF"/>
    <w:rsid w:val="5C384E7D"/>
    <w:rsid w:val="5C392FF7"/>
    <w:rsid w:val="5C424294"/>
    <w:rsid w:val="5C441A74"/>
    <w:rsid w:val="5C4952DC"/>
    <w:rsid w:val="5C514191"/>
    <w:rsid w:val="5C643EC4"/>
    <w:rsid w:val="5C68135C"/>
    <w:rsid w:val="5C68380A"/>
    <w:rsid w:val="5C6A5252"/>
    <w:rsid w:val="5C723BDD"/>
    <w:rsid w:val="5C7B120D"/>
    <w:rsid w:val="5C7D31D8"/>
    <w:rsid w:val="5C8C0757"/>
    <w:rsid w:val="5C907934"/>
    <w:rsid w:val="5C910A31"/>
    <w:rsid w:val="5C930305"/>
    <w:rsid w:val="5C992D5B"/>
    <w:rsid w:val="5C9A5B38"/>
    <w:rsid w:val="5CA05217"/>
    <w:rsid w:val="5CA12899"/>
    <w:rsid w:val="5CA6628A"/>
    <w:rsid w:val="5CA70254"/>
    <w:rsid w:val="5CA72002"/>
    <w:rsid w:val="5CAB1AF3"/>
    <w:rsid w:val="5CAE30C0"/>
    <w:rsid w:val="5CAE74EE"/>
    <w:rsid w:val="5CB52971"/>
    <w:rsid w:val="5CC04E72"/>
    <w:rsid w:val="5CC22998"/>
    <w:rsid w:val="5CC5203B"/>
    <w:rsid w:val="5CC826A5"/>
    <w:rsid w:val="5CCB218A"/>
    <w:rsid w:val="5CD56B70"/>
    <w:rsid w:val="5CDA5F34"/>
    <w:rsid w:val="5CDC3544"/>
    <w:rsid w:val="5CE41206"/>
    <w:rsid w:val="5CEA3F7C"/>
    <w:rsid w:val="5CEE19DF"/>
    <w:rsid w:val="5CF8536B"/>
    <w:rsid w:val="5CFA0384"/>
    <w:rsid w:val="5CFE392D"/>
    <w:rsid w:val="5D0B433F"/>
    <w:rsid w:val="5D0C00B7"/>
    <w:rsid w:val="5D0E3E30"/>
    <w:rsid w:val="5D11337D"/>
    <w:rsid w:val="5D1551BE"/>
    <w:rsid w:val="5D160AAC"/>
    <w:rsid w:val="5D170F36"/>
    <w:rsid w:val="5D1A009C"/>
    <w:rsid w:val="5D2478FD"/>
    <w:rsid w:val="5D303DA6"/>
    <w:rsid w:val="5D35760E"/>
    <w:rsid w:val="5D3B3EBF"/>
    <w:rsid w:val="5D3C099D"/>
    <w:rsid w:val="5D3E4715"/>
    <w:rsid w:val="5D443CF5"/>
    <w:rsid w:val="5D4A130C"/>
    <w:rsid w:val="5D551A5E"/>
    <w:rsid w:val="5D59154F"/>
    <w:rsid w:val="5D5B70A6"/>
    <w:rsid w:val="5D5E4DB7"/>
    <w:rsid w:val="5D641CA2"/>
    <w:rsid w:val="5D6F0D72"/>
    <w:rsid w:val="5D6F1615"/>
    <w:rsid w:val="5D711CAB"/>
    <w:rsid w:val="5D7243BE"/>
    <w:rsid w:val="5D740137"/>
    <w:rsid w:val="5D8C51B1"/>
    <w:rsid w:val="5D990390"/>
    <w:rsid w:val="5D997B9D"/>
    <w:rsid w:val="5DA64068"/>
    <w:rsid w:val="5DB70023"/>
    <w:rsid w:val="5DB744C7"/>
    <w:rsid w:val="5DB76275"/>
    <w:rsid w:val="5DC305C3"/>
    <w:rsid w:val="5DC56BE4"/>
    <w:rsid w:val="5DCD7847"/>
    <w:rsid w:val="5DDD7D4F"/>
    <w:rsid w:val="5DE72BA8"/>
    <w:rsid w:val="5DE95FD8"/>
    <w:rsid w:val="5DF64FF0"/>
    <w:rsid w:val="5E0E1449"/>
    <w:rsid w:val="5E187EB3"/>
    <w:rsid w:val="5E1E558D"/>
    <w:rsid w:val="5E20206C"/>
    <w:rsid w:val="5E227308"/>
    <w:rsid w:val="5E241143"/>
    <w:rsid w:val="5E2467F1"/>
    <w:rsid w:val="5E2733FB"/>
    <w:rsid w:val="5E2C27BF"/>
    <w:rsid w:val="5E2F60A6"/>
    <w:rsid w:val="5E3D49CC"/>
    <w:rsid w:val="5E45559B"/>
    <w:rsid w:val="5E4775F9"/>
    <w:rsid w:val="5E4B3132"/>
    <w:rsid w:val="5E4F4700"/>
    <w:rsid w:val="5E4F5053"/>
    <w:rsid w:val="5E5B0437"/>
    <w:rsid w:val="5E602469"/>
    <w:rsid w:val="5E604B5F"/>
    <w:rsid w:val="5E6261E1"/>
    <w:rsid w:val="5E6301AB"/>
    <w:rsid w:val="5E632FD4"/>
    <w:rsid w:val="5E6B75A3"/>
    <w:rsid w:val="5E6F08FE"/>
    <w:rsid w:val="5E7423B8"/>
    <w:rsid w:val="5E785A05"/>
    <w:rsid w:val="5E794778"/>
    <w:rsid w:val="5E7A7162"/>
    <w:rsid w:val="5E801731"/>
    <w:rsid w:val="5E850121"/>
    <w:rsid w:val="5E8C345B"/>
    <w:rsid w:val="5E916AC6"/>
    <w:rsid w:val="5E930A90"/>
    <w:rsid w:val="5E9842F9"/>
    <w:rsid w:val="5E9A1E1F"/>
    <w:rsid w:val="5EA345D2"/>
    <w:rsid w:val="5EA83683"/>
    <w:rsid w:val="5EAB402C"/>
    <w:rsid w:val="5EC40C4A"/>
    <w:rsid w:val="5EE27322"/>
    <w:rsid w:val="5EE71C49"/>
    <w:rsid w:val="5EEB336C"/>
    <w:rsid w:val="5EEE5CC7"/>
    <w:rsid w:val="5EF046D1"/>
    <w:rsid w:val="5EF808F3"/>
    <w:rsid w:val="5EFC4888"/>
    <w:rsid w:val="5F025C16"/>
    <w:rsid w:val="5F037243"/>
    <w:rsid w:val="5F0D61FF"/>
    <w:rsid w:val="5F1020E1"/>
    <w:rsid w:val="5F1871E8"/>
    <w:rsid w:val="5F1A2B43"/>
    <w:rsid w:val="5F1C0A86"/>
    <w:rsid w:val="5F2577BC"/>
    <w:rsid w:val="5F281F9C"/>
    <w:rsid w:val="5F2913F5"/>
    <w:rsid w:val="5F296CFF"/>
    <w:rsid w:val="5F3A59C0"/>
    <w:rsid w:val="5F443B39"/>
    <w:rsid w:val="5F4678B1"/>
    <w:rsid w:val="5F49114F"/>
    <w:rsid w:val="5F49335D"/>
    <w:rsid w:val="5F4955F3"/>
    <w:rsid w:val="5F555D46"/>
    <w:rsid w:val="5F58030F"/>
    <w:rsid w:val="5F6037EC"/>
    <w:rsid w:val="5F630463"/>
    <w:rsid w:val="5F683CCB"/>
    <w:rsid w:val="5F6D2CF8"/>
    <w:rsid w:val="5F6D37D9"/>
    <w:rsid w:val="5F724B4A"/>
    <w:rsid w:val="5F750196"/>
    <w:rsid w:val="5F7B5C21"/>
    <w:rsid w:val="5F802E3A"/>
    <w:rsid w:val="5F895FEE"/>
    <w:rsid w:val="5F8E3006"/>
    <w:rsid w:val="5F922AF6"/>
    <w:rsid w:val="5F933BD1"/>
    <w:rsid w:val="5F9525E6"/>
    <w:rsid w:val="5F954394"/>
    <w:rsid w:val="5F9A19AB"/>
    <w:rsid w:val="5F9E593F"/>
    <w:rsid w:val="5FA347AB"/>
    <w:rsid w:val="5FA911F0"/>
    <w:rsid w:val="5FB837BB"/>
    <w:rsid w:val="5FBF1411"/>
    <w:rsid w:val="5FC021C1"/>
    <w:rsid w:val="5FC03FC4"/>
    <w:rsid w:val="5FCF3D4A"/>
    <w:rsid w:val="5FCF5AF8"/>
    <w:rsid w:val="5FD03D3F"/>
    <w:rsid w:val="5FE64BF0"/>
    <w:rsid w:val="5FEB0458"/>
    <w:rsid w:val="5FEB1EC2"/>
    <w:rsid w:val="5FFC4413"/>
    <w:rsid w:val="60004B9B"/>
    <w:rsid w:val="60011A2A"/>
    <w:rsid w:val="60016E6C"/>
    <w:rsid w:val="6005151A"/>
    <w:rsid w:val="600E654E"/>
    <w:rsid w:val="60161979"/>
    <w:rsid w:val="601B4F8E"/>
    <w:rsid w:val="601D4982"/>
    <w:rsid w:val="60261490"/>
    <w:rsid w:val="60281530"/>
    <w:rsid w:val="602C3553"/>
    <w:rsid w:val="602D0A71"/>
    <w:rsid w:val="6037544B"/>
    <w:rsid w:val="60386204"/>
    <w:rsid w:val="603C0E54"/>
    <w:rsid w:val="604B7CD1"/>
    <w:rsid w:val="605D1356"/>
    <w:rsid w:val="60602BF4"/>
    <w:rsid w:val="60631B06"/>
    <w:rsid w:val="60671746"/>
    <w:rsid w:val="606B7C88"/>
    <w:rsid w:val="606C1599"/>
    <w:rsid w:val="60791F08"/>
    <w:rsid w:val="607D5554"/>
    <w:rsid w:val="60805044"/>
    <w:rsid w:val="60822B6A"/>
    <w:rsid w:val="608947DC"/>
    <w:rsid w:val="608F34D9"/>
    <w:rsid w:val="60961E24"/>
    <w:rsid w:val="60996106"/>
    <w:rsid w:val="609A4A1E"/>
    <w:rsid w:val="609B59DA"/>
    <w:rsid w:val="60A800F7"/>
    <w:rsid w:val="60B46A9C"/>
    <w:rsid w:val="60B8623B"/>
    <w:rsid w:val="60BA0556"/>
    <w:rsid w:val="60C34F31"/>
    <w:rsid w:val="60C4144E"/>
    <w:rsid w:val="60C90799"/>
    <w:rsid w:val="60CA4511"/>
    <w:rsid w:val="60CC405A"/>
    <w:rsid w:val="60D32B80"/>
    <w:rsid w:val="60D4713E"/>
    <w:rsid w:val="60D94755"/>
    <w:rsid w:val="60E07891"/>
    <w:rsid w:val="60E26F9B"/>
    <w:rsid w:val="60E542EB"/>
    <w:rsid w:val="60EA6962"/>
    <w:rsid w:val="60EE0200"/>
    <w:rsid w:val="60F021CA"/>
    <w:rsid w:val="60F17CF0"/>
    <w:rsid w:val="60F375C4"/>
    <w:rsid w:val="60F82E2D"/>
    <w:rsid w:val="60F90953"/>
    <w:rsid w:val="60FB0B6F"/>
    <w:rsid w:val="61072A67"/>
    <w:rsid w:val="61096DE8"/>
    <w:rsid w:val="61181721"/>
    <w:rsid w:val="6118527D"/>
    <w:rsid w:val="611A2DA3"/>
    <w:rsid w:val="611A41E2"/>
    <w:rsid w:val="6120494F"/>
    <w:rsid w:val="61226B2A"/>
    <w:rsid w:val="61330309"/>
    <w:rsid w:val="61333E65"/>
    <w:rsid w:val="613B5CFB"/>
    <w:rsid w:val="61435928"/>
    <w:rsid w:val="614468A9"/>
    <w:rsid w:val="61461DEA"/>
    <w:rsid w:val="61475B62"/>
    <w:rsid w:val="61493688"/>
    <w:rsid w:val="614E4E02"/>
    <w:rsid w:val="615171F4"/>
    <w:rsid w:val="61587D6F"/>
    <w:rsid w:val="615D5386"/>
    <w:rsid w:val="61730705"/>
    <w:rsid w:val="61731261"/>
    <w:rsid w:val="61736957"/>
    <w:rsid w:val="617A5F38"/>
    <w:rsid w:val="617E0DE9"/>
    <w:rsid w:val="617F60C1"/>
    <w:rsid w:val="61803A80"/>
    <w:rsid w:val="61840B64"/>
    <w:rsid w:val="6189154F"/>
    <w:rsid w:val="618943CD"/>
    <w:rsid w:val="618A1E17"/>
    <w:rsid w:val="618E553F"/>
    <w:rsid w:val="61926DDD"/>
    <w:rsid w:val="619568CD"/>
    <w:rsid w:val="61970898"/>
    <w:rsid w:val="619A2136"/>
    <w:rsid w:val="61A30FEA"/>
    <w:rsid w:val="61A86601"/>
    <w:rsid w:val="61AA28C9"/>
    <w:rsid w:val="61B554CA"/>
    <w:rsid w:val="61B56F70"/>
    <w:rsid w:val="61B60728"/>
    <w:rsid w:val="61BC02FE"/>
    <w:rsid w:val="61C471B3"/>
    <w:rsid w:val="61CC7D26"/>
    <w:rsid w:val="61CD42B9"/>
    <w:rsid w:val="61D03DA9"/>
    <w:rsid w:val="61D92C5E"/>
    <w:rsid w:val="61DD38F5"/>
    <w:rsid w:val="61DE0274"/>
    <w:rsid w:val="61E215D8"/>
    <w:rsid w:val="61E86918"/>
    <w:rsid w:val="61F555BE"/>
    <w:rsid w:val="61F74799"/>
    <w:rsid w:val="61F770FF"/>
    <w:rsid w:val="61F83136"/>
    <w:rsid w:val="61FC694D"/>
    <w:rsid w:val="61FE4473"/>
    <w:rsid w:val="62040ACF"/>
    <w:rsid w:val="6204509B"/>
    <w:rsid w:val="62050270"/>
    <w:rsid w:val="620511B4"/>
    <w:rsid w:val="62051CA5"/>
    <w:rsid w:val="62083543"/>
    <w:rsid w:val="620B4DE2"/>
    <w:rsid w:val="621041A6"/>
    <w:rsid w:val="62121B84"/>
    <w:rsid w:val="621307D6"/>
    <w:rsid w:val="62143FF8"/>
    <w:rsid w:val="621A5025"/>
    <w:rsid w:val="621B3775"/>
    <w:rsid w:val="621E2D67"/>
    <w:rsid w:val="6232236E"/>
    <w:rsid w:val="62364782"/>
    <w:rsid w:val="623D4B40"/>
    <w:rsid w:val="62414951"/>
    <w:rsid w:val="62484E8E"/>
    <w:rsid w:val="62487DE4"/>
    <w:rsid w:val="62496B30"/>
    <w:rsid w:val="624A60F5"/>
    <w:rsid w:val="624E6C68"/>
    <w:rsid w:val="62606EDB"/>
    <w:rsid w:val="626544F2"/>
    <w:rsid w:val="62774225"/>
    <w:rsid w:val="627921C2"/>
    <w:rsid w:val="627B5E9E"/>
    <w:rsid w:val="6280132C"/>
    <w:rsid w:val="62832BCA"/>
    <w:rsid w:val="6287090C"/>
    <w:rsid w:val="628726BA"/>
    <w:rsid w:val="628801E0"/>
    <w:rsid w:val="62885D25"/>
    <w:rsid w:val="628B51FF"/>
    <w:rsid w:val="62944DD7"/>
    <w:rsid w:val="62A019CE"/>
    <w:rsid w:val="62A24011"/>
    <w:rsid w:val="62A54865"/>
    <w:rsid w:val="62A96AD4"/>
    <w:rsid w:val="62AA63A9"/>
    <w:rsid w:val="62AB3CD5"/>
    <w:rsid w:val="62AC2121"/>
    <w:rsid w:val="62AF39BF"/>
    <w:rsid w:val="62B2525D"/>
    <w:rsid w:val="62C521B7"/>
    <w:rsid w:val="62C54F90"/>
    <w:rsid w:val="62CA25A7"/>
    <w:rsid w:val="62CB605B"/>
    <w:rsid w:val="62D90A3C"/>
    <w:rsid w:val="62E13F01"/>
    <w:rsid w:val="62E23D94"/>
    <w:rsid w:val="62E33669"/>
    <w:rsid w:val="62E63284"/>
    <w:rsid w:val="62EF025F"/>
    <w:rsid w:val="62F45876"/>
    <w:rsid w:val="62F5683A"/>
    <w:rsid w:val="62FB3A11"/>
    <w:rsid w:val="63073C66"/>
    <w:rsid w:val="63075173"/>
    <w:rsid w:val="630A6E47"/>
    <w:rsid w:val="63213CF4"/>
    <w:rsid w:val="632235F6"/>
    <w:rsid w:val="63343EC4"/>
    <w:rsid w:val="63405BBC"/>
    <w:rsid w:val="63464323"/>
    <w:rsid w:val="63554905"/>
    <w:rsid w:val="635D41C9"/>
    <w:rsid w:val="635D78BF"/>
    <w:rsid w:val="635F7193"/>
    <w:rsid w:val="63620A31"/>
    <w:rsid w:val="636447A9"/>
    <w:rsid w:val="636457A9"/>
    <w:rsid w:val="636522D0"/>
    <w:rsid w:val="6367375B"/>
    <w:rsid w:val="63696264"/>
    <w:rsid w:val="637013A0"/>
    <w:rsid w:val="63730E90"/>
    <w:rsid w:val="63827325"/>
    <w:rsid w:val="638906B4"/>
    <w:rsid w:val="638D663D"/>
    <w:rsid w:val="638E1826"/>
    <w:rsid w:val="63911317"/>
    <w:rsid w:val="63934564"/>
    <w:rsid w:val="6394356A"/>
    <w:rsid w:val="6397692D"/>
    <w:rsid w:val="63984453"/>
    <w:rsid w:val="639A3AB2"/>
    <w:rsid w:val="639E415F"/>
    <w:rsid w:val="63A009F7"/>
    <w:rsid w:val="63A948B2"/>
    <w:rsid w:val="63AE3C76"/>
    <w:rsid w:val="63B30879"/>
    <w:rsid w:val="63B70D7D"/>
    <w:rsid w:val="63BC6393"/>
    <w:rsid w:val="63BD210C"/>
    <w:rsid w:val="63BF5E84"/>
    <w:rsid w:val="63C11BFC"/>
    <w:rsid w:val="63C61B2C"/>
    <w:rsid w:val="63D23E09"/>
    <w:rsid w:val="63D40BE9"/>
    <w:rsid w:val="63D47B81"/>
    <w:rsid w:val="63D96028"/>
    <w:rsid w:val="63DA4A6C"/>
    <w:rsid w:val="63DB1E62"/>
    <w:rsid w:val="63DC7A83"/>
    <w:rsid w:val="63DF2197"/>
    <w:rsid w:val="63E43B3C"/>
    <w:rsid w:val="63F7386F"/>
    <w:rsid w:val="63FC2C34"/>
    <w:rsid w:val="63FC52F6"/>
    <w:rsid w:val="63FD075A"/>
    <w:rsid w:val="64047D3A"/>
    <w:rsid w:val="640815D9"/>
    <w:rsid w:val="64092457"/>
    <w:rsid w:val="640B10C9"/>
    <w:rsid w:val="640D5C29"/>
    <w:rsid w:val="640E6B85"/>
    <w:rsid w:val="640F4302"/>
    <w:rsid w:val="64102431"/>
    <w:rsid w:val="641206A9"/>
    <w:rsid w:val="641A106C"/>
    <w:rsid w:val="642156F9"/>
    <w:rsid w:val="64261B8A"/>
    <w:rsid w:val="642D1628"/>
    <w:rsid w:val="643120C4"/>
    <w:rsid w:val="64346872"/>
    <w:rsid w:val="6437345D"/>
    <w:rsid w:val="64373C6C"/>
    <w:rsid w:val="643A1700"/>
    <w:rsid w:val="643A375C"/>
    <w:rsid w:val="64412D3D"/>
    <w:rsid w:val="644A763F"/>
    <w:rsid w:val="645405A3"/>
    <w:rsid w:val="6455525E"/>
    <w:rsid w:val="645951EB"/>
    <w:rsid w:val="645B3DFE"/>
    <w:rsid w:val="64610492"/>
    <w:rsid w:val="646F117A"/>
    <w:rsid w:val="646F1658"/>
    <w:rsid w:val="6470717E"/>
    <w:rsid w:val="64785034"/>
    <w:rsid w:val="647924D6"/>
    <w:rsid w:val="64813139"/>
    <w:rsid w:val="648273DA"/>
    <w:rsid w:val="64835103"/>
    <w:rsid w:val="6484176C"/>
    <w:rsid w:val="6485782E"/>
    <w:rsid w:val="648C1BEF"/>
    <w:rsid w:val="648E75D7"/>
    <w:rsid w:val="649558E3"/>
    <w:rsid w:val="64A01811"/>
    <w:rsid w:val="64A07A63"/>
    <w:rsid w:val="64A5243A"/>
    <w:rsid w:val="64A84B6A"/>
    <w:rsid w:val="64AA08E2"/>
    <w:rsid w:val="64AA6B34"/>
    <w:rsid w:val="64AF7CA6"/>
    <w:rsid w:val="64B17EC2"/>
    <w:rsid w:val="64B259E8"/>
    <w:rsid w:val="64B67287"/>
    <w:rsid w:val="64B81251"/>
    <w:rsid w:val="64B96D77"/>
    <w:rsid w:val="64BC5151"/>
    <w:rsid w:val="64C00C8A"/>
    <w:rsid w:val="64C80D68"/>
    <w:rsid w:val="64CC2606"/>
    <w:rsid w:val="64CD2560"/>
    <w:rsid w:val="64CF0348"/>
    <w:rsid w:val="64DE058B"/>
    <w:rsid w:val="64EA33D4"/>
    <w:rsid w:val="64EE6A20"/>
    <w:rsid w:val="64F44EF5"/>
    <w:rsid w:val="64F531DE"/>
    <w:rsid w:val="64F953C5"/>
    <w:rsid w:val="64FE478A"/>
    <w:rsid w:val="65165F77"/>
    <w:rsid w:val="651E6BDA"/>
    <w:rsid w:val="652404E2"/>
    <w:rsid w:val="652F2B95"/>
    <w:rsid w:val="65373578"/>
    <w:rsid w:val="653C6A80"/>
    <w:rsid w:val="65586590"/>
    <w:rsid w:val="655D3BA6"/>
    <w:rsid w:val="655E16AA"/>
    <w:rsid w:val="655E1A15"/>
    <w:rsid w:val="65616AF3"/>
    <w:rsid w:val="6562740E"/>
    <w:rsid w:val="656D5C62"/>
    <w:rsid w:val="656E5DB3"/>
    <w:rsid w:val="657E520F"/>
    <w:rsid w:val="65801643"/>
    <w:rsid w:val="65847385"/>
    <w:rsid w:val="659155FE"/>
    <w:rsid w:val="65983996"/>
    <w:rsid w:val="659C6815"/>
    <w:rsid w:val="659F7D1B"/>
    <w:rsid w:val="65A11CE5"/>
    <w:rsid w:val="65A74E21"/>
    <w:rsid w:val="65B031FC"/>
    <w:rsid w:val="65BD20CA"/>
    <w:rsid w:val="65BF59DC"/>
    <w:rsid w:val="65C07C91"/>
    <w:rsid w:val="65C15EE3"/>
    <w:rsid w:val="65C47781"/>
    <w:rsid w:val="65C94D98"/>
    <w:rsid w:val="65CC2D90"/>
    <w:rsid w:val="65D06561"/>
    <w:rsid w:val="65D959EF"/>
    <w:rsid w:val="65E16216"/>
    <w:rsid w:val="65E25969"/>
    <w:rsid w:val="65E975B8"/>
    <w:rsid w:val="65EC0A86"/>
    <w:rsid w:val="65ED4F2A"/>
    <w:rsid w:val="65F22540"/>
    <w:rsid w:val="65F30067"/>
    <w:rsid w:val="65F52031"/>
    <w:rsid w:val="65F77B57"/>
    <w:rsid w:val="65FF4C5D"/>
    <w:rsid w:val="6603252C"/>
    <w:rsid w:val="660364FC"/>
    <w:rsid w:val="660508C8"/>
    <w:rsid w:val="66061173"/>
    <w:rsid w:val="661E50E3"/>
    <w:rsid w:val="66252916"/>
    <w:rsid w:val="662B5A52"/>
    <w:rsid w:val="663743F7"/>
    <w:rsid w:val="663757CB"/>
    <w:rsid w:val="663761A5"/>
    <w:rsid w:val="66383CCB"/>
    <w:rsid w:val="663A67DB"/>
    <w:rsid w:val="663D12E2"/>
    <w:rsid w:val="6646288C"/>
    <w:rsid w:val="664B551D"/>
    <w:rsid w:val="664F1741"/>
    <w:rsid w:val="665477F1"/>
    <w:rsid w:val="66560B01"/>
    <w:rsid w:val="66560D21"/>
    <w:rsid w:val="6663343E"/>
    <w:rsid w:val="666A657B"/>
    <w:rsid w:val="666C114B"/>
    <w:rsid w:val="666D1BC7"/>
    <w:rsid w:val="667411A7"/>
    <w:rsid w:val="667473F9"/>
    <w:rsid w:val="668A4527"/>
    <w:rsid w:val="668D4017"/>
    <w:rsid w:val="669435F8"/>
    <w:rsid w:val="66967370"/>
    <w:rsid w:val="669C24AC"/>
    <w:rsid w:val="669D1CDD"/>
    <w:rsid w:val="669E4476"/>
    <w:rsid w:val="66A02300"/>
    <w:rsid w:val="66AB518E"/>
    <w:rsid w:val="66AC3E1B"/>
    <w:rsid w:val="66AD46B9"/>
    <w:rsid w:val="66AE363D"/>
    <w:rsid w:val="66B45A48"/>
    <w:rsid w:val="66BD6D14"/>
    <w:rsid w:val="66BE0674"/>
    <w:rsid w:val="66C11F13"/>
    <w:rsid w:val="66C13CC1"/>
    <w:rsid w:val="66C51A03"/>
    <w:rsid w:val="66C56217"/>
    <w:rsid w:val="66CF63DE"/>
    <w:rsid w:val="66D25ECE"/>
    <w:rsid w:val="66D43154"/>
    <w:rsid w:val="66DB2FD4"/>
    <w:rsid w:val="66DE0D17"/>
    <w:rsid w:val="66E43B29"/>
    <w:rsid w:val="66EC3434"/>
    <w:rsid w:val="66F37E01"/>
    <w:rsid w:val="66F9272E"/>
    <w:rsid w:val="66FF395B"/>
    <w:rsid w:val="67002A3B"/>
    <w:rsid w:val="670267B3"/>
    <w:rsid w:val="670C5884"/>
    <w:rsid w:val="670C72FA"/>
    <w:rsid w:val="6711019E"/>
    <w:rsid w:val="67144738"/>
    <w:rsid w:val="671F124A"/>
    <w:rsid w:val="67226E55"/>
    <w:rsid w:val="6739419F"/>
    <w:rsid w:val="673D77EB"/>
    <w:rsid w:val="673F17B5"/>
    <w:rsid w:val="673F7A07"/>
    <w:rsid w:val="674943E2"/>
    <w:rsid w:val="674A162F"/>
    <w:rsid w:val="674A1F08"/>
    <w:rsid w:val="675114E9"/>
    <w:rsid w:val="675B4115"/>
    <w:rsid w:val="6760797E"/>
    <w:rsid w:val="67642FCA"/>
    <w:rsid w:val="67656D42"/>
    <w:rsid w:val="676C1E7F"/>
    <w:rsid w:val="677753C8"/>
    <w:rsid w:val="677A33C6"/>
    <w:rsid w:val="677B47B7"/>
    <w:rsid w:val="677C6A20"/>
    <w:rsid w:val="677D408C"/>
    <w:rsid w:val="67892A30"/>
    <w:rsid w:val="678D79C8"/>
    <w:rsid w:val="67907440"/>
    <w:rsid w:val="67957627"/>
    <w:rsid w:val="67960C45"/>
    <w:rsid w:val="67966BAB"/>
    <w:rsid w:val="679A4C3E"/>
    <w:rsid w:val="67A930D3"/>
    <w:rsid w:val="67AC2BC3"/>
    <w:rsid w:val="67B51A77"/>
    <w:rsid w:val="67BD26DA"/>
    <w:rsid w:val="67BF28F6"/>
    <w:rsid w:val="67C03607"/>
    <w:rsid w:val="67C24194"/>
    <w:rsid w:val="67C66018"/>
    <w:rsid w:val="67D16185"/>
    <w:rsid w:val="67D30CDB"/>
    <w:rsid w:val="67D85766"/>
    <w:rsid w:val="67EB15F2"/>
    <w:rsid w:val="67EB5499"/>
    <w:rsid w:val="67EC1211"/>
    <w:rsid w:val="67F00D02"/>
    <w:rsid w:val="67F325A0"/>
    <w:rsid w:val="67F7799A"/>
    <w:rsid w:val="67FC1454"/>
    <w:rsid w:val="680622D3"/>
    <w:rsid w:val="68071BA7"/>
    <w:rsid w:val="68107A6A"/>
    <w:rsid w:val="6811722A"/>
    <w:rsid w:val="68120324"/>
    <w:rsid w:val="6812637F"/>
    <w:rsid w:val="6817003C"/>
    <w:rsid w:val="681833CE"/>
    <w:rsid w:val="681F6961"/>
    <w:rsid w:val="68264723"/>
    <w:rsid w:val="68273FF7"/>
    <w:rsid w:val="68284432"/>
    <w:rsid w:val="682B1D3A"/>
    <w:rsid w:val="682E03A0"/>
    <w:rsid w:val="682E7AFD"/>
    <w:rsid w:val="68356714"/>
    <w:rsid w:val="683E6CC0"/>
    <w:rsid w:val="684150B9"/>
    <w:rsid w:val="684352D5"/>
    <w:rsid w:val="68442DFB"/>
    <w:rsid w:val="684A6664"/>
    <w:rsid w:val="684B418A"/>
    <w:rsid w:val="68505A5F"/>
    <w:rsid w:val="685223FC"/>
    <w:rsid w:val="68565CBD"/>
    <w:rsid w:val="685F19E3"/>
    <w:rsid w:val="68610A2F"/>
    <w:rsid w:val="686B0388"/>
    <w:rsid w:val="6876011B"/>
    <w:rsid w:val="68784853"/>
    <w:rsid w:val="687A3D47"/>
    <w:rsid w:val="687D27C5"/>
    <w:rsid w:val="68805514"/>
    <w:rsid w:val="68844346"/>
    <w:rsid w:val="688808F5"/>
    <w:rsid w:val="688A2400"/>
    <w:rsid w:val="688A7140"/>
    <w:rsid w:val="688E3C0E"/>
    <w:rsid w:val="688F0EB2"/>
    <w:rsid w:val="6890020B"/>
    <w:rsid w:val="68907DEF"/>
    <w:rsid w:val="68990F9C"/>
    <w:rsid w:val="68AD6BF3"/>
    <w:rsid w:val="68B43ADD"/>
    <w:rsid w:val="68B5103C"/>
    <w:rsid w:val="68B84965"/>
    <w:rsid w:val="68BF2482"/>
    <w:rsid w:val="68C31F72"/>
    <w:rsid w:val="68CA77A4"/>
    <w:rsid w:val="68CD4B9F"/>
    <w:rsid w:val="68D7113E"/>
    <w:rsid w:val="68D75A1D"/>
    <w:rsid w:val="68E27BD2"/>
    <w:rsid w:val="68E377FA"/>
    <w:rsid w:val="68ED53B9"/>
    <w:rsid w:val="68F23CD8"/>
    <w:rsid w:val="68F308B7"/>
    <w:rsid w:val="68F40492"/>
    <w:rsid w:val="68F8446B"/>
    <w:rsid w:val="68FE744E"/>
    <w:rsid w:val="690305C1"/>
    <w:rsid w:val="690D143F"/>
    <w:rsid w:val="690E58E3"/>
    <w:rsid w:val="690F3409"/>
    <w:rsid w:val="69120B15"/>
    <w:rsid w:val="69166546"/>
    <w:rsid w:val="692549DB"/>
    <w:rsid w:val="692844CB"/>
    <w:rsid w:val="692C7B17"/>
    <w:rsid w:val="692D388F"/>
    <w:rsid w:val="692E7F1E"/>
    <w:rsid w:val="69316E2F"/>
    <w:rsid w:val="693A7F09"/>
    <w:rsid w:val="693E5A9D"/>
    <w:rsid w:val="69407A67"/>
    <w:rsid w:val="69484A8D"/>
    <w:rsid w:val="694C01BA"/>
    <w:rsid w:val="694E2071"/>
    <w:rsid w:val="6951757E"/>
    <w:rsid w:val="69522FF0"/>
    <w:rsid w:val="695D23C7"/>
    <w:rsid w:val="695D5F23"/>
    <w:rsid w:val="69653029"/>
    <w:rsid w:val="69674FF3"/>
    <w:rsid w:val="69760990"/>
    <w:rsid w:val="69766163"/>
    <w:rsid w:val="69794D27"/>
    <w:rsid w:val="69796AD5"/>
    <w:rsid w:val="697A3B33"/>
    <w:rsid w:val="697F058F"/>
    <w:rsid w:val="698060B5"/>
    <w:rsid w:val="698303A0"/>
    <w:rsid w:val="69855479"/>
    <w:rsid w:val="698A0CE2"/>
    <w:rsid w:val="698C4A5A"/>
    <w:rsid w:val="698E7C07"/>
    <w:rsid w:val="69961435"/>
    <w:rsid w:val="69B33E13"/>
    <w:rsid w:val="69C52D24"/>
    <w:rsid w:val="69C73CE4"/>
    <w:rsid w:val="69C75A92"/>
    <w:rsid w:val="69C9180A"/>
    <w:rsid w:val="69CE6E20"/>
    <w:rsid w:val="69D34437"/>
    <w:rsid w:val="69D44760"/>
    <w:rsid w:val="69D90541"/>
    <w:rsid w:val="69DD0C35"/>
    <w:rsid w:val="69DF4B8A"/>
    <w:rsid w:val="69E419BC"/>
    <w:rsid w:val="69E421A0"/>
    <w:rsid w:val="69E44896"/>
    <w:rsid w:val="69E954AC"/>
    <w:rsid w:val="69EB1780"/>
    <w:rsid w:val="69ED32A8"/>
    <w:rsid w:val="69EE301F"/>
    <w:rsid w:val="69F543AD"/>
    <w:rsid w:val="6A021DA9"/>
    <w:rsid w:val="6A042842"/>
    <w:rsid w:val="6A06480C"/>
    <w:rsid w:val="6A0B1E23"/>
    <w:rsid w:val="6A1056F5"/>
    <w:rsid w:val="6A110A25"/>
    <w:rsid w:val="6A130CD7"/>
    <w:rsid w:val="6A132A85"/>
    <w:rsid w:val="6A183C88"/>
    <w:rsid w:val="6A22716C"/>
    <w:rsid w:val="6A244C92"/>
    <w:rsid w:val="6A2B6021"/>
    <w:rsid w:val="6A3053E5"/>
    <w:rsid w:val="6A373953"/>
    <w:rsid w:val="6A3A6264"/>
    <w:rsid w:val="6A3C4015"/>
    <w:rsid w:val="6A3E55F8"/>
    <w:rsid w:val="6A4149BB"/>
    <w:rsid w:val="6A476894"/>
    <w:rsid w:val="6A4D41E9"/>
    <w:rsid w:val="6A520EC7"/>
    <w:rsid w:val="6A584189"/>
    <w:rsid w:val="6A5C1C22"/>
    <w:rsid w:val="6A5E63F6"/>
    <w:rsid w:val="6A634377"/>
    <w:rsid w:val="6A6E5FD3"/>
    <w:rsid w:val="6A7150BE"/>
    <w:rsid w:val="6A725DDD"/>
    <w:rsid w:val="6A731776"/>
    <w:rsid w:val="6A752C8B"/>
    <w:rsid w:val="6A75729C"/>
    <w:rsid w:val="6A774D04"/>
    <w:rsid w:val="6A777878"/>
    <w:rsid w:val="6A793230"/>
    <w:rsid w:val="6A7F636D"/>
    <w:rsid w:val="6A8614A9"/>
    <w:rsid w:val="6A8B1E35"/>
    <w:rsid w:val="6A8D1A7D"/>
    <w:rsid w:val="6A902328"/>
    <w:rsid w:val="6A9958AA"/>
    <w:rsid w:val="6A9A31A7"/>
    <w:rsid w:val="6A9E4A45"/>
    <w:rsid w:val="6AA656A7"/>
    <w:rsid w:val="6AB204F0"/>
    <w:rsid w:val="6AB2229E"/>
    <w:rsid w:val="6AB37DC4"/>
    <w:rsid w:val="6AB75B07"/>
    <w:rsid w:val="6AB85ADB"/>
    <w:rsid w:val="6AC02B14"/>
    <w:rsid w:val="6AC02C0D"/>
    <w:rsid w:val="6ACD6BF3"/>
    <w:rsid w:val="6ACD70D8"/>
    <w:rsid w:val="6AD62431"/>
    <w:rsid w:val="6AF1726A"/>
    <w:rsid w:val="6AF177E7"/>
    <w:rsid w:val="6AF30E60"/>
    <w:rsid w:val="6AF87E20"/>
    <w:rsid w:val="6AFB1E97"/>
    <w:rsid w:val="6AFC65FF"/>
    <w:rsid w:val="6AFE1987"/>
    <w:rsid w:val="6B013226"/>
    <w:rsid w:val="6B0372BA"/>
    <w:rsid w:val="6B0C1E5D"/>
    <w:rsid w:val="6B182A49"/>
    <w:rsid w:val="6B1967C5"/>
    <w:rsid w:val="6B234F4A"/>
    <w:rsid w:val="6B27617D"/>
    <w:rsid w:val="6B2F7E53"/>
    <w:rsid w:val="6B316CEA"/>
    <w:rsid w:val="6B317667"/>
    <w:rsid w:val="6B322639"/>
    <w:rsid w:val="6B3959F5"/>
    <w:rsid w:val="6B3C1A18"/>
    <w:rsid w:val="6B3F7BD1"/>
    <w:rsid w:val="6B4078AA"/>
    <w:rsid w:val="6B4655AC"/>
    <w:rsid w:val="6B480E55"/>
    <w:rsid w:val="6B4B04A0"/>
    <w:rsid w:val="6B4D7F19"/>
    <w:rsid w:val="6B5259F4"/>
    <w:rsid w:val="6B5C220A"/>
    <w:rsid w:val="6B633598"/>
    <w:rsid w:val="6B655B6D"/>
    <w:rsid w:val="6B6B5F2C"/>
    <w:rsid w:val="6B787142"/>
    <w:rsid w:val="6B7D74C9"/>
    <w:rsid w:val="6B7E6624"/>
    <w:rsid w:val="6B80414A"/>
    <w:rsid w:val="6B81642C"/>
    <w:rsid w:val="6B855C05"/>
    <w:rsid w:val="6B87197D"/>
    <w:rsid w:val="6BA047ED"/>
    <w:rsid w:val="6BA2467F"/>
    <w:rsid w:val="6BAE57F3"/>
    <w:rsid w:val="6BB41386"/>
    <w:rsid w:val="6BB43DF4"/>
    <w:rsid w:val="6BB57FA7"/>
    <w:rsid w:val="6BC009EB"/>
    <w:rsid w:val="6BC24763"/>
    <w:rsid w:val="6BC54253"/>
    <w:rsid w:val="6BCC3834"/>
    <w:rsid w:val="6BCD0E45"/>
    <w:rsid w:val="6BCF3698"/>
    <w:rsid w:val="6BD149A6"/>
    <w:rsid w:val="6BD9385B"/>
    <w:rsid w:val="6BDC3AC0"/>
    <w:rsid w:val="6BDD7977"/>
    <w:rsid w:val="6BE43433"/>
    <w:rsid w:val="6BE56AA0"/>
    <w:rsid w:val="6BE658F7"/>
    <w:rsid w:val="6BEB03AD"/>
    <w:rsid w:val="6BF66CA6"/>
    <w:rsid w:val="6BF72F92"/>
    <w:rsid w:val="6BF80185"/>
    <w:rsid w:val="6BFA214F"/>
    <w:rsid w:val="6BFB3C2F"/>
    <w:rsid w:val="6BFF2C3D"/>
    <w:rsid w:val="6C00528B"/>
    <w:rsid w:val="6C0E4CB3"/>
    <w:rsid w:val="6C103720"/>
    <w:rsid w:val="6C134FBF"/>
    <w:rsid w:val="6C136D6D"/>
    <w:rsid w:val="6C164AAF"/>
    <w:rsid w:val="6C24541E"/>
    <w:rsid w:val="6C2F0285"/>
    <w:rsid w:val="6C305B70"/>
    <w:rsid w:val="6C354F35"/>
    <w:rsid w:val="6C363D8C"/>
    <w:rsid w:val="6C3D203B"/>
    <w:rsid w:val="6C40560E"/>
    <w:rsid w:val="6C4258A4"/>
    <w:rsid w:val="6C4378A2"/>
    <w:rsid w:val="6C561974"/>
    <w:rsid w:val="6C5C41BC"/>
    <w:rsid w:val="6C634C69"/>
    <w:rsid w:val="6C636C38"/>
    <w:rsid w:val="6C68355C"/>
    <w:rsid w:val="6C692E30"/>
    <w:rsid w:val="6C6B6BA9"/>
    <w:rsid w:val="6C6B6CCD"/>
    <w:rsid w:val="6C7A6DEC"/>
    <w:rsid w:val="6C7D4B2E"/>
    <w:rsid w:val="6C81017A"/>
    <w:rsid w:val="6C841A18"/>
    <w:rsid w:val="6C8763D9"/>
    <w:rsid w:val="6C91551F"/>
    <w:rsid w:val="6C9808F8"/>
    <w:rsid w:val="6C9D0D2C"/>
    <w:rsid w:val="6C9E7B23"/>
    <w:rsid w:val="6CA046D5"/>
    <w:rsid w:val="6CA055C8"/>
    <w:rsid w:val="6CA1081C"/>
    <w:rsid w:val="6CA420BB"/>
    <w:rsid w:val="6CA67BE1"/>
    <w:rsid w:val="6CAF42DD"/>
    <w:rsid w:val="6CB22A29"/>
    <w:rsid w:val="6CB5299E"/>
    <w:rsid w:val="6CB52B84"/>
    <w:rsid w:val="6CBA2194"/>
    <w:rsid w:val="6CC512B6"/>
    <w:rsid w:val="6CD02EB0"/>
    <w:rsid w:val="6CD17F9C"/>
    <w:rsid w:val="6CD97FB6"/>
    <w:rsid w:val="6CDF30F3"/>
    <w:rsid w:val="6CE3136F"/>
    <w:rsid w:val="6CE348FB"/>
    <w:rsid w:val="6CE81FA7"/>
    <w:rsid w:val="6CE8644B"/>
    <w:rsid w:val="6CE87457"/>
    <w:rsid w:val="6CE95D1F"/>
    <w:rsid w:val="6CEB0015"/>
    <w:rsid w:val="6CEF1588"/>
    <w:rsid w:val="6CF44DF0"/>
    <w:rsid w:val="6CF52916"/>
    <w:rsid w:val="6CFA60E3"/>
    <w:rsid w:val="6D0D2279"/>
    <w:rsid w:val="6D162FB8"/>
    <w:rsid w:val="6D1B05CF"/>
    <w:rsid w:val="6D1E3C1B"/>
    <w:rsid w:val="6D1F7993"/>
    <w:rsid w:val="6D2531FB"/>
    <w:rsid w:val="6D2A20ED"/>
    <w:rsid w:val="6D2D20B0"/>
    <w:rsid w:val="6D3671B7"/>
    <w:rsid w:val="6D383550"/>
    <w:rsid w:val="6D3B47CD"/>
    <w:rsid w:val="6D3E606B"/>
    <w:rsid w:val="6D3F3623"/>
    <w:rsid w:val="6D4B2FEF"/>
    <w:rsid w:val="6D544AB7"/>
    <w:rsid w:val="6D555A53"/>
    <w:rsid w:val="6D567859"/>
    <w:rsid w:val="6D601D5E"/>
    <w:rsid w:val="6D673814"/>
    <w:rsid w:val="6D6C6A1E"/>
    <w:rsid w:val="6D761CA9"/>
    <w:rsid w:val="6D7B72BF"/>
    <w:rsid w:val="6D803743"/>
    <w:rsid w:val="6D8343C6"/>
    <w:rsid w:val="6D8A12B0"/>
    <w:rsid w:val="6D8B0277"/>
    <w:rsid w:val="6D8D0DA1"/>
    <w:rsid w:val="6D910891"/>
    <w:rsid w:val="6D9A12E3"/>
    <w:rsid w:val="6D9B170F"/>
    <w:rsid w:val="6DA265FA"/>
    <w:rsid w:val="6DAC7479"/>
    <w:rsid w:val="6DB34098"/>
    <w:rsid w:val="6DB545B6"/>
    <w:rsid w:val="6DC17CBB"/>
    <w:rsid w:val="6DCA5B51"/>
    <w:rsid w:val="6DD10C8D"/>
    <w:rsid w:val="6DD33345"/>
    <w:rsid w:val="6DD625D7"/>
    <w:rsid w:val="6DD62748"/>
    <w:rsid w:val="6DD662A4"/>
    <w:rsid w:val="6DD8201C"/>
    <w:rsid w:val="6DDD3AD6"/>
    <w:rsid w:val="6DDD6EA1"/>
    <w:rsid w:val="6DE02FB4"/>
    <w:rsid w:val="6DE16806"/>
    <w:rsid w:val="6DE24C48"/>
    <w:rsid w:val="6DE36C79"/>
    <w:rsid w:val="6DE468C8"/>
    <w:rsid w:val="6DEF3809"/>
    <w:rsid w:val="6DF350A8"/>
    <w:rsid w:val="6DF75EA6"/>
    <w:rsid w:val="6E001573"/>
    <w:rsid w:val="6E05302D"/>
    <w:rsid w:val="6E0A419F"/>
    <w:rsid w:val="6E0C43BB"/>
    <w:rsid w:val="6E0E5A3E"/>
    <w:rsid w:val="6E192634"/>
    <w:rsid w:val="6E1D3ED3"/>
    <w:rsid w:val="6E1E4550"/>
    <w:rsid w:val="6E1E7093"/>
    <w:rsid w:val="6E254810"/>
    <w:rsid w:val="6E313E22"/>
    <w:rsid w:val="6E3A342A"/>
    <w:rsid w:val="6E46167B"/>
    <w:rsid w:val="6E4678CD"/>
    <w:rsid w:val="6E47697D"/>
    <w:rsid w:val="6E4D11E7"/>
    <w:rsid w:val="6E4E02F5"/>
    <w:rsid w:val="6E4E68DF"/>
    <w:rsid w:val="6E514CED"/>
    <w:rsid w:val="6E5673E4"/>
    <w:rsid w:val="6E5D0773"/>
    <w:rsid w:val="6E60613A"/>
    <w:rsid w:val="6E625100"/>
    <w:rsid w:val="6E6935BC"/>
    <w:rsid w:val="6E69536A"/>
    <w:rsid w:val="6E6B2E90"/>
    <w:rsid w:val="6E754B3F"/>
    <w:rsid w:val="6E777A87"/>
    <w:rsid w:val="6E7F2DDF"/>
    <w:rsid w:val="6E8C1058"/>
    <w:rsid w:val="6E903954"/>
    <w:rsid w:val="6E904798"/>
    <w:rsid w:val="6E970129"/>
    <w:rsid w:val="6EA77F2C"/>
    <w:rsid w:val="6EAB3EB2"/>
    <w:rsid w:val="6EB5040C"/>
    <w:rsid w:val="6EB563D5"/>
    <w:rsid w:val="6EC2137B"/>
    <w:rsid w:val="6EC93074"/>
    <w:rsid w:val="6ECD3B4B"/>
    <w:rsid w:val="6ECF1904"/>
    <w:rsid w:val="6ED00F45"/>
    <w:rsid w:val="6ED92677"/>
    <w:rsid w:val="6ED926EF"/>
    <w:rsid w:val="6EDA6267"/>
    <w:rsid w:val="6EDC3D8E"/>
    <w:rsid w:val="6EDC5B3C"/>
    <w:rsid w:val="6EDD3C41"/>
    <w:rsid w:val="6EE42C42"/>
    <w:rsid w:val="6EE449F0"/>
    <w:rsid w:val="6EE60768"/>
    <w:rsid w:val="6EE669BA"/>
    <w:rsid w:val="6EEA14DF"/>
    <w:rsid w:val="6EEB5D7F"/>
    <w:rsid w:val="6F1057E5"/>
    <w:rsid w:val="6F141779"/>
    <w:rsid w:val="6F15104E"/>
    <w:rsid w:val="6F1572A0"/>
    <w:rsid w:val="6F1624CD"/>
    <w:rsid w:val="6F2179F2"/>
    <w:rsid w:val="6F220638"/>
    <w:rsid w:val="6F225983"/>
    <w:rsid w:val="6F252AE8"/>
    <w:rsid w:val="6F3239AE"/>
    <w:rsid w:val="6F396EF3"/>
    <w:rsid w:val="6F413BF1"/>
    <w:rsid w:val="6F4162E7"/>
    <w:rsid w:val="6F4B4A6F"/>
    <w:rsid w:val="6F4F578C"/>
    <w:rsid w:val="6F515BD4"/>
    <w:rsid w:val="6F524ED9"/>
    <w:rsid w:val="6F54591D"/>
    <w:rsid w:val="6F59718C"/>
    <w:rsid w:val="6F5F09D1"/>
    <w:rsid w:val="6F6B5112"/>
    <w:rsid w:val="6F775864"/>
    <w:rsid w:val="6F7E6BF3"/>
    <w:rsid w:val="6F7F4719"/>
    <w:rsid w:val="6F853CC2"/>
    <w:rsid w:val="6F871FA1"/>
    <w:rsid w:val="6F88322A"/>
    <w:rsid w:val="6F8E3C7F"/>
    <w:rsid w:val="6F8F7052"/>
    <w:rsid w:val="6F912DCA"/>
    <w:rsid w:val="6F916826"/>
    <w:rsid w:val="6F924EBE"/>
    <w:rsid w:val="6F9957DB"/>
    <w:rsid w:val="6F9A6322"/>
    <w:rsid w:val="6F9B77A5"/>
    <w:rsid w:val="6F9F7344"/>
    <w:rsid w:val="6FA80114"/>
    <w:rsid w:val="6FAE0224"/>
    <w:rsid w:val="6FB6638D"/>
    <w:rsid w:val="6FC34F4E"/>
    <w:rsid w:val="6FC50CC6"/>
    <w:rsid w:val="6FC64E33"/>
    <w:rsid w:val="6FD440B0"/>
    <w:rsid w:val="6FD607DD"/>
    <w:rsid w:val="6FDA2CCF"/>
    <w:rsid w:val="6FE078AE"/>
    <w:rsid w:val="6FE253D4"/>
    <w:rsid w:val="6FE27182"/>
    <w:rsid w:val="6FE659E8"/>
    <w:rsid w:val="6FE74523"/>
    <w:rsid w:val="6FE96150"/>
    <w:rsid w:val="6FEC6252"/>
    <w:rsid w:val="6FFA2319"/>
    <w:rsid w:val="6FFC5590"/>
    <w:rsid w:val="7003634C"/>
    <w:rsid w:val="7007308C"/>
    <w:rsid w:val="70074E3A"/>
    <w:rsid w:val="701724AD"/>
    <w:rsid w:val="70194DCD"/>
    <w:rsid w:val="701E3F32"/>
    <w:rsid w:val="70231548"/>
    <w:rsid w:val="70253512"/>
    <w:rsid w:val="702C664F"/>
    <w:rsid w:val="702E2322"/>
    <w:rsid w:val="70333E81"/>
    <w:rsid w:val="7036571F"/>
    <w:rsid w:val="703674CE"/>
    <w:rsid w:val="70391034"/>
    <w:rsid w:val="70514D40"/>
    <w:rsid w:val="7053406C"/>
    <w:rsid w:val="7054253E"/>
    <w:rsid w:val="705E4CA8"/>
    <w:rsid w:val="705F07D2"/>
    <w:rsid w:val="705F4C76"/>
    <w:rsid w:val="70606624"/>
    <w:rsid w:val="70610972"/>
    <w:rsid w:val="706D1DD0"/>
    <w:rsid w:val="706D5397"/>
    <w:rsid w:val="70707286"/>
    <w:rsid w:val="707903DA"/>
    <w:rsid w:val="707E5B8D"/>
    <w:rsid w:val="707F54E2"/>
    <w:rsid w:val="70856B87"/>
    <w:rsid w:val="708C3591"/>
    <w:rsid w:val="709216FB"/>
    <w:rsid w:val="70980188"/>
    <w:rsid w:val="709A5CAE"/>
    <w:rsid w:val="709B5583"/>
    <w:rsid w:val="709C3C7B"/>
    <w:rsid w:val="70A00DEB"/>
    <w:rsid w:val="70A1528F"/>
    <w:rsid w:val="70A73F27"/>
    <w:rsid w:val="70AC7790"/>
    <w:rsid w:val="70B0102E"/>
    <w:rsid w:val="70BA3C5B"/>
    <w:rsid w:val="70C42D2B"/>
    <w:rsid w:val="70C44AD9"/>
    <w:rsid w:val="70C66AA3"/>
    <w:rsid w:val="70C9377E"/>
    <w:rsid w:val="70D34710"/>
    <w:rsid w:val="70D527EE"/>
    <w:rsid w:val="70D70B1C"/>
    <w:rsid w:val="70D7324F"/>
    <w:rsid w:val="70DA0766"/>
    <w:rsid w:val="70DC3DD5"/>
    <w:rsid w:val="70E26250"/>
    <w:rsid w:val="70E46F2A"/>
    <w:rsid w:val="70E878E9"/>
    <w:rsid w:val="70E87B78"/>
    <w:rsid w:val="70EA2E48"/>
    <w:rsid w:val="70EA7945"/>
    <w:rsid w:val="70F51137"/>
    <w:rsid w:val="70FF5B11"/>
    <w:rsid w:val="7104137A"/>
    <w:rsid w:val="710555AC"/>
    <w:rsid w:val="710C1319"/>
    <w:rsid w:val="710D18A1"/>
    <w:rsid w:val="711279E6"/>
    <w:rsid w:val="71245578"/>
    <w:rsid w:val="71290DE0"/>
    <w:rsid w:val="71324139"/>
    <w:rsid w:val="7143662D"/>
    <w:rsid w:val="714451CE"/>
    <w:rsid w:val="71445C1A"/>
    <w:rsid w:val="7148570A"/>
    <w:rsid w:val="7149455A"/>
    <w:rsid w:val="71502811"/>
    <w:rsid w:val="7150636D"/>
    <w:rsid w:val="71526589"/>
    <w:rsid w:val="71564FCE"/>
    <w:rsid w:val="71593474"/>
    <w:rsid w:val="715B2707"/>
    <w:rsid w:val="715B5300"/>
    <w:rsid w:val="715E0A8A"/>
    <w:rsid w:val="715F3560"/>
    <w:rsid w:val="71686839"/>
    <w:rsid w:val="716A38D3"/>
    <w:rsid w:val="716D5171"/>
    <w:rsid w:val="716D5AE1"/>
    <w:rsid w:val="717007BD"/>
    <w:rsid w:val="717402AD"/>
    <w:rsid w:val="71744751"/>
    <w:rsid w:val="71787AB8"/>
    <w:rsid w:val="71807A85"/>
    <w:rsid w:val="7183528B"/>
    <w:rsid w:val="71844269"/>
    <w:rsid w:val="719054F2"/>
    <w:rsid w:val="71934D5F"/>
    <w:rsid w:val="71985ACF"/>
    <w:rsid w:val="719C15B2"/>
    <w:rsid w:val="719C7804"/>
    <w:rsid w:val="719E2DD2"/>
    <w:rsid w:val="71A52F9A"/>
    <w:rsid w:val="71A713DB"/>
    <w:rsid w:val="71B51909"/>
    <w:rsid w:val="71C132A7"/>
    <w:rsid w:val="71C1726B"/>
    <w:rsid w:val="71C221D2"/>
    <w:rsid w:val="71C34D91"/>
    <w:rsid w:val="71CA7BA9"/>
    <w:rsid w:val="71CC633B"/>
    <w:rsid w:val="71CD5C10"/>
    <w:rsid w:val="71D14447"/>
    <w:rsid w:val="71D27F8A"/>
    <w:rsid w:val="71D64AC4"/>
    <w:rsid w:val="71DE606F"/>
    <w:rsid w:val="71EC5903"/>
    <w:rsid w:val="71F32978"/>
    <w:rsid w:val="71FB277D"/>
    <w:rsid w:val="720D24B0"/>
    <w:rsid w:val="72111DD5"/>
    <w:rsid w:val="72133235"/>
    <w:rsid w:val="721E646B"/>
    <w:rsid w:val="722A3062"/>
    <w:rsid w:val="722A4E10"/>
    <w:rsid w:val="722C6DDA"/>
    <w:rsid w:val="72396872"/>
    <w:rsid w:val="723E6CD2"/>
    <w:rsid w:val="724430ED"/>
    <w:rsid w:val="724952B8"/>
    <w:rsid w:val="7252521E"/>
    <w:rsid w:val="72553024"/>
    <w:rsid w:val="725B146D"/>
    <w:rsid w:val="725D6F93"/>
    <w:rsid w:val="726227FC"/>
    <w:rsid w:val="72646574"/>
    <w:rsid w:val="72693B8A"/>
    <w:rsid w:val="726E2F4F"/>
    <w:rsid w:val="726F2D69"/>
    <w:rsid w:val="726F6CC7"/>
    <w:rsid w:val="727A1900"/>
    <w:rsid w:val="727F7F12"/>
    <w:rsid w:val="72874010"/>
    <w:rsid w:val="72897D89"/>
    <w:rsid w:val="728C5ACB"/>
    <w:rsid w:val="728C5FD3"/>
    <w:rsid w:val="729B1E76"/>
    <w:rsid w:val="72A9042B"/>
    <w:rsid w:val="72AC1CC9"/>
    <w:rsid w:val="72AE77EF"/>
    <w:rsid w:val="72B15531"/>
    <w:rsid w:val="72B60163"/>
    <w:rsid w:val="72C9287B"/>
    <w:rsid w:val="72CB0062"/>
    <w:rsid w:val="72CB03A1"/>
    <w:rsid w:val="72D23DAE"/>
    <w:rsid w:val="72D27981"/>
    <w:rsid w:val="72DA2DEA"/>
    <w:rsid w:val="72DE5D16"/>
    <w:rsid w:val="72E651DB"/>
    <w:rsid w:val="72E84D5C"/>
    <w:rsid w:val="72EC6569"/>
    <w:rsid w:val="72F0605A"/>
    <w:rsid w:val="72F26F63"/>
    <w:rsid w:val="72F773E8"/>
    <w:rsid w:val="72FA6ED8"/>
    <w:rsid w:val="73013DC3"/>
    <w:rsid w:val="730A50B3"/>
    <w:rsid w:val="73122968"/>
    <w:rsid w:val="73124222"/>
    <w:rsid w:val="731C0C6A"/>
    <w:rsid w:val="731E2BC7"/>
    <w:rsid w:val="731F5D5E"/>
    <w:rsid w:val="731F693F"/>
    <w:rsid w:val="73261A7B"/>
    <w:rsid w:val="732C6966"/>
    <w:rsid w:val="733616F2"/>
    <w:rsid w:val="7338355D"/>
    <w:rsid w:val="73383760"/>
    <w:rsid w:val="733A1083"/>
    <w:rsid w:val="734078DC"/>
    <w:rsid w:val="734B3290"/>
    <w:rsid w:val="734C3E6C"/>
    <w:rsid w:val="734F0FD2"/>
    <w:rsid w:val="73571C35"/>
    <w:rsid w:val="735760D9"/>
    <w:rsid w:val="735D2FC3"/>
    <w:rsid w:val="73736C98"/>
    <w:rsid w:val="7375030D"/>
    <w:rsid w:val="737A1DC7"/>
    <w:rsid w:val="737C5B3F"/>
    <w:rsid w:val="737F20EB"/>
    <w:rsid w:val="737F73DD"/>
    <w:rsid w:val="73924941"/>
    <w:rsid w:val="73934B26"/>
    <w:rsid w:val="73935056"/>
    <w:rsid w:val="73966E9A"/>
    <w:rsid w:val="739A7D73"/>
    <w:rsid w:val="739B4217"/>
    <w:rsid w:val="739F538A"/>
    <w:rsid w:val="73A16C62"/>
    <w:rsid w:val="73A25E44"/>
    <w:rsid w:val="73A302EA"/>
    <w:rsid w:val="73A53B17"/>
    <w:rsid w:val="73A824D1"/>
    <w:rsid w:val="73A9327C"/>
    <w:rsid w:val="73AA0F95"/>
    <w:rsid w:val="73AB01D2"/>
    <w:rsid w:val="73B07597"/>
    <w:rsid w:val="73C03C7E"/>
    <w:rsid w:val="73C117A4"/>
    <w:rsid w:val="73C13552"/>
    <w:rsid w:val="73C51AD5"/>
    <w:rsid w:val="73CF2113"/>
    <w:rsid w:val="73D06A20"/>
    <w:rsid w:val="73D239B1"/>
    <w:rsid w:val="73DB2866"/>
    <w:rsid w:val="73E21E46"/>
    <w:rsid w:val="73EC6BCD"/>
    <w:rsid w:val="73EE2EAB"/>
    <w:rsid w:val="73F36C0A"/>
    <w:rsid w:val="73F6144E"/>
    <w:rsid w:val="73FB6A64"/>
    <w:rsid w:val="73FC458A"/>
    <w:rsid w:val="74026044"/>
    <w:rsid w:val="740E26E6"/>
    <w:rsid w:val="740F0761"/>
    <w:rsid w:val="741E2752"/>
    <w:rsid w:val="741E793C"/>
    <w:rsid w:val="74253AE1"/>
    <w:rsid w:val="742C4E6F"/>
    <w:rsid w:val="743739ED"/>
    <w:rsid w:val="74393A30"/>
    <w:rsid w:val="74395184"/>
    <w:rsid w:val="743B3304"/>
    <w:rsid w:val="74512B28"/>
    <w:rsid w:val="745627AE"/>
    <w:rsid w:val="74564E1D"/>
    <w:rsid w:val="745D6EFB"/>
    <w:rsid w:val="745D7787"/>
    <w:rsid w:val="745E3944"/>
    <w:rsid w:val="74634609"/>
    <w:rsid w:val="74650381"/>
    <w:rsid w:val="746A1E3C"/>
    <w:rsid w:val="74732A9E"/>
    <w:rsid w:val="74851300"/>
    <w:rsid w:val="748C1DB2"/>
    <w:rsid w:val="749173C8"/>
    <w:rsid w:val="74934EEE"/>
    <w:rsid w:val="74980757"/>
    <w:rsid w:val="74982505"/>
    <w:rsid w:val="749C18DF"/>
    <w:rsid w:val="74A71E5E"/>
    <w:rsid w:val="74A94712"/>
    <w:rsid w:val="74B2798D"/>
    <w:rsid w:val="74B51309"/>
    <w:rsid w:val="74B61262"/>
    <w:rsid w:val="74B74EEF"/>
    <w:rsid w:val="74BB61F3"/>
    <w:rsid w:val="74BC04D7"/>
    <w:rsid w:val="74BF6E58"/>
    <w:rsid w:val="74C72DEA"/>
    <w:rsid w:val="74C96B62"/>
    <w:rsid w:val="74CB581C"/>
    <w:rsid w:val="74CF1C9F"/>
    <w:rsid w:val="74D47A9C"/>
    <w:rsid w:val="74D64D9F"/>
    <w:rsid w:val="74DB14EF"/>
    <w:rsid w:val="74DF0134"/>
    <w:rsid w:val="74DF1EE2"/>
    <w:rsid w:val="74E94D5F"/>
    <w:rsid w:val="74EE0377"/>
    <w:rsid w:val="74F223C7"/>
    <w:rsid w:val="74F45868"/>
    <w:rsid w:val="74F636CF"/>
    <w:rsid w:val="7504310B"/>
    <w:rsid w:val="750573E1"/>
    <w:rsid w:val="75071439"/>
    <w:rsid w:val="750763EF"/>
    <w:rsid w:val="75151DA7"/>
    <w:rsid w:val="751C3136"/>
    <w:rsid w:val="752330DC"/>
    <w:rsid w:val="752B15CB"/>
    <w:rsid w:val="754B3138"/>
    <w:rsid w:val="754D7793"/>
    <w:rsid w:val="754E0E15"/>
    <w:rsid w:val="75530B22"/>
    <w:rsid w:val="755D54FC"/>
    <w:rsid w:val="755F1275"/>
    <w:rsid w:val="755F3023"/>
    <w:rsid w:val="75630D65"/>
    <w:rsid w:val="756845CD"/>
    <w:rsid w:val="756D3CEA"/>
    <w:rsid w:val="756E770A"/>
    <w:rsid w:val="75720FA8"/>
    <w:rsid w:val="75722D56"/>
    <w:rsid w:val="7578445A"/>
    <w:rsid w:val="757A60AE"/>
    <w:rsid w:val="758111EB"/>
    <w:rsid w:val="758D4034"/>
    <w:rsid w:val="75976C60"/>
    <w:rsid w:val="75994786"/>
    <w:rsid w:val="75A153E9"/>
    <w:rsid w:val="75A4312B"/>
    <w:rsid w:val="75B172CA"/>
    <w:rsid w:val="75BA443F"/>
    <w:rsid w:val="75BB69C6"/>
    <w:rsid w:val="75BE243F"/>
    <w:rsid w:val="75BF3AC1"/>
    <w:rsid w:val="75C612F4"/>
    <w:rsid w:val="75C75DA4"/>
    <w:rsid w:val="75C86E1A"/>
    <w:rsid w:val="75C94940"/>
    <w:rsid w:val="75CA0DE4"/>
    <w:rsid w:val="75D4756D"/>
    <w:rsid w:val="75D73501"/>
    <w:rsid w:val="75DE5872"/>
    <w:rsid w:val="75E168D6"/>
    <w:rsid w:val="75E87C01"/>
    <w:rsid w:val="75ED6880"/>
    <w:rsid w:val="75F140E9"/>
    <w:rsid w:val="75F145C2"/>
    <w:rsid w:val="75F55735"/>
    <w:rsid w:val="75F734E3"/>
    <w:rsid w:val="76053A6E"/>
    <w:rsid w:val="76085468"/>
    <w:rsid w:val="760D5998"/>
    <w:rsid w:val="760F2255"/>
    <w:rsid w:val="76170E60"/>
    <w:rsid w:val="761C7166"/>
    <w:rsid w:val="762A7AD4"/>
    <w:rsid w:val="76312C11"/>
    <w:rsid w:val="7635099D"/>
    <w:rsid w:val="76351477"/>
    <w:rsid w:val="76360227"/>
    <w:rsid w:val="763E6318"/>
    <w:rsid w:val="764346F2"/>
    <w:rsid w:val="764702B3"/>
    <w:rsid w:val="76480CDA"/>
    <w:rsid w:val="76487B93"/>
    <w:rsid w:val="7649449A"/>
    <w:rsid w:val="764F47A9"/>
    <w:rsid w:val="76530DD9"/>
    <w:rsid w:val="76571F4C"/>
    <w:rsid w:val="765927F0"/>
    <w:rsid w:val="766034F6"/>
    <w:rsid w:val="766A1C7F"/>
    <w:rsid w:val="766D176F"/>
    <w:rsid w:val="76733229"/>
    <w:rsid w:val="7682346D"/>
    <w:rsid w:val="76830F93"/>
    <w:rsid w:val="768A0573"/>
    <w:rsid w:val="768A0953"/>
    <w:rsid w:val="768A2321"/>
    <w:rsid w:val="768E1E11"/>
    <w:rsid w:val="7694203A"/>
    <w:rsid w:val="76966F18"/>
    <w:rsid w:val="76A47C80"/>
    <w:rsid w:val="76A72ED3"/>
    <w:rsid w:val="76A96C4B"/>
    <w:rsid w:val="76AE6010"/>
    <w:rsid w:val="76AF33A7"/>
    <w:rsid w:val="76B455F0"/>
    <w:rsid w:val="76B949B4"/>
    <w:rsid w:val="76B94BEC"/>
    <w:rsid w:val="76BA70C4"/>
    <w:rsid w:val="76BB7D9C"/>
    <w:rsid w:val="76BD6728"/>
    <w:rsid w:val="76C513DC"/>
    <w:rsid w:val="76CC46E8"/>
    <w:rsid w:val="76D01A14"/>
    <w:rsid w:val="76D13E48"/>
    <w:rsid w:val="76D57A40"/>
    <w:rsid w:val="76DA5057"/>
    <w:rsid w:val="76DE3136"/>
    <w:rsid w:val="76E41A31"/>
    <w:rsid w:val="76ED6F41"/>
    <w:rsid w:val="76F61765"/>
    <w:rsid w:val="76FD0D45"/>
    <w:rsid w:val="76FF2D0F"/>
    <w:rsid w:val="77001A8D"/>
    <w:rsid w:val="770B16B4"/>
    <w:rsid w:val="77104560"/>
    <w:rsid w:val="77111A84"/>
    <w:rsid w:val="7718792D"/>
    <w:rsid w:val="771B11CB"/>
    <w:rsid w:val="771E57C7"/>
    <w:rsid w:val="77253DF8"/>
    <w:rsid w:val="77332C9D"/>
    <w:rsid w:val="773434C6"/>
    <w:rsid w:val="77366005"/>
    <w:rsid w:val="773710A5"/>
    <w:rsid w:val="773A78A3"/>
    <w:rsid w:val="773D46DF"/>
    <w:rsid w:val="77483836"/>
    <w:rsid w:val="774A385E"/>
    <w:rsid w:val="77541870"/>
    <w:rsid w:val="775C3CBE"/>
    <w:rsid w:val="775E5C88"/>
    <w:rsid w:val="775F6790"/>
    <w:rsid w:val="776112D4"/>
    <w:rsid w:val="77613316"/>
    <w:rsid w:val="77660698"/>
    <w:rsid w:val="776D5ECB"/>
    <w:rsid w:val="77732DB5"/>
    <w:rsid w:val="77762421"/>
    <w:rsid w:val="77771C8D"/>
    <w:rsid w:val="777D3C34"/>
    <w:rsid w:val="778063FA"/>
    <w:rsid w:val="77894387"/>
    <w:rsid w:val="77901BB9"/>
    <w:rsid w:val="7791148D"/>
    <w:rsid w:val="77960FC1"/>
    <w:rsid w:val="77966CBE"/>
    <w:rsid w:val="77974CF6"/>
    <w:rsid w:val="779D7E32"/>
    <w:rsid w:val="77A318EC"/>
    <w:rsid w:val="77A92C7B"/>
    <w:rsid w:val="77AA7094"/>
    <w:rsid w:val="77AB254F"/>
    <w:rsid w:val="77AB3A64"/>
    <w:rsid w:val="77B347F9"/>
    <w:rsid w:val="77B56B1F"/>
    <w:rsid w:val="77BD2282"/>
    <w:rsid w:val="77BE0FC1"/>
    <w:rsid w:val="77C1044E"/>
    <w:rsid w:val="77CB499F"/>
    <w:rsid w:val="77D3779F"/>
    <w:rsid w:val="77D47CF8"/>
    <w:rsid w:val="77DD5A8F"/>
    <w:rsid w:val="77E141C3"/>
    <w:rsid w:val="77E41FB9"/>
    <w:rsid w:val="77E51F05"/>
    <w:rsid w:val="77EB5041"/>
    <w:rsid w:val="77F04406"/>
    <w:rsid w:val="77F80F29"/>
    <w:rsid w:val="77FD3353"/>
    <w:rsid w:val="78006D3F"/>
    <w:rsid w:val="78013401"/>
    <w:rsid w:val="78087E90"/>
    <w:rsid w:val="780954C8"/>
    <w:rsid w:val="780F09F4"/>
    <w:rsid w:val="780F1C08"/>
    <w:rsid w:val="78197550"/>
    <w:rsid w:val="782C3C84"/>
    <w:rsid w:val="782F13D2"/>
    <w:rsid w:val="78316931"/>
    <w:rsid w:val="78341C48"/>
    <w:rsid w:val="78350033"/>
    <w:rsid w:val="7836450F"/>
    <w:rsid w:val="783B7D77"/>
    <w:rsid w:val="784478BB"/>
    <w:rsid w:val="78476F57"/>
    <w:rsid w:val="784A7FBA"/>
    <w:rsid w:val="784B788E"/>
    <w:rsid w:val="78574485"/>
    <w:rsid w:val="7858084F"/>
    <w:rsid w:val="785A06F4"/>
    <w:rsid w:val="78615304"/>
    <w:rsid w:val="786372CE"/>
    <w:rsid w:val="7866291A"/>
    <w:rsid w:val="786C6182"/>
    <w:rsid w:val="786D3CA8"/>
    <w:rsid w:val="78770683"/>
    <w:rsid w:val="78776F58"/>
    <w:rsid w:val="787C5719"/>
    <w:rsid w:val="788039DC"/>
    <w:rsid w:val="788334CC"/>
    <w:rsid w:val="78872FBC"/>
    <w:rsid w:val="788868DF"/>
    <w:rsid w:val="789754D1"/>
    <w:rsid w:val="789E657E"/>
    <w:rsid w:val="78A70F68"/>
    <w:rsid w:val="78A90480"/>
    <w:rsid w:val="78AA0A59"/>
    <w:rsid w:val="78AE31E0"/>
    <w:rsid w:val="78B04F45"/>
    <w:rsid w:val="78B80BA5"/>
    <w:rsid w:val="78B92705"/>
    <w:rsid w:val="78BE2756"/>
    <w:rsid w:val="78C064CE"/>
    <w:rsid w:val="78C311F1"/>
    <w:rsid w:val="78C611C8"/>
    <w:rsid w:val="78CA2EA9"/>
    <w:rsid w:val="78CB05F2"/>
    <w:rsid w:val="78CC22EE"/>
    <w:rsid w:val="78CC4E73"/>
    <w:rsid w:val="78D15FE5"/>
    <w:rsid w:val="78D51BC9"/>
    <w:rsid w:val="78D6184E"/>
    <w:rsid w:val="78D76CE2"/>
    <w:rsid w:val="78D9025B"/>
    <w:rsid w:val="78DB1C04"/>
    <w:rsid w:val="78DF4BA6"/>
    <w:rsid w:val="78DF5D5C"/>
    <w:rsid w:val="78E026CC"/>
    <w:rsid w:val="78E57CE3"/>
    <w:rsid w:val="78EB2103"/>
    <w:rsid w:val="78EC72C3"/>
    <w:rsid w:val="78ED2E61"/>
    <w:rsid w:val="78F9553C"/>
    <w:rsid w:val="78FF0DA4"/>
    <w:rsid w:val="790939D1"/>
    <w:rsid w:val="790A599B"/>
    <w:rsid w:val="790A7749"/>
    <w:rsid w:val="790B45EA"/>
    <w:rsid w:val="79181E66"/>
    <w:rsid w:val="79183C14"/>
    <w:rsid w:val="792B7DEB"/>
    <w:rsid w:val="792E7444"/>
    <w:rsid w:val="793D7B1F"/>
    <w:rsid w:val="794013BD"/>
    <w:rsid w:val="7941658F"/>
    <w:rsid w:val="79450695"/>
    <w:rsid w:val="7947274B"/>
    <w:rsid w:val="795310F0"/>
    <w:rsid w:val="79584446"/>
    <w:rsid w:val="795D12D5"/>
    <w:rsid w:val="795F1843"/>
    <w:rsid w:val="79614570"/>
    <w:rsid w:val="796432FD"/>
    <w:rsid w:val="796C21B2"/>
    <w:rsid w:val="796D1B4A"/>
    <w:rsid w:val="797E6334"/>
    <w:rsid w:val="79811B4C"/>
    <w:rsid w:val="79865D49"/>
    <w:rsid w:val="798B2638"/>
    <w:rsid w:val="798D4602"/>
    <w:rsid w:val="7993773F"/>
    <w:rsid w:val="79A3351B"/>
    <w:rsid w:val="79A70454"/>
    <w:rsid w:val="79AD6A52"/>
    <w:rsid w:val="79B44B72"/>
    <w:rsid w:val="79B55907"/>
    <w:rsid w:val="79B65B30"/>
    <w:rsid w:val="79BA4CCB"/>
    <w:rsid w:val="79C14BEA"/>
    <w:rsid w:val="79C21DD2"/>
    <w:rsid w:val="79D14BAE"/>
    <w:rsid w:val="79D20267"/>
    <w:rsid w:val="79D53106"/>
    <w:rsid w:val="79D921A9"/>
    <w:rsid w:val="79DC10E6"/>
    <w:rsid w:val="79DF0BD6"/>
    <w:rsid w:val="79E05138"/>
    <w:rsid w:val="79E166FC"/>
    <w:rsid w:val="79E47F9A"/>
    <w:rsid w:val="79E61F64"/>
    <w:rsid w:val="79EB43FD"/>
    <w:rsid w:val="79EE2BC7"/>
    <w:rsid w:val="79EF3209"/>
    <w:rsid w:val="79F75F20"/>
    <w:rsid w:val="79FF4DD4"/>
    <w:rsid w:val="7A00414E"/>
    <w:rsid w:val="7A0348C4"/>
    <w:rsid w:val="7A1C14E2"/>
    <w:rsid w:val="7A255F9B"/>
    <w:rsid w:val="7A2A25EE"/>
    <w:rsid w:val="7A2D1941"/>
    <w:rsid w:val="7A364017"/>
    <w:rsid w:val="7A4153ED"/>
    <w:rsid w:val="7A480529"/>
    <w:rsid w:val="7A56204E"/>
    <w:rsid w:val="7A585CBB"/>
    <w:rsid w:val="7A5A025C"/>
    <w:rsid w:val="7A5C2227"/>
    <w:rsid w:val="7A64760D"/>
    <w:rsid w:val="7A664E53"/>
    <w:rsid w:val="7A666C01"/>
    <w:rsid w:val="7A707A80"/>
    <w:rsid w:val="7A726D40"/>
    <w:rsid w:val="7A7A33D3"/>
    <w:rsid w:val="7A8265E1"/>
    <w:rsid w:val="7A835A05"/>
    <w:rsid w:val="7A877CC2"/>
    <w:rsid w:val="7A94376E"/>
    <w:rsid w:val="7A980B7B"/>
    <w:rsid w:val="7A9C2623"/>
    <w:rsid w:val="7AA30CA1"/>
    <w:rsid w:val="7AA80FC8"/>
    <w:rsid w:val="7AB07CD4"/>
    <w:rsid w:val="7AB24281"/>
    <w:rsid w:val="7AB61937"/>
    <w:rsid w:val="7ABA5A98"/>
    <w:rsid w:val="7ABC170A"/>
    <w:rsid w:val="7AC06311"/>
    <w:rsid w:val="7AC5601E"/>
    <w:rsid w:val="7AC83418"/>
    <w:rsid w:val="7AC94B95"/>
    <w:rsid w:val="7AD4000F"/>
    <w:rsid w:val="7AD7571C"/>
    <w:rsid w:val="7AD96066"/>
    <w:rsid w:val="7ADB139D"/>
    <w:rsid w:val="7ADC7778"/>
    <w:rsid w:val="7AE2097E"/>
    <w:rsid w:val="7AE85868"/>
    <w:rsid w:val="7AED6E2A"/>
    <w:rsid w:val="7AED700D"/>
    <w:rsid w:val="7AF43C80"/>
    <w:rsid w:val="7AFA7384"/>
    <w:rsid w:val="7AFC0759"/>
    <w:rsid w:val="7AFD5BF4"/>
    <w:rsid w:val="7B02692A"/>
    <w:rsid w:val="7B0326A2"/>
    <w:rsid w:val="7B036493"/>
    <w:rsid w:val="7B087CB8"/>
    <w:rsid w:val="7B0A1C83"/>
    <w:rsid w:val="7B0A57DF"/>
    <w:rsid w:val="7B0C77A9"/>
    <w:rsid w:val="7B0E1673"/>
    <w:rsid w:val="7B0E3521"/>
    <w:rsid w:val="7B0F1766"/>
    <w:rsid w:val="7B160627"/>
    <w:rsid w:val="7B166879"/>
    <w:rsid w:val="7B1D19B6"/>
    <w:rsid w:val="7B1D3764"/>
    <w:rsid w:val="7B212602"/>
    <w:rsid w:val="7B221178"/>
    <w:rsid w:val="7B22521E"/>
    <w:rsid w:val="7B261FC1"/>
    <w:rsid w:val="7B2E5B8D"/>
    <w:rsid w:val="7B310FBD"/>
    <w:rsid w:val="7B334D35"/>
    <w:rsid w:val="7B354F51"/>
    <w:rsid w:val="7B3665D4"/>
    <w:rsid w:val="7B3F192C"/>
    <w:rsid w:val="7B415909"/>
    <w:rsid w:val="7B474175"/>
    <w:rsid w:val="7B494559"/>
    <w:rsid w:val="7B542208"/>
    <w:rsid w:val="7B5D1DB2"/>
    <w:rsid w:val="7B62561B"/>
    <w:rsid w:val="7B6437F0"/>
    <w:rsid w:val="7B6577B1"/>
    <w:rsid w:val="7B670E83"/>
    <w:rsid w:val="7B686D42"/>
    <w:rsid w:val="7B702FC5"/>
    <w:rsid w:val="7B784E3E"/>
    <w:rsid w:val="7B794B1B"/>
    <w:rsid w:val="7B7A410F"/>
    <w:rsid w:val="7B7E214A"/>
    <w:rsid w:val="7B841746"/>
    <w:rsid w:val="7B8770AA"/>
    <w:rsid w:val="7B8C6B3B"/>
    <w:rsid w:val="7B906A36"/>
    <w:rsid w:val="7B9A36F9"/>
    <w:rsid w:val="7BA37F1B"/>
    <w:rsid w:val="7BB10350"/>
    <w:rsid w:val="7BB3231A"/>
    <w:rsid w:val="7BB51BEE"/>
    <w:rsid w:val="7BBD12C0"/>
    <w:rsid w:val="7BC41E31"/>
    <w:rsid w:val="7BC96724"/>
    <w:rsid w:val="7BCA39E1"/>
    <w:rsid w:val="7BCE0F02"/>
    <w:rsid w:val="7BD6763A"/>
    <w:rsid w:val="7BE21570"/>
    <w:rsid w:val="7BE66844"/>
    <w:rsid w:val="7BE91898"/>
    <w:rsid w:val="7BEB5610"/>
    <w:rsid w:val="7BEC5432"/>
    <w:rsid w:val="7BED0F7B"/>
    <w:rsid w:val="7BED75DA"/>
    <w:rsid w:val="7BFC15CB"/>
    <w:rsid w:val="7C014E34"/>
    <w:rsid w:val="7C06244A"/>
    <w:rsid w:val="7C082081"/>
    <w:rsid w:val="7C0E639C"/>
    <w:rsid w:val="7C1903CF"/>
    <w:rsid w:val="7C215214"/>
    <w:rsid w:val="7C217284"/>
    <w:rsid w:val="7C273F75"/>
    <w:rsid w:val="7C322B65"/>
    <w:rsid w:val="7C330D65"/>
    <w:rsid w:val="7C350F81"/>
    <w:rsid w:val="7C370855"/>
    <w:rsid w:val="7C482A62"/>
    <w:rsid w:val="7C492337"/>
    <w:rsid w:val="7C5036C5"/>
    <w:rsid w:val="7C5331B5"/>
    <w:rsid w:val="7C5C02BC"/>
    <w:rsid w:val="7C686C61"/>
    <w:rsid w:val="7C6C5AC7"/>
    <w:rsid w:val="7C703D67"/>
    <w:rsid w:val="7C741AA9"/>
    <w:rsid w:val="7C7E0232"/>
    <w:rsid w:val="7C81665C"/>
    <w:rsid w:val="7C8617DD"/>
    <w:rsid w:val="7C882089"/>
    <w:rsid w:val="7C94044F"/>
    <w:rsid w:val="7C945BCD"/>
    <w:rsid w:val="7C983DC4"/>
    <w:rsid w:val="7C9F63FA"/>
    <w:rsid w:val="7CAC14E6"/>
    <w:rsid w:val="7CB10257"/>
    <w:rsid w:val="7CB93960"/>
    <w:rsid w:val="7CC540B3"/>
    <w:rsid w:val="7CC6544B"/>
    <w:rsid w:val="7CD6006E"/>
    <w:rsid w:val="7CD65FF2"/>
    <w:rsid w:val="7CDE33C7"/>
    <w:rsid w:val="7CDF5BE8"/>
    <w:rsid w:val="7CEA636C"/>
    <w:rsid w:val="7CEB731E"/>
    <w:rsid w:val="7CF44998"/>
    <w:rsid w:val="7CF624BE"/>
    <w:rsid w:val="7CF764AF"/>
    <w:rsid w:val="7CFC344E"/>
    <w:rsid w:val="7CFD1A9F"/>
    <w:rsid w:val="7CFE1373"/>
    <w:rsid w:val="7D0239FF"/>
    <w:rsid w:val="7D02613C"/>
    <w:rsid w:val="7D081010"/>
    <w:rsid w:val="7D0C381F"/>
    <w:rsid w:val="7D0D7808"/>
    <w:rsid w:val="7D1110A6"/>
    <w:rsid w:val="7D20578D"/>
    <w:rsid w:val="7D2221DF"/>
    <w:rsid w:val="7D2C4132"/>
    <w:rsid w:val="7D2F777E"/>
    <w:rsid w:val="7D3923AB"/>
    <w:rsid w:val="7D4031EB"/>
    <w:rsid w:val="7D405FAF"/>
    <w:rsid w:val="7D4551F4"/>
    <w:rsid w:val="7D4C2098"/>
    <w:rsid w:val="7D511DEB"/>
    <w:rsid w:val="7D52346D"/>
    <w:rsid w:val="7D553D9B"/>
    <w:rsid w:val="7D562F5D"/>
    <w:rsid w:val="7D580A83"/>
    <w:rsid w:val="7D5E40CD"/>
    <w:rsid w:val="7D603342"/>
    <w:rsid w:val="7D630C0D"/>
    <w:rsid w:val="7D692C90"/>
    <w:rsid w:val="7D6B2EAC"/>
    <w:rsid w:val="7D6F0E58"/>
    <w:rsid w:val="7D7004C3"/>
    <w:rsid w:val="7D747887"/>
    <w:rsid w:val="7D755AD9"/>
    <w:rsid w:val="7D7653AD"/>
    <w:rsid w:val="7D7A4E9D"/>
    <w:rsid w:val="7D7D673C"/>
    <w:rsid w:val="7D80622C"/>
    <w:rsid w:val="7D845D1C"/>
    <w:rsid w:val="7D8A34CA"/>
    <w:rsid w:val="7D8E63A7"/>
    <w:rsid w:val="7D9121E7"/>
    <w:rsid w:val="7D943A85"/>
    <w:rsid w:val="7D965A4F"/>
    <w:rsid w:val="7DA737B9"/>
    <w:rsid w:val="7DA95783"/>
    <w:rsid w:val="7DB12889"/>
    <w:rsid w:val="7DB3215D"/>
    <w:rsid w:val="7DB54128"/>
    <w:rsid w:val="7DB639FC"/>
    <w:rsid w:val="7DB87774"/>
    <w:rsid w:val="7DB976B4"/>
    <w:rsid w:val="7DBB54B6"/>
    <w:rsid w:val="7DBE77E9"/>
    <w:rsid w:val="7DC205F3"/>
    <w:rsid w:val="7DC91981"/>
    <w:rsid w:val="7DCC1471"/>
    <w:rsid w:val="7DCD56F2"/>
    <w:rsid w:val="7DCF1750"/>
    <w:rsid w:val="7DD60D82"/>
    <w:rsid w:val="7DDA033E"/>
    <w:rsid w:val="7DEB41A6"/>
    <w:rsid w:val="7DF05160"/>
    <w:rsid w:val="7DFB58B2"/>
    <w:rsid w:val="7DFE0FE0"/>
    <w:rsid w:val="7E046E5D"/>
    <w:rsid w:val="7E0B3D48"/>
    <w:rsid w:val="7E0D5D12"/>
    <w:rsid w:val="7E130E4E"/>
    <w:rsid w:val="7E1C1F47"/>
    <w:rsid w:val="7E1F5511"/>
    <w:rsid w:val="7E211090"/>
    <w:rsid w:val="7E2117BD"/>
    <w:rsid w:val="7E255EAB"/>
    <w:rsid w:val="7E2B4821"/>
    <w:rsid w:val="7E3D5ECB"/>
    <w:rsid w:val="7E3E411D"/>
    <w:rsid w:val="7E4234E1"/>
    <w:rsid w:val="7E435B33"/>
    <w:rsid w:val="7E4E00D8"/>
    <w:rsid w:val="7E570EF9"/>
    <w:rsid w:val="7E5971A9"/>
    <w:rsid w:val="7E5F5E41"/>
    <w:rsid w:val="7E610A91"/>
    <w:rsid w:val="7E725B75"/>
    <w:rsid w:val="7E737662"/>
    <w:rsid w:val="7E7933A7"/>
    <w:rsid w:val="7E8835EA"/>
    <w:rsid w:val="7E8E6727"/>
    <w:rsid w:val="7E924469"/>
    <w:rsid w:val="7E9E2E0E"/>
    <w:rsid w:val="7EA30424"/>
    <w:rsid w:val="7EAB1087"/>
    <w:rsid w:val="7EAD4DFF"/>
    <w:rsid w:val="7EAF0B77"/>
    <w:rsid w:val="7EB02B41"/>
    <w:rsid w:val="7EB20667"/>
    <w:rsid w:val="7EBF0D00"/>
    <w:rsid w:val="7EBF4B32"/>
    <w:rsid w:val="7EC041D2"/>
    <w:rsid w:val="7EC565EC"/>
    <w:rsid w:val="7ED3780E"/>
    <w:rsid w:val="7ED54355"/>
    <w:rsid w:val="7EDB5E10"/>
    <w:rsid w:val="7EDC3936"/>
    <w:rsid w:val="7EF23159"/>
    <w:rsid w:val="7EF768DB"/>
    <w:rsid w:val="7EFB3DBC"/>
    <w:rsid w:val="7F001CE7"/>
    <w:rsid w:val="7F05482D"/>
    <w:rsid w:val="7F0F1615"/>
    <w:rsid w:val="7F1B5223"/>
    <w:rsid w:val="7F201A75"/>
    <w:rsid w:val="7F2826D7"/>
    <w:rsid w:val="7F364DF4"/>
    <w:rsid w:val="7F36703F"/>
    <w:rsid w:val="7F370B6C"/>
    <w:rsid w:val="7F3C6183"/>
    <w:rsid w:val="7F4514DB"/>
    <w:rsid w:val="7F461EDE"/>
    <w:rsid w:val="7F5434CC"/>
    <w:rsid w:val="7F5F091F"/>
    <w:rsid w:val="7F673200"/>
    <w:rsid w:val="7F67348F"/>
    <w:rsid w:val="7F6D458E"/>
    <w:rsid w:val="7F6E4F1D"/>
    <w:rsid w:val="7F78540D"/>
    <w:rsid w:val="7F802513"/>
    <w:rsid w:val="7F8645D2"/>
    <w:rsid w:val="7F961D37"/>
    <w:rsid w:val="7F98785D"/>
    <w:rsid w:val="7F9F5DEF"/>
    <w:rsid w:val="7FA10C99"/>
    <w:rsid w:val="7FA206DC"/>
    <w:rsid w:val="7FAF2DF8"/>
    <w:rsid w:val="7FB6091C"/>
    <w:rsid w:val="7FB83A5B"/>
    <w:rsid w:val="7FB87EFF"/>
    <w:rsid w:val="7FC248DA"/>
    <w:rsid w:val="7FC807CB"/>
    <w:rsid w:val="7FCF6FF7"/>
    <w:rsid w:val="7FD10FC1"/>
    <w:rsid w:val="7FD777B6"/>
    <w:rsid w:val="7FDD1807"/>
    <w:rsid w:val="7FE47E50"/>
    <w:rsid w:val="7FF56A5D"/>
    <w:rsid w:val="7FF802F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1"/>
    <w:next w:val="1"/>
    <w:unhideWhenUsed/>
    <w:qFormat/>
    <w:uiPriority w:val="0"/>
    <w:pPr>
      <w:keepNext/>
      <w:keepLines/>
      <w:spacing w:before="260" w:after="260" w:line="413" w:lineRule="auto"/>
      <w:outlineLvl w:val="1"/>
    </w:pPr>
    <w:rPr>
      <w:rFonts w:ascii="宋体" w:hAnsi="宋体" w:eastAsia="Arial"/>
      <w:b/>
      <w:sz w:val="32"/>
    </w:rPr>
  </w:style>
  <w:style w:type="paragraph" w:styleId="7">
    <w:name w:val="heading 3"/>
    <w:basedOn w:val="1"/>
    <w:next w:val="1"/>
    <w:link w:val="40"/>
    <w:unhideWhenUsed/>
    <w:qFormat/>
    <w:uiPriority w:val="0"/>
    <w:pPr>
      <w:keepNext/>
      <w:keepLines/>
      <w:spacing w:before="120" w:beforeLines="0" w:after="120" w:afterLines="0"/>
      <w:outlineLvl w:val="2"/>
    </w:pPr>
    <w:rPr>
      <w:rFonts w:hint="eastAsia"/>
      <w:b/>
      <w:sz w:val="26"/>
    </w:rPr>
  </w:style>
  <w:style w:type="paragraph" w:styleId="8">
    <w:name w:val="heading 4"/>
    <w:basedOn w:val="1"/>
    <w:next w:val="1"/>
    <w:unhideWhenUsed/>
    <w:qFormat/>
    <w:uiPriority w:val="0"/>
    <w:pPr>
      <w:numPr>
        <w:ilvl w:val="3"/>
        <w:numId w:val="1"/>
      </w:numPr>
      <w:ind w:firstLineChars="0"/>
      <w:jc w:val="left"/>
      <w:outlineLvl w:val="3"/>
    </w:pPr>
    <w:rPr>
      <w:bCs/>
      <w:sz w:val="24"/>
      <w:szCs w:val="26"/>
    </w:rPr>
  </w:style>
  <w:style w:type="character" w:default="1" w:styleId="34">
    <w:name w:val="Default Paragraph Font"/>
    <w:semiHidden/>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120"/>
      <w:ind w:left="420" w:leftChars="200" w:firstLine="420"/>
    </w:pPr>
  </w:style>
  <w:style w:type="paragraph" w:styleId="3">
    <w:name w:val="Body Text Indent"/>
    <w:basedOn w:val="1"/>
    <w:next w:val="4"/>
    <w:link w:val="41"/>
    <w:qFormat/>
    <w:uiPriority w:val="0"/>
    <w:pPr>
      <w:spacing w:after="120"/>
      <w:ind w:left="420" w:leftChars="200"/>
    </w:pPr>
    <w:rPr>
      <w:kern w:val="0"/>
      <w:sz w:val="24"/>
      <w:szCs w:val="20"/>
    </w:rPr>
  </w:style>
  <w:style w:type="paragraph" w:styleId="4">
    <w:name w:val="Body Text"/>
    <w:basedOn w:val="1"/>
    <w:link w:val="42"/>
    <w:qFormat/>
    <w:uiPriority w:val="0"/>
    <w:pPr>
      <w:widowControl/>
      <w:snapToGrid w:val="0"/>
      <w:spacing w:before="60" w:after="160" w:line="259" w:lineRule="auto"/>
      <w:ind w:right="113"/>
    </w:pPr>
    <w:rPr>
      <w:kern w:val="0"/>
      <w:sz w:val="18"/>
      <w:szCs w:val="20"/>
    </w:rPr>
  </w:style>
  <w:style w:type="paragraph" w:styleId="9">
    <w:name w:val="Normal Indent"/>
    <w:basedOn w:val="1"/>
    <w:next w:val="8"/>
    <w:qFormat/>
    <w:uiPriority w:val="0"/>
    <w:pPr>
      <w:spacing w:beforeLines="0" w:afterLines="0"/>
      <w:ind w:firstLine="200" w:firstLineChars="200"/>
    </w:pPr>
    <w:rPr>
      <w:rFonts w:hint="default"/>
      <w:sz w:val="28"/>
      <w:szCs w:val="24"/>
    </w:rPr>
  </w:style>
  <w:style w:type="paragraph" w:styleId="10">
    <w:name w:val="caption"/>
    <w:basedOn w:val="1"/>
    <w:next w:val="1"/>
    <w:unhideWhenUsed/>
    <w:qFormat/>
    <w:uiPriority w:val="0"/>
    <w:rPr>
      <w:rFonts w:ascii="Cambria" w:hAnsi="Cambria" w:eastAsia="黑体" w:cs="Times New Roman"/>
      <w:sz w:val="20"/>
      <w:szCs w:val="20"/>
    </w:rPr>
  </w:style>
  <w:style w:type="paragraph" w:styleId="11">
    <w:name w:val="index 5"/>
    <w:basedOn w:val="1"/>
    <w:next w:val="1"/>
    <w:qFormat/>
    <w:uiPriority w:val="0"/>
    <w:pPr>
      <w:ind w:left="1680" w:leftChars="800"/>
    </w:pPr>
  </w:style>
  <w:style w:type="paragraph" w:styleId="12">
    <w:name w:val="Document Map"/>
    <w:basedOn w:val="1"/>
    <w:link w:val="43"/>
    <w:qFormat/>
    <w:uiPriority w:val="0"/>
    <w:rPr>
      <w:rFonts w:ascii="宋体"/>
      <w:sz w:val="18"/>
      <w:szCs w:val="18"/>
    </w:rPr>
  </w:style>
  <w:style w:type="paragraph" w:styleId="13">
    <w:name w:val="annotation text"/>
    <w:basedOn w:val="1"/>
    <w:link w:val="44"/>
    <w:qFormat/>
    <w:uiPriority w:val="0"/>
    <w:pPr>
      <w:jc w:val="left"/>
    </w:pPr>
    <w:rPr>
      <w:kern w:val="0"/>
      <w:sz w:val="24"/>
      <w:szCs w:val="20"/>
    </w:rPr>
  </w:style>
  <w:style w:type="paragraph" w:styleId="14">
    <w:name w:val="Block Text"/>
    <w:basedOn w:val="1"/>
    <w:next w:val="1"/>
    <w:qFormat/>
    <w:uiPriority w:val="0"/>
    <w:pPr>
      <w:snapToGrid w:val="0"/>
      <w:spacing w:line="408" w:lineRule="auto"/>
      <w:ind w:left="-113" w:right="-510" w:firstLine="510"/>
    </w:pPr>
    <w:rPr>
      <w:szCs w:val="20"/>
    </w:rPr>
  </w:style>
  <w:style w:type="paragraph" w:styleId="15">
    <w:name w:val="Plain Text"/>
    <w:basedOn w:val="1"/>
    <w:qFormat/>
    <w:uiPriority w:val="0"/>
    <w:rPr>
      <w:rFonts w:ascii="仿宋_GB2312" w:hAnsi="仿宋_GB2312"/>
      <w:sz w:val="20"/>
    </w:rPr>
  </w:style>
  <w:style w:type="paragraph" w:styleId="16">
    <w:name w:val="Date"/>
    <w:basedOn w:val="1"/>
    <w:next w:val="1"/>
    <w:link w:val="45"/>
    <w:qFormat/>
    <w:uiPriority w:val="0"/>
    <w:pPr>
      <w:ind w:left="100" w:leftChars="2500"/>
    </w:pPr>
    <w:rPr>
      <w:kern w:val="0"/>
      <w:sz w:val="24"/>
      <w:szCs w:val="20"/>
    </w:rPr>
  </w:style>
  <w:style w:type="paragraph" w:styleId="17">
    <w:name w:val="Body Text Indent 2"/>
    <w:basedOn w:val="18"/>
    <w:next w:val="1"/>
    <w:qFormat/>
    <w:uiPriority w:val="0"/>
    <w:pPr>
      <w:spacing w:line="240" w:lineRule="auto"/>
    </w:pPr>
    <w:rPr>
      <w:rFonts w:cs="Times New Roman"/>
      <w:color w:val="000000"/>
      <w:sz w:val="28"/>
      <w:szCs w:val="28"/>
    </w:rPr>
  </w:style>
  <w:style w:type="paragraph" w:customStyle="1" w:styleId="18">
    <w:name w:val="表头"/>
    <w:basedOn w:val="19"/>
    <w:next w:val="1"/>
    <w:qFormat/>
    <w:uiPriority w:val="0"/>
    <w:pPr>
      <w:keepNext/>
      <w:ind w:firstLine="0" w:firstLineChars="0"/>
      <w:jc w:val="center"/>
    </w:pPr>
    <w:rPr>
      <w:rFonts w:ascii="Times New Roman" w:hAnsi="Times New Roman" w:cs="Times New Roman"/>
      <w:b/>
      <w:sz w:val="24"/>
      <w:szCs w:val="24"/>
    </w:rPr>
  </w:style>
  <w:style w:type="paragraph" w:customStyle="1" w:styleId="19">
    <w:name w:val="文本"/>
    <w:basedOn w:val="1"/>
    <w:next w:val="1"/>
    <w:qFormat/>
    <w:uiPriority w:val="0"/>
    <w:pPr>
      <w:ind w:firstLine="420" w:firstLineChars="200"/>
    </w:pPr>
  </w:style>
  <w:style w:type="paragraph" w:styleId="20">
    <w:name w:val="Balloon Text"/>
    <w:basedOn w:val="1"/>
    <w:link w:val="46"/>
    <w:qFormat/>
    <w:uiPriority w:val="0"/>
    <w:rPr>
      <w:kern w:val="0"/>
      <w:sz w:val="18"/>
      <w:szCs w:val="20"/>
    </w:rPr>
  </w:style>
  <w:style w:type="paragraph" w:styleId="21">
    <w:name w:val="footer"/>
    <w:basedOn w:val="1"/>
    <w:link w:val="47"/>
    <w:qFormat/>
    <w:uiPriority w:val="0"/>
    <w:pPr>
      <w:tabs>
        <w:tab w:val="center" w:pos="4153"/>
        <w:tab w:val="right" w:pos="8306"/>
      </w:tabs>
      <w:snapToGrid w:val="0"/>
      <w:jc w:val="left"/>
    </w:pPr>
    <w:rPr>
      <w:kern w:val="0"/>
      <w:sz w:val="18"/>
      <w:szCs w:val="20"/>
    </w:rPr>
  </w:style>
  <w:style w:type="paragraph" w:styleId="22">
    <w:name w:val="header"/>
    <w:basedOn w:val="1"/>
    <w:link w:val="48"/>
    <w:qFormat/>
    <w:uiPriority w:val="0"/>
    <w:pPr>
      <w:pBdr>
        <w:bottom w:val="single" w:color="auto" w:sz="6" w:space="1"/>
      </w:pBdr>
      <w:tabs>
        <w:tab w:val="center" w:pos="4153"/>
        <w:tab w:val="right" w:pos="8306"/>
      </w:tabs>
      <w:snapToGrid w:val="0"/>
      <w:jc w:val="center"/>
    </w:pPr>
    <w:rPr>
      <w:kern w:val="0"/>
      <w:sz w:val="18"/>
      <w:szCs w:val="20"/>
    </w:rPr>
  </w:style>
  <w:style w:type="paragraph" w:styleId="23">
    <w:name w:val="toc 1"/>
    <w:basedOn w:val="1"/>
    <w:next w:val="1"/>
    <w:qFormat/>
    <w:uiPriority w:val="0"/>
  </w:style>
  <w:style w:type="paragraph" w:styleId="24">
    <w:name w:val="index heading"/>
    <w:basedOn w:val="1"/>
    <w:next w:val="25"/>
    <w:qFormat/>
    <w:uiPriority w:val="0"/>
    <w:pPr>
      <w:widowControl w:val="0"/>
      <w:jc w:val="both"/>
    </w:pPr>
    <w:rPr>
      <w:rFonts w:ascii="Arial" w:hAnsi="Arial" w:eastAsia="宋体"/>
      <w:b/>
      <w:kern w:val="2"/>
      <w:sz w:val="21"/>
      <w:lang w:val="en-US" w:eastAsia="zh-CN" w:bidi="ar-SA"/>
    </w:rPr>
  </w:style>
  <w:style w:type="paragraph" w:styleId="25">
    <w:name w:val="index 1"/>
    <w:basedOn w:val="1"/>
    <w:next w:val="1"/>
    <w:qFormat/>
    <w:uiPriority w:val="0"/>
    <w:pPr>
      <w:spacing w:line="360" w:lineRule="auto"/>
      <w:jc w:val="center"/>
    </w:pPr>
    <w:rPr>
      <w:szCs w:val="24"/>
    </w:rPr>
  </w:style>
  <w:style w:type="paragraph" w:styleId="26">
    <w:name w:val="toc 2"/>
    <w:basedOn w:val="1"/>
    <w:next w:val="1"/>
    <w:qFormat/>
    <w:uiPriority w:val="0"/>
    <w:pPr>
      <w:ind w:left="280"/>
      <w:jc w:val="left"/>
    </w:pPr>
    <w:rPr>
      <w:smallCaps/>
      <w:snapToGrid w:val="0"/>
      <w:kern w:val="0"/>
      <w:sz w:val="20"/>
    </w:rPr>
  </w:style>
  <w:style w:type="paragraph" w:styleId="27">
    <w:name w:val="toc 9"/>
    <w:basedOn w:val="1"/>
    <w:next w:val="1"/>
    <w:qFormat/>
    <w:uiPriority w:val="0"/>
    <w:pPr>
      <w:wordWrap w:val="0"/>
      <w:spacing w:line="240" w:lineRule="auto"/>
      <w:ind w:left="2975"/>
    </w:pPr>
    <w:rPr>
      <w:rFonts w:cs="Times New Roman"/>
      <w:sz w:val="21"/>
      <w:szCs w:val="22"/>
    </w:rPr>
  </w:style>
  <w:style w:type="paragraph" w:styleId="28">
    <w:name w:val="Message Header"/>
    <w:basedOn w:val="1"/>
    <w:qFormat/>
    <w:uiPriority w:val="0"/>
    <w:pPr>
      <w:widowControl/>
      <w:pBdr>
        <w:top w:val="single" w:color="auto" w:sz="6" w:space="1"/>
        <w:left w:val="single" w:color="auto" w:sz="6" w:space="1"/>
        <w:bottom w:val="single" w:color="auto" w:sz="6" w:space="1"/>
        <w:right w:val="single" w:color="auto" w:sz="6" w:space="1"/>
      </w:pBdr>
      <w:shd w:val="pct20" w:color="auto" w:fill="auto"/>
      <w:spacing w:line="520" w:lineRule="exact"/>
      <w:ind w:left="1080" w:leftChars="500" w:hanging="1080" w:hangingChars="500"/>
    </w:pPr>
    <w:rPr>
      <w:rFonts w:ascii="Arial" w:hAnsi="Arial" w:cs="Arial"/>
      <w:bCs/>
      <w:kern w:val="0"/>
      <w:sz w:val="24"/>
    </w:rPr>
  </w:style>
  <w:style w:type="paragraph" w:styleId="29">
    <w:name w:val="Normal (Web)"/>
    <w:basedOn w:val="1"/>
    <w:link w:val="49"/>
    <w:qFormat/>
    <w:uiPriority w:val="0"/>
    <w:pPr>
      <w:widowControl/>
      <w:spacing w:before="100" w:beforeAutospacing="1" w:after="100" w:afterAutospacing="1"/>
      <w:jc w:val="left"/>
    </w:pPr>
    <w:rPr>
      <w:rFonts w:ascii="宋体" w:hAnsi="宋体"/>
      <w:kern w:val="0"/>
      <w:sz w:val="24"/>
      <w:szCs w:val="20"/>
    </w:rPr>
  </w:style>
  <w:style w:type="paragraph" w:styleId="30">
    <w:name w:val="Title"/>
    <w:basedOn w:val="1"/>
    <w:qFormat/>
    <w:uiPriority w:val="0"/>
    <w:pPr>
      <w:spacing w:before="240" w:beforeLines="0" w:beforeAutospacing="0" w:after="60" w:afterLines="0" w:afterAutospacing="0"/>
      <w:jc w:val="center"/>
      <w:outlineLvl w:val="0"/>
    </w:pPr>
    <w:rPr>
      <w:rFonts w:ascii="Arial" w:hAnsi="Arial" w:eastAsia="宋体" w:cs="Times New Roman"/>
      <w:b/>
      <w:sz w:val="32"/>
    </w:rPr>
  </w:style>
  <w:style w:type="paragraph" w:styleId="31">
    <w:name w:val="annotation subject"/>
    <w:basedOn w:val="13"/>
    <w:next w:val="13"/>
    <w:link w:val="50"/>
    <w:qFormat/>
    <w:uiPriority w:val="0"/>
    <w:rPr>
      <w:b/>
      <w:kern w:val="2"/>
    </w:rPr>
  </w:style>
  <w:style w:type="table" w:styleId="33">
    <w:name w:val="Table Grid"/>
    <w:basedOn w:val="32"/>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0"/>
    <w:rPr>
      <w:rFonts w:ascii="Times New Roman" w:hAnsi="Times New Roman" w:eastAsia="宋体" w:cs="Times New Roman"/>
      <w:b/>
      <w:bCs/>
    </w:rPr>
  </w:style>
  <w:style w:type="character" w:styleId="36">
    <w:name w:val="page number"/>
    <w:basedOn w:val="34"/>
    <w:qFormat/>
    <w:uiPriority w:val="0"/>
  </w:style>
  <w:style w:type="character" w:styleId="37">
    <w:name w:val="Hyperlink"/>
    <w:basedOn w:val="34"/>
    <w:qFormat/>
    <w:uiPriority w:val="0"/>
    <w:rPr>
      <w:color w:val="0000FF"/>
      <w:u w:val="single"/>
    </w:rPr>
  </w:style>
  <w:style w:type="character" w:styleId="38">
    <w:name w:val="annotation reference"/>
    <w:qFormat/>
    <w:uiPriority w:val="0"/>
    <w:rPr>
      <w:sz w:val="21"/>
    </w:rPr>
  </w:style>
  <w:style w:type="paragraph" w:customStyle="1" w:styleId="39">
    <w:name w:val="标题 3级"/>
    <w:qFormat/>
    <w:uiPriority w:val="0"/>
    <w:pPr>
      <w:keepNext/>
      <w:keepLines/>
      <w:spacing w:line="360" w:lineRule="auto"/>
      <w:jc w:val="both"/>
      <w:outlineLvl w:val="2"/>
    </w:pPr>
    <w:rPr>
      <w:rFonts w:ascii="Times New Roman" w:hAnsi="Times New Roman" w:eastAsia="仿宋_GB2312" w:cs="Times New Roman"/>
      <w:b/>
      <w:bCs/>
      <w:sz w:val="28"/>
      <w:szCs w:val="28"/>
      <w:lang w:val="en-US" w:eastAsia="zh-CN" w:bidi="ar-SA"/>
    </w:rPr>
  </w:style>
  <w:style w:type="character" w:customStyle="1" w:styleId="40">
    <w:name w:val="标题 3 字符"/>
    <w:link w:val="7"/>
    <w:qFormat/>
    <w:uiPriority w:val="0"/>
    <w:rPr>
      <w:rFonts w:hint="eastAsia"/>
      <w:b/>
      <w:sz w:val="26"/>
    </w:rPr>
  </w:style>
  <w:style w:type="character" w:customStyle="1" w:styleId="41">
    <w:name w:val="正文文本缩进 Char"/>
    <w:link w:val="3"/>
    <w:semiHidden/>
    <w:qFormat/>
    <w:locked/>
    <w:uiPriority w:val="0"/>
    <w:rPr>
      <w:rFonts w:ascii="Times New Roman" w:hAnsi="Times New Roman" w:eastAsia="宋体"/>
      <w:sz w:val="24"/>
    </w:rPr>
  </w:style>
  <w:style w:type="character" w:customStyle="1" w:styleId="42">
    <w:name w:val="正文文本 Char"/>
    <w:link w:val="4"/>
    <w:qFormat/>
    <w:locked/>
    <w:uiPriority w:val="0"/>
    <w:rPr>
      <w:sz w:val="18"/>
    </w:rPr>
  </w:style>
  <w:style w:type="character" w:customStyle="1" w:styleId="43">
    <w:name w:val="文档结构图 Char"/>
    <w:basedOn w:val="34"/>
    <w:link w:val="12"/>
    <w:qFormat/>
    <w:uiPriority w:val="0"/>
    <w:rPr>
      <w:rFonts w:ascii="宋体"/>
      <w:kern w:val="2"/>
      <w:sz w:val="18"/>
      <w:szCs w:val="18"/>
    </w:rPr>
  </w:style>
  <w:style w:type="character" w:customStyle="1" w:styleId="44">
    <w:name w:val="批注文字 Char"/>
    <w:link w:val="13"/>
    <w:qFormat/>
    <w:locked/>
    <w:uiPriority w:val="0"/>
    <w:rPr>
      <w:rFonts w:ascii="Times New Roman" w:hAnsi="Times New Roman" w:eastAsia="宋体"/>
      <w:sz w:val="24"/>
    </w:rPr>
  </w:style>
  <w:style w:type="character" w:customStyle="1" w:styleId="45">
    <w:name w:val="日期 Char"/>
    <w:link w:val="16"/>
    <w:qFormat/>
    <w:locked/>
    <w:uiPriority w:val="0"/>
    <w:rPr>
      <w:rFonts w:ascii="Times New Roman" w:hAnsi="Times New Roman" w:eastAsia="宋体"/>
      <w:sz w:val="24"/>
    </w:rPr>
  </w:style>
  <w:style w:type="character" w:customStyle="1" w:styleId="46">
    <w:name w:val="批注框文本 Char"/>
    <w:link w:val="20"/>
    <w:semiHidden/>
    <w:qFormat/>
    <w:locked/>
    <w:uiPriority w:val="0"/>
    <w:rPr>
      <w:rFonts w:ascii="Times New Roman" w:hAnsi="Times New Roman" w:eastAsia="宋体"/>
      <w:sz w:val="18"/>
    </w:rPr>
  </w:style>
  <w:style w:type="character" w:customStyle="1" w:styleId="47">
    <w:name w:val="页脚 Char"/>
    <w:link w:val="21"/>
    <w:qFormat/>
    <w:locked/>
    <w:uiPriority w:val="99"/>
    <w:rPr>
      <w:sz w:val="18"/>
    </w:rPr>
  </w:style>
  <w:style w:type="character" w:customStyle="1" w:styleId="48">
    <w:name w:val="页眉 Char"/>
    <w:link w:val="22"/>
    <w:qFormat/>
    <w:locked/>
    <w:uiPriority w:val="0"/>
    <w:rPr>
      <w:sz w:val="18"/>
    </w:rPr>
  </w:style>
  <w:style w:type="character" w:customStyle="1" w:styleId="49">
    <w:name w:val="普通(网站) Char"/>
    <w:link w:val="29"/>
    <w:qFormat/>
    <w:locked/>
    <w:uiPriority w:val="0"/>
    <w:rPr>
      <w:rFonts w:ascii="宋体" w:hAnsi="宋体" w:eastAsia="宋体"/>
      <w:sz w:val="24"/>
    </w:rPr>
  </w:style>
  <w:style w:type="character" w:customStyle="1" w:styleId="50">
    <w:name w:val="批注主题 Char"/>
    <w:link w:val="31"/>
    <w:semiHidden/>
    <w:qFormat/>
    <w:locked/>
    <w:uiPriority w:val="0"/>
    <w:rPr>
      <w:rFonts w:ascii="Times New Roman" w:hAnsi="Times New Roman" w:eastAsia="宋体"/>
      <w:b/>
      <w:kern w:val="2"/>
      <w:sz w:val="24"/>
    </w:rPr>
  </w:style>
  <w:style w:type="paragraph" w:customStyle="1" w:styleId="51">
    <w:name w:val="表格"/>
    <w:basedOn w:val="9"/>
    <w:next w:val="1"/>
    <w:link w:val="52"/>
    <w:qFormat/>
    <w:uiPriority w:val="0"/>
    <w:pPr>
      <w:adjustRightInd w:val="0"/>
      <w:snapToGrid w:val="0"/>
      <w:spacing w:beforeLines="10" w:afterLines="10" w:line="259" w:lineRule="auto"/>
      <w:jc w:val="center"/>
    </w:pPr>
    <w:rPr>
      <w:rFonts w:ascii="宋体"/>
      <w:kern w:val="0"/>
      <w:sz w:val="21"/>
      <w:szCs w:val="20"/>
    </w:rPr>
  </w:style>
  <w:style w:type="character" w:customStyle="1" w:styleId="52">
    <w:name w:val="表格 Char"/>
    <w:link w:val="51"/>
    <w:qFormat/>
    <w:locked/>
    <w:uiPriority w:val="0"/>
    <w:rPr>
      <w:rFonts w:ascii="宋体"/>
      <w:sz w:val="21"/>
    </w:rPr>
  </w:style>
  <w:style w:type="paragraph" w:customStyle="1" w:styleId="53">
    <w:name w:val=" Char Char1 Char"/>
    <w:basedOn w:val="1"/>
    <w:unhideWhenUsed/>
    <w:qFormat/>
    <w:uiPriority w:val="0"/>
    <w:pPr>
      <w:spacing w:beforeLines="0" w:afterLines="0" w:line="360" w:lineRule="auto"/>
      <w:ind w:firstLine="200" w:firstLineChars="200"/>
    </w:pPr>
    <w:rPr>
      <w:rFonts w:hint="eastAsia" w:ascii="宋体" w:hAnsi="宋体" w:eastAsia="宋体" w:cs="宋体"/>
      <w:sz w:val="24"/>
      <w:szCs w:val="24"/>
    </w:rPr>
  </w:style>
  <w:style w:type="paragraph" w:customStyle="1" w:styleId="54">
    <w:name w:val="1-表内"/>
    <w:basedOn w:val="1"/>
    <w:qFormat/>
    <w:uiPriority w:val="0"/>
    <w:pPr>
      <w:tabs>
        <w:tab w:val="left" w:pos="3960"/>
      </w:tabs>
      <w:spacing w:line="240" w:lineRule="auto"/>
      <w:ind w:firstLine="0" w:firstLineChars="0"/>
      <w:jc w:val="center"/>
    </w:pPr>
    <w:rPr>
      <w:rFonts w:ascii="Times New Roman" w:hAnsi="Times New Roman"/>
      <w:sz w:val="21"/>
      <w:szCs w:val="21"/>
    </w:rPr>
  </w:style>
  <w:style w:type="paragraph" w:customStyle="1" w:styleId="55">
    <w:name w:val="Body Text 2_050de59c-084d-4175-9105-ef8c1c28e700"/>
    <w:basedOn w:val="1"/>
    <w:qFormat/>
    <w:uiPriority w:val="0"/>
    <w:pPr>
      <w:spacing w:after="120" w:line="480" w:lineRule="auto"/>
    </w:pPr>
  </w:style>
  <w:style w:type="paragraph" w:customStyle="1" w:styleId="56">
    <w:name w:val="Default"/>
    <w:basedOn w:val="5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7">
    <w:name w:val="标题2"/>
    <w:basedOn w:val="1"/>
    <w:qFormat/>
    <w:uiPriority w:val="0"/>
    <w:rPr>
      <w:rFonts w:ascii="宋体" w:hAnsi="宋体"/>
      <w:b/>
      <w:kern w:val="0"/>
      <w:sz w:val="24"/>
      <w:szCs w:val="24"/>
    </w:rPr>
  </w:style>
  <w:style w:type="paragraph" w:customStyle="1" w:styleId="58">
    <w:name w:val="纯文本1"/>
    <w:basedOn w:val="1"/>
    <w:qFormat/>
    <w:uiPriority w:val="0"/>
    <w:pPr>
      <w:adjustRightInd w:val="0"/>
    </w:pPr>
    <w:rPr>
      <w:rFonts w:ascii="宋体" w:hAnsi="Courier New"/>
      <w:szCs w:val="20"/>
    </w:rPr>
  </w:style>
  <w:style w:type="paragraph" w:customStyle="1" w:styleId="59">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60">
    <w:name w:val="样式35"/>
    <w:basedOn w:val="1"/>
    <w:next w:val="1"/>
    <w:qFormat/>
    <w:uiPriority w:val="0"/>
    <w:pPr>
      <w:spacing w:line="312" w:lineRule="auto"/>
      <w:ind w:firstLine="567"/>
    </w:pPr>
    <w:rPr>
      <w:rFonts w:ascii="宋体"/>
      <w:sz w:val="28"/>
    </w:rPr>
  </w:style>
  <w:style w:type="character" w:customStyle="1" w:styleId="61">
    <w:name w:val="页脚 字符"/>
    <w:basedOn w:val="34"/>
    <w:qFormat/>
    <w:uiPriority w:val="99"/>
  </w:style>
  <w:style w:type="character" w:customStyle="1" w:styleId="62">
    <w:name w:val="正文文本 字符1"/>
    <w:semiHidden/>
    <w:qFormat/>
    <w:uiPriority w:val="0"/>
    <w:rPr>
      <w:rFonts w:ascii="Times New Roman" w:hAnsi="Times New Roman" w:eastAsia="宋体"/>
      <w:sz w:val="24"/>
    </w:rPr>
  </w:style>
  <w:style w:type="character" w:customStyle="1" w:styleId="63">
    <w:name w:val="日期 字符"/>
    <w:semiHidden/>
    <w:qFormat/>
    <w:uiPriority w:val="0"/>
    <w:rPr>
      <w:rFonts w:ascii="Times New Roman" w:hAnsi="Times New Roman" w:eastAsia="宋体"/>
      <w:sz w:val="24"/>
    </w:rPr>
  </w:style>
  <w:style w:type="character" w:customStyle="1" w:styleId="64">
    <w:name w:val="批注文字 字符1"/>
    <w:semiHidden/>
    <w:qFormat/>
    <w:uiPriority w:val="0"/>
    <w:rPr>
      <w:rFonts w:ascii="Times New Roman" w:hAnsi="Times New Roman" w:eastAsia="宋体"/>
      <w:sz w:val="24"/>
    </w:rPr>
  </w:style>
  <w:style w:type="paragraph" w:customStyle="1" w:styleId="65">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7">
    <w:name w:val="表格内容"/>
    <w:basedOn w:val="1"/>
    <w:next w:val="1"/>
    <w:qFormat/>
    <w:uiPriority w:val="0"/>
    <w:pPr>
      <w:spacing w:line="240" w:lineRule="auto"/>
      <w:ind w:firstLine="0" w:firstLineChars="0"/>
      <w:jc w:val="center"/>
    </w:pPr>
    <w:rPr>
      <w:bCs/>
      <w:sz w:val="21"/>
    </w:rPr>
  </w:style>
  <w:style w:type="character" w:customStyle="1" w:styleId="68">
    <w:name w:val="font21"/>
    <w:basedOn w:val="34"/>
    <w:qFormat/>
    <w:uiPriority w:val="0"/>
    <w:rPr>
      <w:rFonts w:hint="eastAsia" w:ascii="宋体" w:hAnsi="宋体" w:eastAsia="宋体" w:cs="宋体"/>
      <w:color w:val="000000"/>
      <w:sz w:val="21"/>
      <w:szCs w:val="21"/>
      <w:u w:val="none"/>
    </w:rPr>
  </w:style>
  <w:style w:type="character" w:customStyle="1" w:styleId="69">
    <w:name w:val="font11"/>
    <w:basedOn w:val="34"/>
    <w:qFormat/>
    <w:uiPriority w:val="0"/>
    <w:rPr>
      <w:rFonts w:hint="eastAsia" w:ascii="宋体" w:hAnsi="宋体" w:eastAsia="宋体" w:cs="宋体"/>
      <w:color w:val="000000"/>
      <w:sz w:val="21"/>
      <w:szCs w:val="21"/>
      <w:u w:val="none"/>
    </w:rPr>
  </w:style>
  <w:style w:type="character" w:customStyle="1" w:styleId="70">
    <w:name w:val="fontstyle01"/>
    <w:basedOn w:val="34"/>
    <w:qFormat/>
    <w:uiPriority w:val="0"/>
    <w:rPr>
      <w:rFonts w:hint="eastAsia" w:ascii="宋体" w:hAnsi="宋体" w:eastAsia="宋体"/>
      <w:color w:val="000000"/>
      <w:sz w:val="24"/>
      <w:szCs w:val="24"/>
    </w:rPr>
  </w:style>
  <w:style w:type="paragraph" w:customStyle="1" w:styleId="71">
    <w:name w:val="表内"/>
    <w:basedOn w:val="26"/>
    <w:qFormat/>
    <w:uiPriority w:val="0"/>
    <w:pPr>
      <w:tabs>
        <w:tab w:val="right" w:leader="dot" w:pos="8296"/>
      </w:tabs>
      <w:ind w:left="0"/>
      <w:jc w:val="center"/>
    </w:pPr>
    <w:rPr>
      <w:rFonts w:eastAsia="宋体"/>
      <w:smallCaps w:val="0"/>
      <w:sz w:val="21"/>
      <w:szCs w:val="21"/>
    </w:rPr>
  </w:style>
  <w:style w:type="paragraph" w:customStyle="1" w:styleId="72">
    <w:name w:val="Normal (Web)"/>
    <w:basedOn w:val="1"/>
    <w:qFormat/>
    <w:uiPriority w:val="0"/>
    <w:pPr>
      <w:widowControl/>
      <w:spacing w:before="100" w:beforeAutospacing="1" w:after="100" w:afterAutospacing="1"/>
      <w:jc w:val="left"/>
    </w:pPr>
    <w:rPr>
      <w:rFonts w:hint="eastAsia" w:ascii="宋体" w:hAnsi="宋体"/>
      <w:sz w:val="24"/>
    </w:rPr>
  </w:style>
  <w:style w:type="paragraph" w:customStyle="1" w:styleId="73">
    <w:name w:val="报告书正文"/>
    <w:basedOn w:val="1"/>
    <w:next w:val="1"/>
    <w:qFormat/>
    <w:uiPriority w:val="0"/>
    <w:pPr>
      <w:adjustRightInd w:val="0"/>
      <w:snapToGrid w:val="0"/>
      <w:spacing w:line="360" w:lineRule="auto"/>
      <w:ind w:firstLine="480" w:firstLineChars="200"/>
    </w:pPr>
    <w:rPr>
      <w:rFonts w:hAnsi="宋体"/>
      <w:color w:val="000000"/>
      <w:sz w:val="24"/>
    </w:rPr>
  </w:style>
  <w:style w:type="paragraph" w:customStyle="1" w:styleId="74">
    <w:name w:val="Table Paragraph"/>
    <w:basedOn w:val="1"/>
    <w:qFormat/>
    <w:uiPriority w:val="1"/>
    <w:pPr>
      <w:widowControl w:val="0"/>
    </w:pPr>
    <w:rPr>
      <w:rFonts w:ascii="Calibri" w:hAnsi="Calibri"/>
      <w:kern w:val="0"/>
      <w:sz w:val="22"/>
      <w:szCs w:val="22"/>
    </w:rPr>
  </w:style>
  <w:style w:type="paragraph" w:customStyle="1" w:styleId="75">
    <w:name w:val="00000"/>
    <w:basedOn w:val="1"/>
    <w:qFormat/>
    <w:uiPriority w:val="0"/>
    <w:pPr>
      <w:numPr>
        <w:ilvl w:val="0"/>
        <w:numId w:val="2"/>
      </w:numPr>
      <w:spacing w:before="50" w:beforeLines="50"/>
      <w:ind w:left="420"/>
      <w:jc w:val="center"/>
      <w:outlineLvl w:val="2"/>
    </w:pPr>
    <w:rPr>
      <w:b/>
      <w:bCs/>
    </w:rPr>
  </w:style>
  <w:style w:type="paragraph" w:customStyle="1" w:styleId="76">
    <w:name w:val="+正文"/>
    <w:basedOn w:val="1"/>
    <w:qFormat/>
    <w:uiPriority w:val="0"/>
    <w:pPr>
      <w:adjustRightInd w:val="0"/>
      <w:snapToGrid w:val="0"/>
    </w:pPr>
    <w:rPr>
      <w:sz w:val="24"/>
      <w:szCs w:val="28"/>
    </w:rPr>
  </w:style>
  <w:style w:type="paragraph" w:customStyle="1" w:styleId="77">
    <w:name w:val="中祥表格内容"/>
    <w:basedOn w:val="1"/>
    <w:qFormat/>
    <w:uiPriority w:val="0"/>
    <w:pPr>
      <w:spacing w:line="240" w:lineRule="auto"/>
      <w:ind w:firstLine="0" w:firstLineChars="0"/>
      <w:jc w:val="center"/>
    </w:pPr>
    <w:rPr>
      <w:rFonts w:ascii="Times New Roman" w:hAnsi="Times New Roman" w:eastAsia="宋体" w:cs="Times New Roman"/>
      <w:kern w:val="0"/>
      <w:sz w:val="21"/>
      <w:szCs w:val="21"/>
    </w:rPr>
  </w:style>
  <w:style w:type="paragraph" w:customStyle="1" w:styleId="78">
    <w:name w:val="表内 定"/>
    <w:basedOn w:val="1"/>
    <w:qFormat/>
    <w:uiPriority w:val="0"/>
    <w:rPr>
      <w:rFonts w:cs="Times New Roman"/>
      <w:color w:val="000000"/>
    </w:rPr>
  </w:style>
  <w:style w:type="paragraph" w:customStyle="1" w:styleId="79">
    <w:name w:val="WPSOffice手动目录 1"/>
    <w:qFormat/>
    <w:uiPriority w:val="0"/>
    <w:rPr>
      <w:rFonts w:ascii="Times New Roman" w:hAnsi="Times New Roman" w:eastAsia="宋体" w:cs="Times New Roman"/>
      <w:lang w:val="en-US" w:eastAsia="zh-CN" w:bidi="ar-SA"/>
    </w:rPr>
  </w:style>
  <w:style w:type="paragraph" w:customStyle="1" w:styleId="80">
    <w:name w:val="正"/>
    <w:basedOn w:val="1"/>
    <w:unhideWhenUsed/>
    <w:qFormat/>
    <w:uiPriority w:val="0"/>
    <w:pPr>
      <w:adjustRightInd w:val="0"/>
      <w:spacing w:beforeLines="0" w:afterLines="0" w:line="360" w:lineRule="auto"/>
      <w:ind w:left="23" w:leftChars="11" w:firstLine="480" w:firstLineChars="200"/>
    </w:pPr>
    <w:rPr>
      <w:rFonts w:hint="default"/>
      <w:sz w:val="24"/>
      <w:szCs w:val="24"/>
    </w:rPr>
  </w:style>
  <w:style w:type="paragraph" w:customStyle="1" w:styleId="81">
    <w:name w:val="5正文"/>
    <w:unhideWhenUsed/>
    <w:qFormat/>
    <w:uiPriority w:val="0"/>
    <w:pPr>
      <w:widowControl w:val="0"/>
      <w:spacing w:line="520" w:lineRule="exact"/>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82">
    <w:name w:val="7表格内容"/>
    <w:basedOn w:val="1"/>
    <w:next w:val="81"/>
    <w:unhideWhenUsed/>
    <w:qFormat/>
    <w:uiPriority w:val="0"/>
    <w:pPr>
      <w:adjustRightInd w:val="0"/>
      <w:snapToGrid w:val="0"/>
      <w:spacing w:beforeLines="0" w:afterLines="0" w:line="360" w:lineRule="atLeast"/>
      <w:jc w:val="center"/>
      <w:textAlignment w:val="baseline"/>
    </w:pPr>
    <w:rPr>
      <w:rFonts w:hint="default"/>
      <w:sz w:val="24"/>
      <w:szCs w:val="24"/>
    </w:rPr>
  </w:style>
  <w:style w:type="character" w:customStyle="1" w:styleId="83">
    <w:name w:val="22"/>
    <w:basedOn w:val="34"/>
    <w:unhideWhenUsed/>
    <w:qFormat/>
    <w:uiPriority w:val="0"/>
    <w:rPr>
      <w:rFonts w:hint="default" w:ascii="Times New Roman" w:hAnsi="Times New Roman" w:cs="Times New Roman"/>
      <w:color w:val="000000"/>
      <w:sz w:val="21"/>
      <w:szCs w:val="21"/>
    </w:rPr>
  </w:style>
  <w:style w:type="character" w:customStyle="1" w:styleId="84">
    <w:name w:val="16"/>
    <w:basedOn w:val="34"/>
    <w:unhideWhenUsed/>
    <w:qFormat/>
    <w:uiPriority w:val="0"/>
    <w:rPr>
      <w:rFonts w:hint="eastAsia"/>
      <w:color w:val="000000"/>
      <w:sz w:val="20"/>
      <w:szCs w:val="20"/>
    </w:rPr>
  </w:style>
  <w:style w:type="character" w:customStyle="1" w:styleId="85">
    <w:name w:val="17"/>
    <w:basedOn w:val="34"/>
    <w:unhideWhenUsed/>
    <w:qFormat/>
    <w:uiPriority w:val="0"/>
    <w:rPr>
      <w:rFonts w:hint="default" w:ascii="Times New Roman" w:hAnsi="Times New Roman" w:cs="Times New Roman"/>
      <w:color w:val="000000"/>
      <w:sz w:val="22"/>
      <w:szCs w:val="22"/>
      <w:vertAlign w:val="superscript"/>
    </w:rPr>
  </w:style>
  <w:style w:type="character" w:customStyle="1" w:styleId="86">
    <w:name w:val="15"/>
    <w:basedOn w:val="34"/>
    <w:unhideWhenUsed/>
    <w:qFormat/>
    <w:uiPriority w:val="0"/>
    <w:rPr>
      <w:rFonts w:hint="eastAsia"/>
      <w:color w:val="000000"/>
      <w:sz w:val="20"/>
      <w:szCs w:val="20"/>
    </w:rPr>
  </w:style>
  <w:style w:type="paragraph" w:customStyle="1" w:styleId="87">
    <w:name w:val="二级无标题条"/>
    <w:basedOn w:val="1"/>
    <w:unhideWhenUsed/>
    <w:qFormat/>
    <w:uiPriority w:val="0"/>
    <w:pPr>
      <w:spacing w:beforeLines="0" w:afterLines="0"/>
    </w:pPr>
    <w:rPr>
      <w:rFonts w:hint="default" w:ascii="宋体" w:eastAsia="宋体"/>
      <w:kern w:val="0"/>
      <w:sz w:val="21"/>
      <w:szCs w:val="20"/>
    </w:rPr>
  </w:style>
  <w:style w:type="paragraph" w:customStyle="1" w:styleId="88">
    <w:name w:val="6666666段落"/>
    <w:qFormat/>
    <w:uiPriority w:val="0"/>
    <w:pPr>
      <w:spacing w:line="360" w:lineRule="auto"/>
      <w:ind w:firstLine="720" w:firstLineChars="200"/>
      <w:jc w:val="both"/>
    </w:pPr>
    <w:rPr>
      <w:rFonts w:ascii="Times New Roman" w:hAnsi="Times New Roman" w:eastAsia="宋体" w:cs="Times New Roman"/>
      <w:sz w:val="21"/>
      <w:lang w:val="en-US" w:eastAsia="zh-CN" w:bidi="ar-SA"/>
    </w:rPr>
  </w:style>
  <w:style w:type="paragraph" w:customStyle="1" w:styleId="89">
    <w:name w:val="环评表头"/>
    <w:basedOn w:val="1"/>
    <w:qFormat/>
    <w:uiPriority w:val="0"/>
    <w:pPr>
      <w:spacing w:before="20" w:beforeLines="20" w:after="20" w:afterLines="20" w:line="240" w:lineRule="auto"/>
      <w:ind w:firstLine="0" w:firstLineChars="0"/>
      <w:jc w:val="center"/>
    </w:pPr>
    <w:rPr>
      <w:b/>
      <w:kern w:val="0"/>
      <w:sz w:val="21"/>
      <w:szCs w:val="28"/>
    </w:rPr>
  </w:style>
  <w:style w:type="paragraph" w:customStyle="1" w:styleId="90">
    <w:name w:val="表体"/>
    <w:basedOn w:val="1"/>
    <w:qFormat/>
    <w:uiPriority w:val="0"/>
    <w:pPr>
      <w:overflowPunct w:val="0"/>
      <w:spacing w:line="240" w:lineRule="auto"/>
      <w:ind w:firstLine="0" w:firstLineChars="0"/>
      <w:jc w:val="center"/>
      <w:textAlignment w:val="baseline"/>
    </w:pPr>
    <w:rPr>
      <w:color w:val="000000"/>
      <w:kern w:val="24"/>
      <w:sz w:val="21"/>
      <w:szCs w:val="20"/>
    </w:rPr>
  </w:style>
  <w:style w:type="paragraph" w:customStyle="1" w:styleId="91">
    <w:name w:val="表格啊啊"/>
    <w:basedOn w:val="1"/>
    <w:qFormat/>
    <w:uiPriority w:val="0"/>
    <w:pPr>
      <w:autoSpaceDE w:val="0"/>
      <w:autoSpaceDN w:val="0"/>
      <w:adjustRightInd w:val="0"/>
      <w:snapToGrid w:val="0"/>
      <w:spacing w:line="240" w:lineRule="auto"/>
      <w:ind w:firstLine="0" w:firstLineChars="0"/>
      <w:jc w:val="center"/>
    </w:pPr>
    <w:rPr>
      <w:rFonts w:hAnsi="宋体"/>
      <w:sz w:val="21"/>
      <w:szCs w:val="21"/>
    </w:rPr>
  </w:style>
  <w:style w:type="paragraph" w:customStyle="1" w:styleId="92">
    <w:name w:val="表格标题"/>
    <w:basedOn w:val="67"/>
    <w:next w:val="1"/>
    <w:qFormat/>
    <w:uiPriority w:val="0"/>
    <w:pPr>
      <w:spacing w:line="360" w:lineRule="auto"/>
      <w:ind w:firstLine="482" w:firstLineChars="200"/>
      <w:jc w:val="left"/>
    </w:pPr>
    <w:rPr>
      <w:rFonts w:ascii="Times New Roman" w:hAnsi="Times New Roman" w:eastAsia="仿宋" w:cs="Times New Roman"/>
      <w:b/>
      <w:sz w:val="24"/>
      <w:szCs w:val="28"/>
    </w:rPr>
  </w:style>
  <w:style w:type="paragraph" w:customStyle="1" w:styleId="93">
    <w:name w:val="LP表格-RED"/>
    <w:qFormat/>
    <w:uiPriority w:val="0"/>
    <w:pPr>
      <w:jc w:val="center"/>
    </w:pPr>
    <w:rPr>
      <w:rFonts w:ascii="方正大标宋简体" w:hAnsi="方正大标宋简体" w:eastAsia="宋体" w:cs="Times New Roman"/>
      <w:kern w:val="2"/>
      <w:sz w:val="21"/>
      <w:szCs w:val="18"/>
      <w:lang w:val="en-US" w:eastAsia="zh-CN" w:bidi="ar-SA"/>
    </w:rPr>
  </w:style>
  <w:style w:type="character" w:customStyle="1" w:styleId="94">
    <w:name w:val="font31"/>
    <w:basedOn w:val="34"/>
    <w:qFormat/>
    <w:uiPriority w:val="0"/>
    <w:rPr>
      <w:rFonts w:hint="eastAsia" w:ascii="微软雅黑" w:hAnsi="微软雅黑" w:eastAsia="微软雅黑" w:cs="微软雅黑"/>
      <w:color w:val="000000"/>
      <w:sz w:val="22"/>
      <w:szCs w:val="22"/>
      <w:u w:val="none"/>
      <w:vertAlign w:val="superscript"/>
    </w:rPr>
  </w:style>
  <w:style w:type="paragraph" w:customStyle="1" w:styleId="95">
    <w:name w:val="报告表表格文字"/>
    <w:basedOn w:val="1"/>
    <w:qFormat/>
    <w:uiPriority w:val="0"/>
    <w:pPr>
      <w:autoSpaceDE w:val="0"/>
      <w:autoSpaceDN w:val="0"/>
      <w:adjustRightInd w:val="0"/>
      <w:snapToGrid w:val="0"/>
      <w:jc w:val="center"/>
    </w:pPr>
    <w:rPr>
      <w:color w:val="000000"/>
      <w:kern w:val="0"/>
      <w:szCs w:val="21"/>
    </w:rPr>
  </w:style>
  <w:style w:type="paragraph" w:customStyle="1" w:styleId="96">
    <w:name w:val="鸿达表格文字"/>
    <w:basedOn w:val="1"/>
    <w:qFormat/>
    <w:uiPriority w:val="0"/>
    <w:pPr>
      <w:contextualSpacing/>
      <w:jc w:val="center"/>
    </w:pPr>
    <w:rPr>
      <w:rFonts w:ascii="Times New Roman" w:hAnsi="Times New Roman" w:eastAsia="宋体"/>
      <w:szCs w:val="21"/>
    </w:rPr>
  </w:style>
  <w:style w:type="paragraph" w:customStyle="1" w:styleId="97">
    <w:name w:val="正文1"/>
    <w:basedOn w:val="1"/>
    <w:qFormat/>
    <w:uiPriority w:val="0"/>
    <w:pPr>
      <w:ind w:firstLine="552"/>
    </w:pPr>
    <w:rPr>
      <w:rFonts w:ascii="楷体_GB2312" w:eastAsia="楷体_GB2312"/>
      <w:b/>
    </w:rPr>
  </w:style>
  <w:style w:type="paragraph" w:customStyle="1" w:styleId="98">
    <w:name w:val="1.正文"/>
    <w:basedOn w:val="99"/>
    <w:qFormat/>
    <w:uiPriority w:val="0"/>
    <w:pPr>
      <w:spacing w:line="460" w:lineRule="exact"/>
      <w:ind w:firstLine="480" w:firstLineChars="200"/>
    </w:pPr>
    <w:rPr>
      <w:rFonts w:cs="宋体"/>
      <w:sz w:val="24"/>
    </w:rPr>
  </w:style>
  <w:style w:type="paragraph" w:customStyle="1" w:styleId="99">
    <w:name w:val="段落"/>
    <w:basedOn w:val="15"/>
    <w:qFormat/>
    <w:uiPriority w:val="0"/>
    <w:pPr>
      <w:spacing w:line="500" w:lineRule="exact"/>
      <w:ind w:firstLine="578"/>
    </w:pPr>
    <w:rPr>
      <w:rFonts w:ascii="Times New Roman" w:hAnsi="Times New Roman" w:cs="Times New Roman"/>
      <w:sz w:val="28"/>
      <w:szCs w:val="24"/>
    </w:rPr>
  </w:style>
  <w:style w:type="paragraph" w:customStyle="1" w:styleId="100">
    <w:name w:val="23磅正文"/>
    <w:basedOn w:val="1"/>
    <w:qFormat/>
    <w:uiPriority w:val="0"/>
    <w:pPr>
      <w:spacing w:line="460" w:lineRule="exact"/>
      <w:ind w:firstLine="200" w:firstLineChars="200"/>
      <w:jc w:val="left"/>
    </w:pPr>
    <w:rPr>
      <w:kern w:val="0"/>
      <w:sz w:val="24"/>
    </w:rPr>
  </w:style>
  <w:style w:type="paragraph" w:customStyle="1" w:styleId="101">
    <w:name w:val="列出段落"/>
    <w:basedOn w:val="1"/>
    <w:qFormat/>
    <w:uiPriority w:val="0"/>
    <w:pPr>
      <w:ind w:firstLine="420" w:firstLineChars="200"/>
    </w:pPr>
    <w:rPr>
      <w:rFonts w:ascii="Calibri" w:hAnsi="Calibri" w:eastAsia="等线"/>
    </w:rPr>
  </w:style>
  <w:style w:type="paragraph" w:customStyle="1" w:styleId="102">
    <w:name w:val="表内文字 居中"/>
    <w:basedOn w:val="1"/>
    <w:qFormat/>
    <w:uiPriority w:val="0"/>
    <w:pPr>
      <w:autoSpaceDE w:val="0"/>
      <w:autoSpaceDN w:val="0"/>
      <w:adjustRightInd w:val="0"/>
      <w:snapToGrid w:val="0"/>
      <w:jc w:val="center"/>
    </w:pPr>
    <w:rPr>
      <w:color w:val="000000"/>
      <w:kern w:val="0"/>
      <w:szCs w:val="21"/>
    </w:rPr>
  </w:style>
  <w:style w:type="character" w:customStyle="1" w:styleId="103">
    <w:name w:val="font101"/>
    <w:basedOn w:val="34"/>
    <w:qFormat/>
    <w:uiPriority w:val="0"/>
    <w:rPr>
      <w:rFonts w:hint="eastAsia" w:ascii="仿宋" w:hAnsi="仿宋" w:eastAsia="仿宋" w:cs="仿宋"/>
      <w:color w:val="000000"/>
      <w:sz w:val="21"/>
      <w:szCs w:val="21"/>
      <w:u w:val="none"/>
    </w:rPr>
  </w:style>
  <w:style w:type="paragraph" w:customStyle="1" w:styleId="104">
    <w:name w:val="鸿达表格段落"/>
    <w:basedOn w:val="1"/>
    <w:qFormat/>
    <w:uiPriority w:val="0"/>
    <w:pPr>
      <w:adjustRightInd w:val="0"/>
      <w:snapToGrid w:val="0"/>
      <w:ind w:firstLine="200" w:firstLineChars="200"/>
      <w:jc w:val="left"/>
    </w:pPr>
    <w:rPr>
      <w:snapToGrid w:val="0"/>
      <w:kern w:val="0"/>
    </w:rPr>
  </w:style>
  <w:style w:type="paragraph" w:customStyle="1" w:styleId="105">
    <w:name w:val="表格居中文字"/>
    <w:basedOn w:val="1"/>
    <w:next w:val="1"/>
    <w:qFormat/>
    <w:uiPriority w:val="0"/>
    <w:pPr>
      <w:adjustRightInd w:val="0"/>
      <w:snapToGrid w:val="0"/>
      <w:spacing w:line="240" w:lineRule="auto"/>
      <w:ind w:firstLine="0" w:firstLineChars="0"/>
      <w:jc w:val="center"/>
    </w:pPr>
    <w:rPr>
      <w:rFonts w:cs="宋体"/>
      <w:sz w:val="21"/>
      <w:szCs w:val="21"/>
    </w:rPr>
  </w:style>
  <w:style w:type="paragraph" w:customStyle="1" w:styleId="106">
    <w:name w:val="表标题"/>
    <w:basedOn w:val="1"/>
    <w:next w:val="1"/>
    <w:qFormat/>
    <w:uiPriority w:val="0"/>
    <w:pPr>
      <w:keepNext/>
      <w:numPr>
        <w:ilvl w:val="0"/>
        <w:numId w:val="3"/>
      </w:numPr>
      <w:spacing w:line="240" w:lineRule="auto"/>
      <w:ind w:firstLine="420"/>
      <w:jc w:val="center"/>
      <w:textAlignment w:val="center"/>
    </w:pPr>
    <w:rPr>
      <w:rFonts w:ascii="Times New Roman" w:hAnsi="Times New Roman" w:eastAsia="宋体"/>
      <w:b/>
      <w:sz w:val="24"/>
    </w:rPr>
  </w:style>
  <w:style w:type="paragraph" w:customStyle="1" w:styleId="107">
    <w:name w:val="L表头"/>
    <w:basedOn w:val="1"/>
    <w:qFormat/>
    <w:uiPriority w:val="0"/>
    <w:pPr>
      <w:keepNext/>
      <w:jc w:val="center"/>
    </w:pPr>
    <w:rPr>
      <w:rFonts w:eastAsia="黑体"/>
      <w:kern w:val="0"/>
      <w:szCs w:val="20"/>
    </w:rPr>
  </w:style>
  <w:style w:type="paragraph" w:customStyle="1" w:styleId="108">
    <w:name w:val="鸿达表加粗"/>
    <w:basedOn w:val="1"/>
    <w:qFormat/>
    <w:uiPriority w:val="0"/>
    <w:pPr>
      <w:jc w:val="center"/>
    </w:pPr>
    <w:rPr>
      <w:rFonts w:cs="宋体"/>
      <w:b/>
      <w:color w:val="000000"/>
    </w:rPr>
  </w:style>
  <w:style w:type="paragraph" w:customStyle="1" w:styleId="109">
    <w:name w:val="cucd-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110">
    <w:name w:val="c表内容"/>
    <w:basedOn w:val="1"/>
    <w:qFormat/>
    <w:uiPriority w:val="0"/>
    <w:pPr>
      <w:spacing w:line="320" w:lineRule="exact"/>
      <w:jc w:val="center"/>
    </w:pPr>
    <w:rPr>
      <w:rFonts w:ascii="Calibri" w:hAnsi="Calibri" w:eastAsia="等线"/>
      <w:szCs w:val="21"/>
    </w:rPr>
  </w:style>
  <w:style w:type="character" w:customStyle="1" w:styleId="111">
    <w:name w:val="font71"/>
    <w:basedOn w:val="34"/>
    <w:qFormat/>
    <w:uiPriority w:val="0"/>
    <w:rPr>
      <w:rFonts w:hint="default" w:ascii="Times New Roman" w:hAnsi="Times New Roman" w:cs="Times New Roman"/>
      <w:color w:val="000000"/>
      <w:sz w:val="20"/>
      <w:szCs w:val="20"/>
      <w:u w:val="none"/>
      <w:vertAlign w:val="subscript"/>
    </w:rPr>
  </w:style>
  <w:style w:type="character" w:customStyle="1" w:styleId="112">
    <w:name w:val="font41"/>
    <w:basedOn w:val="34"/>
    <w:qFormat/>
    <w:uiPriority w:val="0"/>
    <w:rPr>
      <w:rFonts w:hint="default" w:ascii="Times New Roman" w:hAnsi="Times New Roman" w:cs="Times New Roman"/>
      <w:color w:val="000000"/>
      <w:sz w:val="21"/>
      <w:szCs w:val="21"/>
      <w:u w:val="none"/>
      <w:vertAlign w:val="superscript"/>
    </w:rPr>
  </w:style>
  <w:style w:type="character" w:customStyle="1" w:styleId="113">
    <w:name w:val="font51"/>
    <w:basedOn w:val="34"/>
    <w:qFormat/>
    <w:uiPriority w:val="0"/>
    <w:rPr>
      <w:rFonts w:hint="eastAsia" w:ascii="宋体" w:hAnsi="宋体" w:eastAsia="宋体" w:cs="宋体"/>
      <w:color w:val="000000"/>
      <w:sz w:val="21"/>
      <w:szCs w:val="21"/>
      <w:u w:val="none"/>
    </w:rPr>
  </w:style>
  <w:style w:type="table" w:customStyle="1" w:styleId="114">
    <w:name w:val="Table Normal"/>
    <w:unhideWhenUsed/>
    <w:qFormat/>
    <w:uiPriority w:val="0"/>
    <w:tblPr>
      <w:tblCellMar>
        <w:top w:w="0" w:type="dxa"/>
        <w:left w:w="0" w:type="dxa"/>
        <w:bottom w:w="0" w:type="dxa"/>
        <w:right w:w="0" w:type="dxa"/>
      </w:tblCellMar>
    </w:tblPr>
  </w:style>
  <w:style w:type="paragraph" w:customStyle="1" w:styleId="115">
    <w:name w:val="Table Text"/>
    <w:basedOn w:val="1"/>
    <w:semiHidden/>
    <w:qFormat/>
    <w:uiPriority w:val="0"/>
    <w:rPr>
      <w:rFonts w:ascii="宋体" w:hAnsi="宋体" w:eastAsia="宋体" w:cs="宋体"/>
      <w:sz w:val="20"/>
      <w:szCs w:val="20"/>
      <w:lang w:val="en-US" w:eastAsia="en-US" w:bidi="ar-SA"/>
    </w:rPr>
  </w:style>
  <w:style w:type="paragraph" w:customStyle="1" w:styleId="116">
    <w:name w:val="TT正文"/>
    <w:basedOn w:val="1"/>
    <w:qFormat/>
    <w:uiPriority w:val="0"/>
    <w:pPr>
      <w:ind w:firstLine="200" w:firstLineChars="200"/>
    </w:pPr>
    <w:rPr>
      <w:rFonts w:cs="宋体"/>
      <w:color w:val="000000"/>
      <w:kern w:val="2"/>
      <w:sz w:val="24"/>
      <w:szCs w:val="20"/>
    </w:rPr>
  </w:style>
  <w:style w:type="paragraph" w:customStyle="1" w:styleId="117">
    <w:name w:val="表内容"/>
    <w:basedOn w:val="1"/>
    <w:qFormat/>
    <w:uiPriority w:val="0"/>
    <w:pPr>
      <w:autoSpaceDE w:val="0"/>
      <w:autoSpaceDN w:val="0"/>
      <w:jc w:val="center"/>
    </w:pPr>
    <w:rPr>
      <w:rFonts w:ascii="Arial" w:hAnsi="Arial" w:cs="Arial"/>
      <w:sz w:val="21"/>
      <w:szCs w:val="21"/>
    </w:rPr>
  </w:style>
  <w:style w:type="paragraph" w:customStyle="1" w:styleId="118">
    <w:name w:val="【正文】"/>
    <w:basedOn w:val="1"/>
    <w:next w:val="28"/>
    <w:qFormat/>
    <w:uiPriority w:val="0"/>
    <w:pPr>
      <w:spacing w:line="360" w:lineRule="auto"/>
      <w:ind w:firstLine="480" w:firstLineChars="200"/>
    </w:pPr>
    <w:rPr>
      <w:sz w:val="24"/>
    </w:rPr>
  </w:style>
  <w:style w:type="paragraph" w:customStyle="1" w:styleId="119">
    <w:name w:val="表内格式"/>
    <w:basedOn w:val="1"/>
    <w:qFormat/>
    <w:uiPriority w:val="0"/>
    <w:pPr>
      <w:spacing w:line="360" w:lineRule="exact"/>
      <w:jc w:val="center"/>
    </w:pPr>
    <w:rPr>
      <w:rFonts w:cs="宋体"/>
      <w:kern w:val="2"/>
    </w:rPr>
  </w:style>
  <w:style w:type="paragraph" w:styleId="120">
    <w:name w:val="List Paragraph"/>
    <w:basedOn w:val="1"/>
    <w:unhideWhenUsed/>
    <w:qFormat/>
    <w:uiPriority w:val="99"/>
    <w:pPr>
      <w:ind w:firstLine="420" w:firstLineChars="200"/>
    </w:pPr>
  </w:style>
  <w:style w:type="paragraph" w:customStyle="1" w:styleId="121">
    <w:name w:val="5文章(治)"/>
    <w:basedOn w:val="1"/>
    <w:qFormat/>
    <w:uiPriority w:val="0"/>
    <w:pPr>
      <w:widowControl/>
      <w:spacing w:line="360" w:lineRule="auto"/>
      <w:ind w:firstLine="560"/>
      <w:jc w:val="left"/>
    </w:pPr>
    <w:rPr>
      <w:color w:val="000000"/>
      <w:kern w:val="0"/>
      <w:szCs w:val="20"/>
    </w:rPr>
  </w:style>
  <w:style w:type="character" w:customStyle="1" w:styleId="122">
    <w:name w:val="fontstyle21"/>
    <w:basedOn w:val="34"/>
    <w:qFormat/>
    <w:uiPriority w:val="0"/>
    <w:rPr>
      <w:rFonts w:hint="eastAsia" w:ascii="TimesNewRomanPSMT" w:hAnsi="TimesNewRomanPSMT" w:eastAsia="TimesNewRomanPSMT"/>
      <w:color w:val="000000"/>
      <w:sz w:val="24"/>
      <w:szCs w:val="24"/>
    </w:rPr>
  </w:style>
  <w:style w:type="paragraph" w:customStyle="1" w:styleId="123">
    <w:name w:val="专题标题1"/>
    <w:next w:val="1"/>
    <w:qFormat/>
    <w:uiPriority w:val="0"/>
    <w:pPr>
      <w:numPr>
        <w:ilvl w:val="0"/>
        <w:numId w:val="4"/>
      </w:numPr>
      <w:spacing w:line="520" w:lineRule="exact"/>
    </w:pPr>
    <w:rPr>
      <w:rFonts w:hint="eastAsia" w:ascii="Times New Roman" w:hAnsi="Times New Roman" w:eastAsia="宋体" w:cs="Times New Roman"/>
      <w:b/>
      <w:sz w:val="30"/>
      <w:szCs w:val="30"/>
    </w:rPr>
  </w:style>
  <w:style w:type="paragraph" w:customStyle="1" w:styleId="124">
    <w:name w:val="专题表头"/>
    <w:next w:val="1"/>
    <w:qFormat/>
    <w:uiPriority w:val="0"/>
    <w:pPr>
      <w:numPr>
        <w:ilvl w:val="0"/>
        <w:numId w:val="5"/>
      </w:numPr>
      <w:tabs>
        <w:tab w:val="center" w:pos="4420"/>
        <w:tab w:val="clear" w:pos="420"/>
      </w:tabs>
      <w:bidi w:val="0"/>
      <w:spacing w:line="460" w:lineRule="exact"/>
      <w:ind w:left="0" w:leftChars="0" w:firstLine="1044" w:firstLineChars="200"/>
      <w:jc w:val="left"/>
    </w:pPr>
    <w:rPr>
      <w:rFonts w:ascii="Times New Roman" w:hAnsi="Times New Roman" w:eastAsia="黑体" w:cs="Times New Roman"/>
      <w:sz w:val="24"/>
      <w:szCs w:val="24"/>
    </w:rPr>
  </w:style>
  <w:style w:type="paragraph" w:customStyle="1" w:styleId="125">
    <w:name w:val="赵 表格居中"/>
    <w:basedOn w:val="1"/>
    <w:qFormat/>
    <w:uiPriority w:val="0"/>
    <w:pPr>
      <w:spacing w:line="240" w:lineRule="auto"/>
      <w:ind w:firstLine="0" w:firstLineChars="0"/>
      <w:jc w:val="center"/>
    </w:pPr>
    <w:rPr>
      <w:rFonts w:hint="eastAsia" w:ascii="Times New Roman" w:hAnsi="Times New Roman" w:eastAsia="宋体" w:cs="Times New Roman"/>
      <w:bCs/>
      <w:sz w:val="21"/>
      <w:szCs w:val="21"/>
      <w:shd w:val="clear" w:color="auto" w:fill="FFFFFF"/>
    </w:rPr>
  </w:style>
  <w:style w:type="paragraph" w:customStyle="1" w:styleId="126">
    <w:name w:val="5.表内注释"/>
    <w:qFormat/>
    <w:uiPriority w:val="0"/>
    <w:pPr>
      <w:widowControl/>
      <w:spacing w:line="240" w:lineRule="auto"/>
      <w:ind w:firstLine="40" w:firstLineChars="200"/>
    </w:pPr>
    <w:rPr>
      <w:rFonts w:hint="eastAsia" w:ascii="Times New Roman" w:hAnsi="Times New Roman" w:eastAsia="宋体" w:cs="Times New Roman"/>
      <w:b/>
      <w:bCs/>
      <w:sz w:val="18"/>
      <w:szCs w:val="21"/>
    </w:rPr>
  </w:style>
  <w:style w:type="character" w:customStyle="1" w:styleId="127">
    <w:name w:val="font61"/>
    <w:basedOn w:val="34"/>
    <w:qFormat/>
    <w:uiPriority w:val="0"/>
    <w:rPr>
      <w:rFonts w:hint="default" w:ascii="Times New Roman" w:hAnsi="Times New Roman" w:cs="Times New Roman"/>
      <w:b/>
      <w:bCs/>
      <w:color w:val="000000"/>
      <w:sz w:val="18"/>
      <w:szCs w:val="18"/>
      <w:u w:val="none"/>
    </w:rPr>
  </w:style>
  <w:style w:type="paragraph" w:customStyle="1" w:styleId="128">
    <w:name w:val="专题标题3"/>
    <w:next w:val="1"/>
    <w:qFormat/>
    <w:uiPriority w:val="0"/>
    <w:pPr>
      <w:numPr>
        <w:ilvl w:val="2"/>
        <w:numId w:val="4"/>
      </w:numPr>
      <w:spacing w:line="460" w:lineRule="exact"/>
    </w:pPr>
    <w:rPr>
      <w:rFonts w:hint="eastAsia" w:ascii="Times New Roman" w:hAnsi="Times New Roman" w:eastAsia="宋体" w:cs="Times New Roman"/>
      <w:b/>
      <w:sz w:val="24"/>
      <w:szCs w:val="24"/>
    </w:rPr>
  </w:style>
  <w:style w:type="paragraph" w:customStyle="1" w:styleId="129">
    <w:name w:val="专题标题2"/>
    <w:next w:val="1"/>
    <w:qFormat/>
    <w:uiPriority w:val="0"/>
    <w:pPr>
      <w:numPr>
        <w:ilvl w:val="1"/>
        <w:numId w:val="4"/>
      </w:numPr>
      <w:spacing w:line="460" w:lineRule="exact"/>
    </w:pPr>
    <w:rPr>
      <w:rFonts w:hint="eastAsia" w:ascii="Times New Roman" w:hAnsi="Times New Roman" w:eastAsia="宋体" w:cs="Times New Roman"/>
      <w:b/>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9" Type="http://schemas.openxmlformats.org/officeDocument/2006/relationships/fontTable" Target="fontTable.xml"/><Relationship Id="rId68" Type="http://schemas.openxmlformats.org/officeDocument/2006/relationships/numbering" Target="numbering.xml"/><Relationship Id="rId67" Type="http://schemas.openxmlformats.org/officeDocument/2006/relationships/customXml" Target="../customXml/item1.xml"/><Relationship Id="rId66" Type="http://schemas.openxmlformats.org/officeDocument/2006/relationships/image" Target="media/image40.png"/><Relationship Id="rId65" Type="http://schemas.openxmlformats.org/officeDocument/2006/relationships/image" Target="media/image39.png"/><Relationship Id="rId64" Type="http://schemas.openxmlformats.org/officeDocument/2006/relationships/image" Target="media/image38.png"/><Relationship Id="rId63" Type="http://schemas.openxmlformats.org/officeDocument/2006/relationships/image" Target="media/image37.jpeg"/><Relationship Id="rId62" Type="http://schemas.openxmlformats.org/officeDocument/2006/relationships/image" Target="media/image36.jpeg"/><Relationship Id="rId61" Type="http://schemas.openxmlformats.org/officeDocument/2006/relationships/image" Target="media/image35.jpeg"/><Relationship Id="rId60" Type="http://schemas.openxmlformats.org/officeDocument/2006/relationships/image" Target="media/image34.jpeg"/><Relationship Id="rId6" Type="http://schemas.openxmlformats.org/officeDocument/2006/relationships/footer" Target="footer3.xml"/><Relationship Id="rId59" Type="http://schemas.openxmlformats.org/officeDocument/2006/relationships/image" Target="media/image33.jpeg"/><Relationship Id="rId58" Type="http://schemas.openxmlformats.org/officeDocument/2006/relationships/image" Target="media/image32.png"/><Relationship Id="rId57" Type="http://schemas.openxmlformats.org/officeDocument/2006/relationships/image" Target="media/image31.png"/><Relationship Id="rId56" Type="http://schemas.openxmlformats.org/officeDocument/2006/relationships/image" Target="media/image30.png"/><Relationship Id="rId55" Type="http://schemas.openxmlformats.org/officeDocument/2006/relationships/image" Target="media/image29.png"/><Relationship Id="rId54" Type="http://schemas.openxmlformats.org/officeDocument/2006/relationships/image" Target="media/image28.png"/><Relationship Id="rId53" Type="http://schemas.openxmlformats.org/officeDocument/2006/relationships/image" Target="media/image27.emf"/><Relationship Id="rId52" Type="http://schemas.openxmlformats.org/officeDocument/2006/relationships/image" Target="media/image26.emf"/><Relationship Id="rId51" Type="http://schemas.openxmlformats.org/officeDocument/2006/relationships/image" Target="media/image25.jpeg"/><Relationship Id="rId50" Type="http://schemas.openxmlformats.org/officeDocument/2006/relationships/image" Target="media/image24.jpeg"/><Relationship Id="rId5" Type="http://schemas.openxmlformats.org/officeDocument/2006/relationships/footer" Target="footer2.xml"/><Relationship Id="rId49" Type="http://schemas.openxmlformats.org/officeDocument/2006/relationships/image" Target="media/image23.png"/><Relationship Id="rId48" Type="http://schemas.openxmlformats.org/officeDocument/2006/relationships/image" Target="media/image22.png"/><Relationship Id="rId47" Type="http://schemas.openxmlformats.org/officeDocument/2006/relationships/image" Target="media/image21.wmf"/><Relationship Id="rId46" Type="http://schemas.openxmlformats.org/officeDocument/2006/relationships/oleObject" Target="embeddings/oleObject7.bin"/><Relationship Id="rId45" Type="http://schemas.openxmlformats.org/officeDocument/2006/relationships/image" Target="media/image20.png"/><Relationship Id="rId44" Type="http://schemas.openxmlformats.org/officeDocument/2006/relationships/image" Target="media/image19.wmf"/><Relationship Id="rId43" Type="http://schemas.openxmlformats.org/officeDocument/2006/relationships/oleObject" Target="embeddings/oleObject6.bin"/><Relationship Id="rId42" Type="http://schemas.openxmlformats.org/officeDocument/2006/relationships/image" Target="media/image18.wmf"/><Relationship Id="rId41" Type="http://schemas.openxmlformats.org/officeDocument/2006/relationships/oleObject" Target="embeddings/oleObject5.bin"/><Relationship Id="rId40" Type="http://schemas.openxmlformats.org/officeDocument/2006/relationships/image" Target="media/image17.png"/><Relationship Id="rId4" Type="http://schemas.openxmlformats.org/officeDocument/2006/relationships/footer" Target="footer1.xml"/><Relationship Id="rId39" Type="http://schemas.openxmlformats.org/officeDocument/2006/relationships/image" Target="media/image16.wmf"/><Relationship Id="rId38" Type="http://schemas.openxmlformats.org/officeDocument/2006/relationships/oleObject" Target="embeddings/oleObject4.bin"/><Relationship Id="rId37" Type="http://schemas.openxmlformats.org/officeDocument/2006/relationships/image" Target="media/image15.png"/><Relationship Id="rId36" Type="http://schemas.openxmlformats.org/officeDocument/2006/relationships/image" Target="media/image14.png"/><Relationship Id="rId35" Type="http://schemas.openxmlformats.org/officeDocument/2006/relationships/image" Target="media/image13.png"/><Relationship Id="rId34" Type="http://schemas.openxmlformats.org/officeDocument/2006/relationships/image" Target="media/image12.png"/><Relationship Id="rId33" Type="http://schemas.openxmlformats.org/officeDocument/2006/relationships/image" Target="media/image11.emf"/><Relationship Id="rId32" Type="http://schemas.openxmlformats.org/officeDocument/2006/relationships/oleObject" Target="embeddings/oleObject3.bin"/><Relationship Id="rId31" Type="http://schemas.openxmlformats.org/officeDocument/2006/relationships/image" Target="media/image10.emf"/><Relationship Id="rId30" Type="http://schemas.openxmlformats.org/officeDocument/2006/relationships/oleObject" Target="embeddings/oleObject2.bin"/><Relationship Id="rId3" Type="http://schemas.openxmlformats.org/officeDocument/2006/relationships/header" Target="header1.xml"/><Relationship Id="rId29" Type="http://schemas.openxmlformats.org/officeDocument/2006/relationships/image" Target="media/image9.emf"/><Relationship Id="rId28" Type="http://schemas.openxmlformats.org/officeDocument/2006/relationships/oleObject" Target="embeddings/oleObject1.bin"/><Relationship Id="rId27" Type="http://schemas.openxmlformats.org/officeDocument/2006/relationships/image" Target="media/image8.png"/><Relationship Id="rId26" Type="http://schemas.openxmlformats.org/officeDocument/2006/relationships/image" Target="media/image7.png"/><Relationship Id="rId25" Type="http://schemas.openxmlformats.org/officeDocument/2006/relationships/image" Target="media/image6.png"/><Relationship Id="rId24" Type="http://schemas.openxmlformats.org/officeDocument/2006/relationships/image" Target="media/image5.png"/><Relationship Id="rId23" Type="http://schemas.openxmlformats.org/officeDocument/2006/relationships/image" Target="media/image4.png"/><Relationship Id="rId22" Type="http://schemas.openxmlformats.org/officeDocument/2006/relationships/image" Target="media/image3.png"/><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header" Target="header3.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header" Target="header2.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135</Pages>
  <Words>24279</Words>
  <Characters>26501</Characters>
  <Lines>237</Lines>
  <Paragraphs>66</Paragraphs>
  <TotalTime>0</TotalTime>
  <ScaleCrop>false</ScaleCrop>
  <LinksUpToDate>false</LinksUpToDate>
  <CharactersWithSpaces>26733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2024-12-20T00:37:00Z</dcterms:created>
  <dc:creator>lhj</dc:creator>
  <cp:lastModifiedBy>四叶草</cp:lastModifiedBy>
  <cp:lastPrinted>2026-06-12T11:54:00Z</cp:lastPrinted>
  <dcterms:modified xsi:type="dcterms:W3CDTF">2026-08-17T03:21:03Z</dcterms:modified>
  <dc:title>附件2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FBA99D8D3D1447DFA62D7A54A3774BC8_13</vt:lpwstr>
  </property>
  <property fmtid="{D5CDD505-2E9C-101B-9397-08002B2CF9AE}" pid="4" name="KSOTemplateDocerSaveRecord">
    <vt:lpwstr>eyJoZGlkIjoiYzVkNzdlMWUyNDhhMDU0YjdlZTFkNDQzZmQ5MmJlMTEiLCJ1c2VySWQiOiI1OTQ0MDAxNzQifQ==</vt:lpwstr>
  </property>
</Properties>
</file>