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00" w:lineRule="exact"/>
        <w:jc w:val="center"/>
        <w:rPr>
          <w:rFonts w:eastAsia="方正小标宋简体"/>
          <w:spacing w:val="-20"/>
          <w:w w:val="96"/>
          <w:sz w:val="48"/>
          <w:szCs w:val="48"/>
        </w:rPr>
      </w:pPr>
      <w:r>
        <w:rPr>
          <w:rFonts w:hint="eastAsia" w:ascii="方正小标宋简体" w:eastAsia="方正小标宋简体"/>
          <w:color w:val="FF0000"/>
          <w:spacing w:val="-20"/>
          <w:w w:val="96"/>
          <w:sz w:val="48"/>
          <w:szCs w:val="48"/>
        </w:rPr>
        <w:t>新乡高新技术产业开发区管理委员会社会事务局</w:t>
      </w:r>
    </w:p>
    <w:p>
      <w:pPr>
        <w:rPr>
          <w:rFonts w:ascii="仿宋_GB2312"/>
          <w:sz w:val="28"/>
          <w:szCs w:val="28"/>
        </w:rPr>
      </w:pPr>
      <w:r>
        <mc:AlternateContent>
          <mc:Choice Requires="wps">
            <w:drawing>
              <wp:anchor distT="0" distB="0" distL="114300" distR="114300" simplePos="0" relativeHeight="251659264" behindDoc="0" locked="0" layoutInCell="1" allowOverlap="1">
                <wp:simplePos x="0" y="0"/>
                <wp:positionH relativeFrom="margin">
                  <wp:posOffset>8255</wp:posOffset>
                </wp:positionH>
                <wp:positionV relativeFrom="paragraph">
                  <wp:posOffset>180975</wp:posOffset>
                </wp:positionV>
                <wp:extent cx="5633085" cy="7620"/>
                <wp:effectExtent l="0" t="0" r="25400" b="304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33036" cy="7816"/>
                        </a:xfrm>
                        <a:prstGeom prst="line">
                          <a:avLst/>
                        </a:prstGeom>
                        <a:noFill/>
                        <a:ln w="12700">
                          <a:solidFill>
                            <a:srgbClr val="FF0000"/>
                          </a:solidFill>
                          <a:round/>
                        </a:ln>
                      </wps:spPr>
                      <wps:bodyPr/>
                    </wps:wsp>
                  </a:graphicData>
                </a:graphic>
              </wp:anchor>
            </w:drawing>
          </mc:Choice>
          <mc:Fallback>
            <w:pict>
              <v:line id="_x0000_s1026" o:spid="_x0000_s1026" o:spt="20" style="position:absolute;left:0pt;margin-left:0.65pt;margin-top:14.25pt;height:0.6pt;width:443.55pt;mso-position-horizontal-relative:margin;z-index:251659264;mso-width-relative:page;mso-height-relative:page;" filled="f" stroked="t" coordsize="21600,21600" o:gfxdata="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NlrAPV&#10;AAAABwEAAA8AAAAAAAAAAQAgAAAAIgAAAGRycy9kb3ducmV2LnhtbFBLAQIUABQAAAAIAIdO4kBt&#10;WgJM6gEAAK4DAAAOAAAAAAAAAAEAIAAAACQBAABkcnMvZTJvRG9jLnhtbFBLBQYAAAAABgAGAFkB&#10;AACABQAAAAA=&#10;">
                <v:fill on="f" focussize="0,0"/>
                <v:stroke weight="1pt" color="#FF0000" joinstyle="round"/>
                <v:imagedata o:title=""/>
                <o:lock v:ext="edit" aspectratio="f"/>
              </v:line>
            </w:pict>
          </mc:Fallback>
        </mc:AlternateContent>
      </w:r>
      <w:r>
        <w:rPr>
          <w:rFonts w:ascii="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15875</wp:posOffset>
                </wp:positionH>
                <wp:positionV relativeFrom="paragraph">
                  <wp:posOffset>126365</wp:posOffset>
                </wp:positionV>
                <wp:extent cx="5627370" cy="7620"/>
                <wp:effectExtent l="19050" t="19050" r="31115" b="30480"/>
                <wp:wrapNone/>
                <wp:docPr id="3" name="直接连接符 3"/>
                <wp:cNvGraphicFramePr/>
                <a:graphic xmlns:a="http://schemas.openxmlformats.org/drawingml/2006/main">
                  <a:graphicData uri="http://schemas.microsoft.com/office/word/2010/wordprocessingShape">
                    <wps:wsp>
                      <wps:cNvCnPr/>
                      <wps:spPr>
                        <a:xfrm>
                          <a:off x="0" y="0"/>
                          <a:ext cx="5627077" cy="7816"/>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5pt;margin-top:9.95pt;height:0.6pt;width:443.1pt;z-index:251660288;mso-width-relative:page;mso-height-relative:page;" filled="f" stroked="t" coordsize="21600,21600" o:gfxdata="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9m5LdgAAAAHAQAADwAA&#10;AAAAAAABACAAAAAiAAAAZHJzL2Rvd25yZXYueG1sUEsBAhQAFAAAAAgAh07iQNevqejdAQAAngMA&#10;AA4AAAAAAAAAAQAgAAAAJwEAAGRycy9lMm9Eb2MueG1sUEsFBgAAAAAGAAYAWQEAAHYFAAAAAA==&#10;">
                <v:fill on="f" focussize="0,0"/>
                <v:stroke weight="3pt" color="#FF0000 [3205]"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高新区重大农业有害生物灾害应急预案</w:t>
      </w:r>
    </w:p>
    <w:p>
      <w:pPr>
        <w:spacing w:line="570" w:lineRule="exact"/>
        <w:rPr>
          <w:rFonts w:hint="eastAsia" w:ascii="黑体" w:hAnsi="黑体" w:eastAsia="黑体"/>
          <w:sz w:val="32"/>
        </w:rPr>
      </w:pP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黑体" w:hAnsi="黑体" w:eastAsia="黑体"/>
          <w:sz w:val="32"/>
        </w:rPr>
      </w:pPr>
      <w:r>
        <w:rPr>
          <w:rFonts w:hint="eastAsia" w:ascii="黑体" w:hAnsi="黑体" w:eastAsia="黑体"/>
          <w:sz w:val="32"/>
        </w:rPr>
        <w:t>一、总则</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 xml:space="preserve">（一）编制目的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sz w:val="32"/>
          <w:szCs w:val="32"/>
        </w:rPr>
        <w:t>为有效防范和应对农业</w:t>
      </w:r>
      <w:r>
        <w:rPr>
          <w:rFonts w:hint="eastAsia" w:eastAsia="仿宋_GB2312"/>
          <w:sz w:val="32"/>
        </w:rPr>
        <w:t>重大</w:t>
      </w:r>
      <w:r>
        <w:rPr>
          <w:rFonts w:hint="eastAsia" w:ascii="仿宋_GB2312" w:eastAsia="仿宋_GB2312"/>
          <w:sz w:val="32"/>
          <w:szCs w:val="32"/>
        </w:rPr>
        <w:t>有害生物灾害,最大限度减少灾害损失,保障生态安全,促进我市农业和社会经济持续、快速、协调、健康发展,制定本预案。</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 xml:space="preserve">（二）工作原则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sz w:val="32"/>
          <w:szCs w:val="32"/>
        </w:rPr>
        <w:t>坚持预防为主,防控结合的原则;坚持快速反应,紧急处置,控灾减灾的原则;坚持统一领导,分级联动,各司其职的原则;坚持属地管理,以地方政府为主的原则;坚持以人为本,信息共享,平战结合的原则。</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ascii="楷体_GB2312" w:hAnsi="楷体_GB2312" w:eastAsia="楷体_GB2312" w:cs="楷体_GB2312"/>
          <w:sz w:val="32"/>
        </w:rPr>
        <w:t>（三）编制依据</w:t>
      </w:r>
      <w:r>
        <w:rPr>
          <w:rFonts w:hint="eastAsia" w:eastAsia="仿宋_GB2312"/>
          <w:sz w:val="32"/>
        </w:rPr>
        <w:t xml:space="preserve"> </w:t>
      </w:r>
      <w:r>
        <w:rPr>
          <w:rFonts w:eastAsia="仿宋_GB2312"/>
          <w:sz w:val="32"/>
        </w:rPr>
        <w:t xml:space="preserve">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sz w:val="32"/>
          <w:szCs w:val="32"/>
        </w:rPr>
        <w:t>依据</w:t>
      </w:r>
      <w:r>
        <w:rPr>
          <w:rFonts w:ascii="仿宋_GB2312" w:eastAsia="仿宋_GB2312"/>
          <w:sz w:val="32"/>
          <w:szCs w:val="32"/>
        </w:rPr>
        <w:t>《中华人民共和国农业法》</w:t>
      </w:r>
      <w:r>
        <w:rPr>
          <w:rFonts w:hint="eastAsia" w:ascii="仿宋_GB2312" w:eastAsia="仿宋_GB2312"/>
          <w:sz w:val="32"/>
          <w:szCs w:val="32"/>
        </w:rPr>
        <w:t>、《中华人民共和国农业技术推广法》、《中华人民共和国突发事件应对法》、《河南省农业环境污染突发事件应急预案》、《新乡市突发事件总体应急预案》，制定本预案。</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（四）适用范围</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ascii="仿宋_GB2312" w:eastAsia="仿宋_GB2312"/>
          <w:sz w:val="32"/>
          <w:szCs w:val="32"/>
        </w:rPr>
        <w:t>本预案适用于高新区行政区域内农业重大有害生物灾害，及其引发的次生衍生灾害的预防及应急处置。</w:t>
      </w:r>
      <w:r>
        <w:rPr>
          <w:rFonts w:ascii="仿宋_GB2312" w:eastAsia="仿宋_GB2312"/>
          <w:sz w:val="32"/>
          <w:szCs w:val="32"/>
        </w:rPr>
        <w:t>主要是指</w:t>
      </w:r>
      <w:r>
        <w:rPr>
          <w:rFonts w:hint="eastAsia" w:ascii="仿宋_GB2312" w:eastAsia="仿宋_GB2312"/>
          <w:sz w:val="32"/>
          <w:szCs w:val="32"/>
        </w:rPr>
        <w:t>对农业生产造成严重危害的突发性</w:t>
      </w:r>
      <w:r>
        <w:rPr>
          <w:rFonts w:hint="eastAsia" w:eastAsia="仿宋_GB2312"/>
          <w:sz w:val="32"/>
        </w:rPr>
        <w:t>重大病虫草鼠害，包括东亚飞蝗、橘小食蝇、草地贪夜蛾、二点委夜蛾、黏虫等迁飞性和爆发性虫害；小麦条锈病、赤霉病、玉米粗缩病、马铃薯晚疫病等重大流行性病虫害；其它重大农田草害鼠及危险性外来入侵的有害生物等。</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（五）农业重大有害生物突发事件的分级</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根据农业有害生物的发生量、疫情传播速度、对农业生产造成的损失和对社会、生态环境危害程度等，将农业有害生物突发事件划分为四个等级。</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1.Ⅰ级（特别重大）：农业有害生物发生面积达到播种面积的60%以上，或者造成经济损失达到500万元以上，且有进一步扩大趋势的农业有害生物突发事件。</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w:t>
      </w:r>
      <w:bookmarkStart w:id="0" w:name="_GoBack"/>
      <w:bookmarkEnd w:id="0"/>
      <w:r>
        <w:rPr>
          <w:rFonts w:hint="eastAsia" w:ascii="仿宋_GB2312" w:hAnsi="仿宋_GB2312" w:eastAsia="仿宋_GB2312" w:cs="仿宋_GB2312"/>
          <w:sz w:val="32"/>
        </w:rPr>
        <w:t>Ⅱ级（重大）：农业有害生物发生面积达到播种面积的40%以上，或者造成经济损失达到400万元以上，且有进一步扩大趋势的农业有害生物突发事件。</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3.</w:t>
      </w:r>
      <w:r>
        <w:rPr>
          <w:rFonts w:hint="eastAsia" w:ascii="仿宋_GB2312" w:hAnsi="仿宋_GB2312" w:eastAsia="仿宋_GB2312" w:cs="仿宋_GB2312"/>
          <w:sz w:val="32"/>
          <w:szCs w:val="32"/>
        </w:rPr>
        <w:t>Ⅲ级（</w:t>
      </w:r>
      <w:r>
        <w:rPr>
          <w:rFonts w:hint="eastAsia" w:ascii="仿宋_GB2312" w:hAnsi="仿宋_GB2312" w:eastAsia="仿宋_GB2312" w:cs="仿宋_GB2312"/>
          <w:sz w:val="32"/>
        </w:rPr>
        <w:t>较大）：农业有害生物发生面积达到播种面积的20%以上，或者造成经济损失达到150万元以上，且有进一步扩大趋势的农业有害生物突发事件；在两个乡镇内新发现一例以上外来入侵的农业有害生物，且对当地农业生产和社会经济造成影响的农业有害生物突发事件。</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4.</w:t>
      </w:r>
      <w:r>
        <w:rPr>
          <w:rFonts w:hint="eastAsia" w:ascii="仿宋_GB2312" w:hAnsi="仿宋_GB2312" w:eastAsia="仿宋_GB2312" w:cs="仿宋_GB2312"/>
          <w:sz w:val="32"/>
          <w:szCs w:val="32"/>
        </w:rPr>
        <w:t>Ⅳ（一般）</w:t>
      </w:r>
      <w:r>
        <w:rPr>
          <w:rFonts w:hint="eastAsia" w:ascii="仿宋_GB2312" w:hAnsi="仿宋_GB2312" w:eastAsia="仿宋_GB2312" w:cs="仿宋_GB2312"/>
          <w:sz w:val="32"/>
        </w:rPr>
        <w:t>：农业有害生物发生面积达到播种面积的10%以上，或者造成经济损失达到50万元以上，且有进一步扩大趋势的农业有害生物突发事件；在一个乡镇内新发现一例以上外来入侵的农业有害生物的农业有害生物突发事件。</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黑体" w:hAnsi="黑体" w:eastAsia="黑体"/>
          <w:sz w:val="32"/>
        </w:rPr>
      </w:pPr>
      <w:r>
        <w:rPr>
          <w:rFonts w:hint="eastAsia" w:ascii="黑体" w:hAnsi="黑体" w:eastAsia="黑体"/>
          <w:sz w:val="32"/>
        </w:rPr>
        <w:t>二、组织指挥体系及其职责</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（一）指挥部及其职责</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eastAsia="仿宋_GB2312"/>
          <w:sz w:val="32"/>
        </w:rPr>
      </w:pPr>
      <w:r>
        <w:rPr>
          <w:rFonts w:hint="eastAsia" w:eastAsia="仿宋_GB2312"/>
          <w:sz w:val="32"/>
        </w:rPr>
        <w:t>区管委会成立由分管农业农村工作的副主任为组长，社会事务局局长为副组长的应急指挥部，负责我区农业重大有害生物灾害的控制和扑灭工作，统一指挥和组织协调有关部门落实本预案，并监督实施。财政、公安、卫生、市场监督管理等单位和部门负责协助。</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区</w:t>
      </w:r>
      <w:r>
        <w:rPr>
          <w:rFonts w:eastAsia="仿宋_GB2312"/>
          <w:sz w:val="32"/>
        </w:rPr>
        <w:t>指挥部</w:t>
      </w:r>
      <w:r>
        <w:rPr>
          <w:rFonts w:hint="eastAsia" w:eastAsia="仿宋_GB2312"/>
          <w:sz w:val="32"/>
        </w:rPr>
        <w:t>的</w:t>
      </w:r>
      <w:r>
        <w:rPr>
          <w:rFonts w:eastAsia="仿宋_GB2312"/>
          <w:sz w:val="32"/>
        </w:rPr>
        <w:t>主要职责是:</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1.研究确定农业重大有害生物灾害应急防控方案;</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2.研究确定监测预警支持系统、应急保障队伍、保障体系,批准发布预警公告;</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3.宣布启动或结束应急预案,组织、指挥应急防控工作;</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4.协调、解决应急防控中遇到的资金、物资、交通、气象、保卫、通信、人员、封锁、救助等问题;</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5.审查批准市指挥部办公室或专家组提交的工作报告或评估报告等。</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黑体" w:hAnsi="黑体" w:eastAsia="黑体"/>
          <w:sz w:val="32"/>
        </w:rPr>
      </w:pPr>
      <w:r>
        <w:rPr>
          <w:rFonts w:hint="eastAsia" w:ascii="黑体" w:hAnsi="黑体" w:eastAsia="黑体"/>
          <w:sz w:val="32"/>
        </w:rPr>
        <w:t>三、监测、报告与预警</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（一）监测</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eastAsia="仿宋_GB2312"/>
          <w:sz w:val="32"/>
        </w:rPr>
      </w:pPr>
      <w:r>
        <w:rPr>
          <w:rFonts w:hint="eastAsia" w:eastAsia="仿宋_GB2312"/>
          <w:sz w:val="32"/>
        </w:rPr>
        <w:t>高新区社会事务局和其他有关部门，要按照各自的职责分工和本级应急指挥部的要求，建立农业重大有害生物疫情监测网络，负责农业重大有害生物突发事件信息的收集、分析和汇总工作。</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（二）预警</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eastAsia="仿宋_GB2312"/>
          <w:sz w:val="32"/>
        </w:rPr>
        <w:t>1.预警分级。</w:t>
      </w:r>
      <w:r>
        <w:rPr>
          <w:rFonts w:eastAsia="仿宋_GB2312"/>
          <w:sz w:val="32"/>
        </w:rPr>
        <w:t>预警级别</w:t>
      </w:r>
      <w:r>
        <w:rPr>
          <w:rFonts w:hint="eastAsia" w:eastAsia="仿宋_GB2312"/>
          <w:sz w:val="32"/>
        </w:rPr>
        <w:t>农</w:t>
      </w:r>
      <w:r>
        <w:rPr>
          <w:rFonts w:eastAsia="仿宋_GB2312"/>
          <w:sz w:val="32"/>
        </w:rPr>
        <w:t>业</w:t>
      </w:r>
      <w:r>
        <w:rPr>
          <w:rFonts w:hint="eastAsia" w:eastAsia="仿宋_GB2312"/>
          <w:sz w:val="32"/>
        </w:rPr>
        <w:t>重大</w:t>
      </w:r>
      <w:r>
        <w:rPr>
          <w:rFonts w:eastAsia="仿宋_GB2312"/>
          <w:sz w:val="32"/>
        </w:rPr>
        <w:t>有害生物灾害预警级别分别为</w:t>
      </w:r>
      <w:r>
        <w:rPr>
          <w:rFonts w:hint="eastAsia" w:eastAsia="仿宋_GB2312"/>
          <w:sz w:val="32"/>
        </w:rPr>
        <w:t>Ⅰ</w:t>
      </w:r>
      <w:r>
        <w:rPr>
          <w:rFonts w:eastAsia="仿宋_GB2312"/>
          <w:sz w:val="32"/>
        </w:rPr>
        <w:t>、</w:t>
      </w:r>
      <w:r>
        <w:rPr>
          <w:rFonts w:hint="eastAsia" w:ascii="仿宋_GB2312" w:hAnsi="仿宋_GB2312" w:eastAsia="仿宋_GB2312" w:cs="仿宋_GB2312"/>
          <w:sz w:val="32"/>
        </w:rPr>
        <w:t>Ⅱ、Ⅲ三个级别。按照灾害等级划分,一般农业有害生物灾害为Ⅲ级,用蓝色表示;较大农业有害生物灾害为Ⅱ级,用黄色表示;重大农业有害生物灾害为Ⅰ级,用红色表示。</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2.预警发布。预警发布达到Ⅲ级预警(蓝色预警)级别的农业重大有害生物灾害,由乡镇指挥部发布预警公告。达到Ⅱ级预警(黄色预警)、Ⅰ级预警(红色预警)级别的农业重大有害生物灾害,由区指挥部发布预警公告。</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3.预警响应。当发布蓝色预警信息后，预警地政府及其有关部门要密切关注天气情况，有害生物的发生趋势，加强监测，落实防控物资等各项防控准备工作,并报请县级应急领导机构或县级人民政府批准启动县级应急预案。</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当发布黄色、红色预警信息后，预警地政府及其有关部门增加预警信息播报次数，做好人员和物资调度准备，做好相应防控应急演练工作,并报请市指挥部批准启动市级应急预案。</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区</w:t>
      </w:r>
      <w:r>
        <w:rPr>
          <w:rFonts w:hint="eastAsia" w:ascii="仿宋_GB2312" w:hAnsi="仿宋_GB2312" w:eastAsia="仿宋_GB2312" w:cs="仿宋_GB2312"/>
          <w:sz w:val="32"/>
        </w:rPr>
        <w:t>级以上应急指挥机构视情对预警地农业重大有害生物防控工作进行督导和指导。</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ascii="楷体_GB2312" w:hAnsi="楷体_GB2312" w:eastAsia="楷体_GB2312" w:cs="楷体_GB2312"/>
          <w:sz w:val="32"/>
        </w:rPr>
        <w:t>（三）信息报告</w:t>
      </w:r>
      <w:r>
        <w:rPr>
          <w:rFonts w:hint="eastAsia" w:eastAsia="仿宋_GB2312"/>
          <w:sz w:val="32"/>
        </w:rPr>
        <w:t>。</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lang w:val="en-US" w:eastAsia="zh-CN"/>
        </w:rPr>
        <w:t>区</w:t>
      </w:r>
      <w:r>
        <w:rPr>
          <w:rFonts w:hint="eastAsia" w:eastAsia="仿宋_GB2312"/>
          <w:sz w:val="32"/>
        </w:rPr>
        <w:t>级以上农业农村主管部门和各级各类监测站点要认真履行职责，及时如实报告农业重大有害生物突发事件的信息，并做好记录和资料建档工作。任何单位和个人不得谎报、瞒报、迟报、漏报农业重大有害生物突发事件的信息。</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黑体" w:hAnsi="黑体" w:eastAsia="黑体"/>
          <w:sz w:val="32"/>
        </w:rPr>
      </w:pPr>
      <w:r>
        <w:rPr>
          <w:rFonts w:hint="eastAsia" w:ascii="黑体" w:hAnsi="黑体" w:eastAsia="黑体"/>
          <w:sz w:val="32"/>
        </w:rPr>
        <w:t>四、应急响应</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（一）启动响应</w:t>
      </w:r>
    </w:p>
    <w:p>
      <w:pPr>
        <w:keepNext w:val="0"/>
        <w:keepLines w:val="0"/>
        <w:pageBreakBefore w:val="0"/>
        <w:shd w:val="clear" w:color="auto" w:fill="FFFFFF"/>
        <w:kinsoku/>
        <w:wordWrap/>
        <w:overflowPunct/>
        <w:topLinePunct w:val="0"/>
        <w:autoSpaceDE/>
        <w:bidi w:val="0"/>
        <w:adjustRightInd/>
        <w:snapToGrid/>
        <w:spacing w:line="570" w:lineRule="exact"/>
        <w:ind w:firstLine="468"/>
        <w:textAlignment w:val="auto"/>
        <w:rPr>
          <w:rFonts w:hint="eastAsia" w:ascii="仿宋_GB2312" w:hAnsi="仿宋_GB2312" w:eastAsia="仿宋_GB2312"/>
          <w:sz w:val="32"/>
          <w:szCs w:val="32"/>
        </w:rPr>
      </w:pPr>
      <w:r>
        <w:rPr>
          <w:rFonts w:hint="eastAsia" w:ascii="仿宋_GB2312" w:hAnsi="仿宋_GB2312" w:eastAsia="仿宋_GB2312"/>
          <w:sz w:val="32"/>
          <w:szCs w:val="32"/>
        </w:rPr>
        <w:t>农业有害生物灾害发生后，区指挥部经分析评估灾害等级，并宣布进入响应状态。区指挥部研究部署应急防控工作。派出工作组赴一线加强防控指导，定期发布灾害监控信息，发出督导通报。组织、协调相关乡镇人民政府和指挥部开展防控工作并将情况上报有关部门。区指挥部按照职责分工，作好有关工作。区指挥部密切监视灾害情况，做好灾情的预测预报工作，为灾区提供相应的技术支撑。</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（二）响应结束</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农业农村主管部门应组织专家对农业重大有害生物突发事件的处置效果和灾情变化情况进行评估，认为应结束应急响应的，要及时提出建议，并报作出应急响应决定的应急指挥部批准。</w:t>
      </w:r>
    </w:p>
    <w:p>
      <w:pPr>
        <w:keepNext w:val="0"/>
        <w:keepLines w:val="0"/>
        <w:pageBreakBefore w:val="0"/>
        <w:widowControl/>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ascii="楷体_GB2312" w:hAnsi="楷体_GB2312" w:eastAsia="楷体_GB2312" w:cs="楷体_GB2312"/>
          <w:sz w:val="32"/>
        </w:rPr>
        <w:t>（三）信息通报与发布</w:t>
      </w:r>
    </w:p>
    <w:p>
      <w:pPr>
        <w:keepNext w:val="0"/>
        <w:keepLines w:val="0"/>
        <w:pageBreakBefore w:val="0"/>
        <w:widowControl/>
        <w:kinsoku/>
        <w:wordWrap/>
        <w:overflowPunct/>
        <w:topLinePunct w:val="0"/>
        <w:autoSpaceDE/>
        <w:bidi w:val="0"/>
        <w:adjustRightInd/>
        <w:snapToGrid/>
        <w:spacing w:line="570" w:lineRule="exact"/>
        <w:ind w:firstLine="640" w:firstLineChars="200"/>
        <w:textAlignment w:val="auto"/>
        <w:rPr>
          <w:rFonts w:ascii="仿宋_GB2312" w:hAnsi="仿宋_GB2312" w:eastAsia="仿宋_GB2312"/>
          <w:sz w:val="32"/>
          <w:szCs w:val="32"/>
        </w:rPr>
      </w:pPr>
      <w:r>
        <w:rPr>
          <w:rFonts w:hint="eastAsia" w:ascii="仿宋_GB2312" w:hAnsi="仿宋_GB2312" w:eastAsia="仿宋_GB2312"/>
          <w:sz w:val="32"/>
          <w:szCs w:val="32"/>
        </w:rPr>
        <w:t>各级农业行政主管部门及时向同级政府和上级业务部门报告预警信息。重大、特别重大的农业重大有害生物突发事件由指挥部依照预案中确定的预警等级提出具体的预警级别建议，经批准后统一发布。</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ascii="黑体" w:hAnsi="黑体" w:eastAsia="黑体"/>
          <w:sz w:val="32"/>
        </w:rPr>
      </w:pPr>
      <w:r>
        <w:rPr>
          <w:rFonts w:hint="eastAsia" w:ascii="黑体" w:hAnsi="黑体" w:eastAsia="黑体"/>
          <w:sz w:val="32"/>
        </w:rPr>
        <w:t>五、善后处理</w:t>
      </w:r>
    </w:p>
    <w:p>
      <w:pPr>
        <w:keepNext w:val="0"/>
        <w:keepLines w:val="0"/>
        <w:pageBreakBefore w:val="0"/>
        <w:widowControl/>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（一）总结评估</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应急响应结束后，疫情发生地农业农村主管部门应在本级政府领导下，组织有关单位和人员对农业重大有害生物突发事件的起因、性质、影响、损失、经验教训等问题进行总结评估。总结评估结果应报本级政府，并抄报高新区社会事务局农业农村科。</w:t>
      </w:r>
    </w:p>
    <w:p>
      <w:pPr>
        <w:keepNext w:val="0"/>
        <w:keepLines w:val="0"/>
        <w:pageBreakBefore w:val="0"/>
        <w:widowControl/>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（二）灾后恢复</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应急响应结束后，疫情发生地政府及其有关部门应及时取消各种限制性措施，并组织疫情监测和灾后恢复等工作。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ascii="楷体_GB2312" w:hAnsi="楷体_GB2312" w:eastAsia="楷体_GB2312" w:cs="楷体_GB2312"/>
          <w:sz w:val="32"/>
        </w:rPr>
        <w:t>（三）社会救助</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农业重大有害生物突发事件发生后，受损害严重的地方，有关部门应根据相关法律、法规的规定，认真做好受损单位、个人的救助工作，为其恢复生产提供必要的技术与物资支持。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（四）奖励与惩罚</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在农业重大有害生物突发事件应急工作中作出突出贡献的单位和个人，予以表扬和奖励；对在农业重大有害生物突发事件应急工作中玩忽职守、滥用职权、徇私舞弊、拒不履行法定的应急处置义务，造成疫情扩散或重大损失，以及贪污、截留或者挪用应急资金、物资的人员，视情节严重给予行政处分；构成犯罪的，依法追究刑事责任。</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黑体" w:hAnsi="黑体" w:eastAsia="黑体"/>
          <w:sz w:val="32"/>
        </w:rPr>
      </w:pPr>
      <w:r>
        <w:rPr>
          <w:rFonts w:hint="eastAsia" w:ascii="黑体" w:hAnsi="黑体" w:eastAsia="黑体"/>
          <w:sz w:val="32"/>
        </w:rPr>
        <w:t>六、保障措施</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ascii="楷体_GB2312" w:hAnsi="楷体_GB2312" w:eastAsia="楷体_GB2312" w:cs="楷体_GB2312"/>
          <w:sz w:val="32"/>
        </w:rPr>
        <w:t>（一）通信保障　</w:t>
      </w:r>
      <w:r>
        <w:rPr>
          <w:rFonts w:hint="eastAsia" w:eastAsia="仿宋_GB2312"/>
          <w:sz w:val="32"/>
        </w:rPr>
        <w:t>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有关部门要建立和完善应急指挥通信保障系统，配备必要的通信设备，保障联络畅通。在农业重大有害生物突发事件发生后，工业和信息化部门对应急处置所需的无线电频率应优先安排，保障应急工作的需要。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（二）人员保障</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有关部门要建立农业重大有害生物突发事件应急处置队伍，并加强对农业重大有害生物防治技术人员的培训，提高其对农业重大有害生物的识别、检疫、防治等专业技能。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（三）物资保障</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有关部门要根据应急工作的需要，储备必要的农药、防治设备、油料、运输车辆等物资。在此基础上，可以与农药、防治设备等物资的生产企业签订合同，实现应急物资的动态储备。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（四）技术保障</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有关部门要及时了解和掌握国内外农业重大有害生物的发生、防治动态，对有潜在危险性的农业重大有害生物的检疫、防治技术进行深入的研究，为应急工作提供技术支持。　　</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（五）经费保障</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农业重大有害生物突发事件处置所需经费列入年度财政预算或按程序报批预备费解决。</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（六）监督与演练</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eastAsia="仿宋_GB2312"/>
          <w:sz w:val="32"/>
        </w:rPr>
      </w:pPr>
      <w:r>
        <w:rPr>
          <w:rFonts w:hint="eastAsia" w:eastAsia="仿宋_GB2312"/>
          <w:sz w:val="32"/>
        </w:rPr>
        <w:t>有关部门要根据专家意见和不同时期农业重大有害生物的发生、危害情况及其潜在的威胁，对专业技术人员和防治专业队伍进行技术培训，并结合实际工作进行防治实战演练，提高应对农业重大有害生物突发事件的能力。</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黑体" w:hAnsi="黑体" w:eastAsia="黑体"/>
          <w:sz w:val="32"/>
        </w:rPr>
        <w:t>七、附则</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（一）奖惩</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各级政府对在处置农业重大有害生物灾害中做出突出贡献的单位和个人给予表彰和奖励。对在处置农业重大有害生物灾害中,未能依照本预案的规定履行职责、造成严重经济损失和社会后果的单位和个人,由同级人民政府依法给予行政处分;构成犯罪的,依法追究其刑事责任。</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（二）预案制定与解释</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1.本预案由高新区社会事务局农业农村科制定,并结合实际情况及有关法律法规,适时进行修订。</w:t>
      </w:r>
    </w:p>
    <w:p>
      <w:pPr>
        <w:keepNext w:val="0"/>
        <w:keepLines w:val="0"/>
        <w:pageBreakBefore w:val="0"/>
        <w:kinsoku/>
        <w:wordWrap/>
        <w:overflowPunct/>
        <w:topLinePunct w:val="0"/>
        <w:autoSpaceDE/>
        <w:bidi w:val="0"/>
        <w:adjustRightInd/>
        <w:snapToGrid/>
        <w:spacing w:line="570"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2.本预案自批准之日起实施。</w:t>
      </w:r>
    </w:p>
    <w:p>
      <w:pPr>
        <w:keepNext w:val="0"/>
        <w:keepLines w:val="0"/>
        <w:pageBreakBefore w:val="0"/>
        <w:widowControl/>
        <w:kinsoku/>
        <w:wordWrap/>
        <w:overflowPunct/>
        <w:topLinePunct w:val="0"/>
        <w:autoSpaceDE/>
        <w:bidi w:val="0"/>
        <w:adjustRightInd/>
        <w:snapToGrid/>
        <w:spacing w:line="570" w:lineRule="exact"/>
        <w:textAlignment w:val="auto"/>
        <w:rPr>
          <w:rFonts w:eastAsia="仿宋_GB2312"/>
          <w:sz w:val="32"/>
        </w:rPr>
      </w:pPr>
    </w:p>
    <w:p>
      <w:pPr>
        <w:keepNext w:val="0"/>
        <w:keepLines w:val="0"/>
        <w:pageBreakBefore w:val="0"/>
        <w:widowControl/>
        <w:kinsoku/>
        <w:wordWrap/>
        <w:overflowPunct/>
        <w:topLinePunct w:val="0"/>
        <w:autoSpaceDE/>
        <w:bidi w:val="0"/>
        <w:adjustRightInd/>
        <w:snapToGrid/>
        <w:spacing w:line="570" w:lineRule="exact"/>
        <w:jc w:val="center"/>
        <w:textAlignment w:val="auto"/>
        <w:rPr>
          <w:rFonts w:hint="eastAsia" w:eastAsia="仿宋_GB2312"/>
          <w:sz w:val="32"/>
        </w:rPr>
      </w:pPr>
    </w:p>
    <w:p>
      <w:pPr>
        <w:keepNext w:val="0"/>
        <w:keepLines w:val="0"/>
        <w:pageBreakBefore w:val="0"/>
        <w:widowControl/>
        <w:kinsoku/>
        <w:wordWrap/>
        <w:overflowPunct/>
        <w:topLinePunct w:val="0"/>
        <w:autoSpaceDE/>
        <w:bidi w:val="0"/>
        <w:adjustRightInd/>
        <w:snapToGrid/>
        <w:spacing w:line="570" w:lineRule="exact"/>
        <w:jc w:val="center"/>
        <w:textAlignment w:val="auto"/>
        <w:rPr>
          <w:rFonts w:hint="default" w:eastAsia="仿宋_GB2312"/>
          <w:sz w:val="32"/>
          <w:lang w:val="en-US" w:eastAsia="zh-CN"/>
        </w:rPr>
      </w:pPr>
      <w:r>
        <w:rPr>
          <w:rFonts w:hint="eastAsia" w:eastAsia="仿宋_GB2312"/>
          <w:sz w:val="32"/>
          <w:lang w:val="en-US" w:eastAsia="zh-CN"/>
        </w:rPr>
        <w:t xml:space="preserve">                   2023年7月12日</w:t>
      </w:r>
    </w:p>
    <w:p>
      <w:pPr>
        <w:pStyle w:val="2"/>
        <w:keepNext w:val="0"/>
        <w:keepLines w:val="0"/>
        <w:pageBreakBefore w:val="0"/>
        <w:widowControl w:val="0"/>
        <w:kinsoku/>
        <w:wordWrap/>
        <w:overflowPunct/>
        <w:topLinePunct w:val="0"/>
        <w:autoSpaceDE/>
        <w:autoSpaceDN/>
        <w:bidi w:val="0"/>
        <w:adjustRightInd/>
        <w:snapToGrid/>
        <w:spacing w:after="0" w:line="570" w:lineRule="exact"/>
        <w:ind w:firstLine="0" w:firstLineChars="0"/>
        <w:textAlignment w:val="auto"/>
        <w:rPr>
          <w:rFonts w:hint="eastAsia" w:ascii="仿宋_GB2312" w:hAnsi="仿宋_GB2312" w:eastAsia="仿宋_GB2312" w:cs="仿宋_GB2312"/>
          <w:sz w:val="32"/>
          <w:szCs w:val="32"/>
          <w:lang w:val="en-US" w:eastAsia="zh-CN"/>
        </w:rPr>
      </w:pPr>
    </w:p>
    <w:sectPr>
      <w:footerReference r:id="rId3" w:type="default"/>
      <w:pgSz w:w="11906" w:h="16838"/>
      <w:pgMar w:top="2211" w:right="1474" w:bottom="1871"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22325" cy="7016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822325" cy="7016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Theme="majorEastAsia" w:hAnsiTheme="majorEastAsia" w:eastAsiaTheme="majorEastAsia" w:cstheme="maj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55.25pt;width:64.75pt;mso-position-horizontal:outside;mso-position-horizontal-relative:margin;z-index:251660288;mso-width-relative:page;mso-height-relative:page;" filled="f" stroked="f" coordsize="21600,21600" o:gfxdata="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vVqdQAAAAFAQAADwAAAAAAAAABACAAAAAiAAAAZHJzL2Rvd25yZXYueG1sUEsB&#10;AhQAFAAAAAgAh07iQOJ7fdgyAgAAVQQAAA4AAAAAAAAAAQAgAAAAIwEAAGRycy9lMm9Eb2MueG1s&#10;UEsFBgAAAAAGAAYAWQEAAMcFAAAAAA==&#10;">
              <v:fill on="f" focussize="0,0"/>
              <v:stroke on="f" weight="0.5pt"/>
              <v:imagedata o:title=""/>
              <o:lock v:ext="edit" aspectratio="f"/>
              <v:textbox inset="0mm,0mm,0mm,0mm">
                <w:txbxContent>
                  <w:p>
                    <w:pPr>
                      <w:pStyle w:val="8"/>
                      <w:rPr>
                        <w:rFonts w:asciiTheme="majorEastAsia" w:hAnsiTheme="majorEastAsia" w:eastAsiaTheme="majorEastAsia" w:cstheme="majorEastAsia"/>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kYjNhOTFmOWYyNTE5OWFlOTI3YTEyMWUxOTFiZWMifQ=="/>
  </w:docVars>
  <w:rsids>
    <w:rsidRoot w:val="00EE14CB"/>
    <w:rsid w:val="00014654"/>
    <w:rsid w:val="00061011"/>
    <w:rsid w:val="000C4052"/>
    <w:rsid w:val="000F60C4"/>
    <w:rsid w:val="00140404"/>
    <w:rsid w:val="0014289E"/>
    <w:rsid w:val="00176815"/>
    <w:rsid w:val="001B2135"/>
    <w:rsid w:val="001B4A22"/>
    <w:rsid w:val="001C2C48"/>
    <w:rsid w:val="00225B28"/>
    <w:rsid w:val="0024522B"/>
    <w:rsid w:val="0026376D"/>
    <w:rsid w:val="002759F9"/>
    <w:rsid w:val="00293136"/>
    <w:rsid w:val="002A1199"/>
    <w:rsid w:val="002B0ECC"/>
    <w:rsid w:val="002E5C31"/>
    <w:rsid w:val="0031763D"/>
    <w:rsid w:val="00354113"/>
    <w:rsid w:val="00354AD2"/>
    <w:rsid w:val="00370DAF"/>
    <w:rsid w:val="003F0717"/>
    <w:rsid w:val="00400E85"/>
    <w:rsid w:val="00457F16"/>
    <w:rsid w:val="004750C1"/>
    <w:rsid w:val="00481E44"/>
    <w:rsid w:val="004C3C7C"/>
    <w:rsid w:val="0050335A"/>
    <w:rsid w:val="00524ECD"/>
    <w:rsid w:val="005703F1"/>
    <w:rsid w:val="00586234"/>
    <w:rsid w:val="00611093"/>
    <w:rsid w:val="006355DC"/>
    <w:rsid w:val="0065359A"/>
    <w:rsid w:val="0067737F"/>
    <w:rsid w:val="006B0838"/>
    <w:rsid w:val="006B40A4"/>
    <w:rsid w:val="006D07CD"/>
    <w:rsid w:val="006E5333"/>
    <w:rsid w:val="007941AF"/>
    <w:rsid w:val="007B6977"/>
    <w:rsid w:val="007E20B0"/>
    <w:rsid w:val="007F629C"/>
    <w:rsid w:val="0085712B"/>
    <w:rsid w:val="008C0B2D"/>
    <w:rsid w:val="008D7EE3"/>
    <w:rsid w:val="0090799B"/>
    <w:rsid w:val="009234EB"/>
    <w:rsid w:val="00935CFC"/>
    <w:rsid w:val="00A41C27"/>
    <w:rsid w:val="00A44525"/>
    <w:rsid w:val="00A86506"/>
    <w:rsid w:val="00A93D7B"/>
    <w:rsid w:val="00AB41B3"/>
    <w:rsid w:val="00AE0257"/>
    <w:rsid w:val="00B12371"/>
    <w:rsid w:val="00B35AFC"/>
    <w:rsid w:val="00B56565"/>
    <w:rsid w:val="00B836E2"/>
    <w:rsid w:val="00BC673E"/>
    <w:rsid w:val="00C037C4"/>
    <w:rsid w:val="00C31045"/>
    <w:rsid w:val="00C43DAA"/>
    <w:rsid w:val="00C76C71"/>
    <w:rsid w:val="00C8316B"/>
    <w:rsid w:val="00CE7E6C"/>
    <w:rsid w:val="00D07037"/>
    <w:rsid w:val="00D12317"/>
    <w:rsid w:val="00D84852"/>
    <w:rsid w:val="00DA2929"/>
    <w:rsid w:val="00DA44A2"/>
    <w:rsid w:val="00DB14AD"/>
    <w:rsid w:val="00DD1ED8"/>
    <w:rsid w:val="00DD2B80"/>
    <w:rsid w:val="00E37D9F"/>
    <w:rsid w:val="00ED4A01"/>
    <w:rsid w:val="00ED6F55"/>
    <w:rsid w:val="00EE14CB"/>
    <w:rsid w:val="00F14569"/>
    <w:rsid w:val="00F2736B"/>
    <w:rsid w:val="00F31F08"/>
    <w:rsid w:val="00F417DA"/>
    <w:rsid w:val="00FC12AA"/>
    <w:rsid w:val="00FC158A"/>
    <w:rsid w:val="00FD4D32"/>
    <w:rsid w:val="00FE597E"/>
    <w:rsid w:val="012A6BDB"/>
    <w:rsid w:val="01BD600C"/>
    <w:rsid w:val="03C867E2"/>
    <w:rsid w:val="055517A0"/>
    <w:rsid w:val="06644064"/>
    <w:rsid w:val="07BB67DE"/>
    <w:rsid w:val="081961B2"/>
    <w:rsid w:val="0A6C6BFC"/>
    <w:rsid w:val="0C8951C3"/>
    <w:rsid w:val="0FBA737B"/>
    <w:rsid w:val="114529F2"/>
    <w:rsid w:val="119D0D03"/>
    <w:rsid w:val="11C664AC"/>
    <w:rsid w:val="13EAA4FC"/>
    <w:rsid w:val="14853671"/>
    <w:rsid w:val="14AA20B4"/>
    <w:rsid w:val="15CBB2D8"/>
    <w:rsid w:val="16092E0B"/>
    <w:rsid w:val="1763479D"/>
    <w:rsid w:val="192B4E46"/>
    <w:rsid w:val="19D13C3F"/>
    <w:rsid w:val="1B75684C"/>
    <w:rsid w:val="1B9A6FFF"/>
    <w:rsid w:val="1F0DDAAE"/>
    <w:rsid w:val="20427645"/>
    <w:rsid w:val="226B4DC9"/>
    <w:rsid w:val="22895CB1"/>
    <w:rsid w:val="22A80F23"/>
    <w:rsid w:val="2B7E52A9"/>
    <w:rsid w:val="2BD870AF"/>
    <w:rsid w:val="2D3723F6"/>
    <w:rsid w:val="2F416D1A"/>
    <w:rsid w:val="2F9D1F40"/>
    <w:rsid w:val="325D20BC"/>
    <w:rsid w:val="32C1089D"/>
    <w:rsid w:val="33182487"/>
    <w:rsid w:val="34FA62E8"/>
    <w:rsid w:val="367FA663"/>
    <w:rsid w:val="37B502A5"/>
    <w:rsid w:val="38580754"/>
    <w:rsid w:val="3983327E"/>
    <w:rsid w:val="3A197EA8"/>
    <w:rsid w:val="3AB467C6"/>
    <w:rsid w:val="3BAB3183"/>
    <w:rsid w:val="3C35278C"/>
    <w:rsid w:val="3DDFC079"/>
    <w:rsid w:val="3E7E7642"/>
    <w:rsid w:val="3FFD0652"/>
    <w:rsid w:val="41760385"/>
    <w:rsid w:val="42AF5166"/>
    <w:rsid w:val="477FAFD8"/>
    <w:rsid w:val="48922E56"/>
    <w:rsid w:val="4ACB76D3"/>
    <w:rsid w:val="4BFF2901"/>
    <w:rsid w:val="4D643608"/>
    <w:rsid w:val="4DDA1EC4"/>
    <w:rsid w:val="4F0771E0"/>
    <w:rsid w:val="4F60017B"/>
    <w:rsid w:val="50285660"/>
    <w:rsid w:val="508A04DE"/>
    <w:rsid w:val="526A4885"/>
    <w:rsid w:val="52ED784F"/>
    <w:rsid w:val="532540D9"/>
    <w:rsid w:val="550E12A3"/>
    <w:rsid w:val="553B2BEF"/>
    <w:rsid w:val="563805C7"/>
    <w:rsid w:val="57DF0CC4"/>
    <w:rsid w:val="583A29F4"/>
    <w:rsid w:val="58BA52C3"/>
    <w:rsid w:val="5A0031AA"/>
    <w:rsid w:val="5ABB1980"/>
    <w:rsid w:val="5ACD5512"/>
    <w:rsid w:val="5B5B2840"/>
    <w:rsid w:val="5D6453B4"/>
    <w:rsid w:val="5F264571"/>
    <w:rsid w:val="5F906D7E"/>
    <w:rsid w:val="60673F83"/>
    <w:rsid w:val="630B71C5"/>
    <w:rsid w:val="637F7835"/>
    <w:rsid w:val="63D77671"/>
    <w:rsid w:val="653B2028"/>
    <w:rsid w:val="6549634D"/>
    <w:rsid w:val="67694A0F"/>
    <w:rsid w:val="6B4B624F"/>
    <w:rsid w:val="6B686369"/>
    <w:rsid w:val="6BB35D94"/>
    <w:rsid w:val="6BCBD46B"/>
    <w:rsid w:val="6C9F6852"/>
    <w:rsid w:val="6CBAECB3"/>
    <w:rsid w:val="6CBE55C9"/>
    <w:rsid w:val="6E331948"/>
    <w:rsid w:val="6E3C6334"/>
    <w:rsid w:val="6E565CFA"/>
    <w:rsid w:val="6ED30A35"/>
    <w:rsid w:val="6F730326"/>
    <w:rsid w:val="70DF7B65"/>
    <w:rsid w:val="723F6B0D"/>
    <w:rsid w:val="7586A577"/>
    <w:rsid w:val="75E2CA54"/>
    <w:rsid w:val="75EB13B4"/>
    <w:rsid w:val="75FAE6F3"/>
    <w:rsid w:val="7662101C"/>
    <w:rsid w:val="76738372"/>
    <w:rsid w:val="768216BE"/>
    <w:rsid w:val="77EE1D6B"/>
    <w:rsid w:val="79BF337A"/>
    <w:rsid w:val="7A07768D"/>
    <w:rsid w:val="7B7517F2"/>
    <w:rsid w:val="7B79AAB8"/>
    <w:rsid w:val="7BEF8E08"/>
    <w:rsid w:val="7DDB4486"/>
    <w:rsid w:val="7DF306B7"/>
    <w:rsid w:val="7E2966E2"/>
    <w:rsid w:val="7EB7738C"/>
    <w:rsid w:val="7EF7467A"/>
    <w:rsid w:val="7F33D329"/>
    <w:rsid w:val="7FBFF286"/>
    <w:rsid w:val="7FF6A783"/>
    <w:rsid w:val="7FFF55A5"/>
    <w:rsid w:val="98EE6A05"/>
    <w:rsid w:val="98FFA543"/>
    <w:rsid w:val="9B7F609F"/>
    <w:rsid w:val="A7D8CE2A"/>
    <w:rsid w:val="B7FB62FE"/>
    <w:rsid w:val="B96FE0FC"/>
    <w:rsid w:val="BA7B23C6"/>
    <w:rsid w:val="BDFFF425"/>
    <w:rsid w:val="BFFF288E"/>
    <w:rsid w:val="C13F2325"/>
    <w:rsid w:val="DBF57005"/>
    <w:rsid w:val="DCF6A246"/>
    <w:rsid w:val="DF7CE149"/>
    <w:rsid w:val="DFF60C1C"/>
    <w:rsid w:val="ECFF192B"/>
    <w:rsid w:val="ED26EA47"/>
    <w:rsid w:val="ED8E0B80"/>
    <w:rsid w:val="FBDC3299"/>
    <w:rsid w:val="FBEF40BA"/>
    <w:rsid w:val="FBFF3694"/>
    <w:rsid w:val="FBFFA6A5"/>
    <w:rsid w:val="FEBC66B9"/>
    <w:rsid w:val="FEDB7ECC"/>
    <w:rsid w:val="FEF4F247"/>
    <w:rsid w:val="FEFDACAD"/>
    <w:rsid w:val="FEFFD6F3"/>
    <w:rsid w:val="FF5964AC"/>
    <w:rsid w:val="FFBF3EB4"/>
    <w:rsid w:val="FFDEE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keepNext/>
      <w:keepLines/>
      <w:spacing w:before="340" w:after="330" w:line="576" w:lineRule="auto"/>
      <w:outlineLvl w:val="0"/>
    </w:pPr>
    <w:rPr>
      <w:b/>
      <w:kern w:val="44"/>
      <w:sz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Indent 2"/>
    <w:basedOn w:val="1"/>
    <w:qFormat/>
    <w:uiPriority w:val="0"/>
    <w:pPr>
      <w:spacing w:after="120" w:line="480" w:lineRule="auto"/>
      <w:ind w:left="420" w:leftChars="200"/>
    </w:pPr>
  </w:style>
  <w:style w:type="paragraph" w:styleId="5">
    <w:name w:val="annotation text"/>
    <w:basedOn w:val="1"/>
    <w:semiHidden/>
    <w:unhideWhenUsed/>
    <w:qFormat/>
    <w:uiPriority w:val="99"/>
    <w:pPr>
      <w:jc w:val="left"/>
    </w:pPr>
  </w:style>
  <w:style w:type="paragraph" w:styleId="6">
    <w:name w:val="Body Text Indent"/>
    <w:basedOn w:val="1"/>
    <w:unhideWhenUsed/>
    <w:qFormat/>
    <w:uiPriority w:val="99"/>
    <w:pPr>
      <w:spacing w:after="120"/>
      <w:ind w:left="200" w:leftChars="200"/>
    </w:pPr>
  </w:style>
  <w:style w:type="paragraph" w:styleId="7">
    <w:name w:val="Balloon Text"/>
    <w:basedOn w:val="1"/>
    <w:link w:val="19"/>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2"/>
    <w:basedOn w:val="6"/>
    <w:unhideWhenUsed/>
    <w:qFormat/>
    <w:uiPriority w:val="99"/>
    <w:pPr>
      <w:spacing w:before="100" w:beforeAutospacing="1"/>
      <w:ind w:firstLine="200" w:firstLineChars="200"/>
    </w:pPr>
    <w:rPr>
      <w:rFonts w:ascii="Times New Roman" w:hAnsi="Times New Roman" w:eastAsia="宋体"/>
      <w:szCs w:val="21"/>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paragraph" w:styleId="18">
    <w:name w:val="List Paragraph"/>
    <w:basedOn w:val="1"/>
    <w:qFormat/>
    <w:uiPriority w:val="34"/>
    <w:pPr>
      <w:ind w:firstLine="420"/>
    </w:pPr>
  </w:style>
  <w:style w:type="character" w:customStyle="1" w:styleId="19">
    <w:name w:val="批注框文本 字符"/>
    <w:basedOn w:val="14"/>
    <w:link w:val="7"/>
    <w:semiHidden/>
    <w:qFormat/>
    <w:uiPriority w:val="99"/>
    <w:rPr>
      <w:kern w:val="2"/>
      <w:sz w:val="18"/>
      <w:szCs w:val="18"/>
    </w:rPr>
  </w:style>
  <w:style w:type="character" w:customStyle="1" w:styleId="20">
    <w:name w:val="NormalCharacter"/>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3373</Words>
  <Characters>3408</Characters>
  <Lines>1</Lines>
  <Paragraphs>1</Paragraphs>
  <TotalTime>3</TotalTime>
  <ScaleCrop>false</ScaleCrop>
  <LinksUpToDate>false</LinksUpToDate>
  <CharactersWithSpaces>3453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2021-03-21T07:27:00Z</dcterms:created>
  <dc:creator>Microsoft</dc:creator>
  <cp:lastModifiedBy>lenovo</cp:lastModifiedBy>
  <cp:lastPrinted>2023-02-17T05:17:00Z</cp:lastPrinted>
  <dcterms:modified xsi:type="dcterms:W3CDTF">2023-07-17T01:32:47Z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E21CE26677F1479E953C5A2BFB135A93</vt:lpwstr>
  </property>
</Properties>
</file>